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i w:val="0"/>
          <w:color w:val="1E90FF"/>
          <w:sz w:val="40"/>
        </w:rPr>
        <w:t xml:space="preserve">■ </w:t>
      </w:r>
      <w:r>
        <w:rPr>
          <w:rFonts w:ascii="Arial" w:hAnsi="Arial"/>
          <w:b/>
          <w:i w:val="0"/>
          <w:color w:val="061826"/>
          <w:sz w:val="40"/>
        </w:rPr>
        <w:t>ARCUS</w:t>
      </w:r>
      <w:r>
        <w:rPr>
          <w:rFonts w:ascii="Arial" w:hAnsi="Arial"/>
          <w:b/>
          <w:i w:val="0"/>
          <w:color w:val="5B6770"/>
          <w:sz w:val="20"/>
        </w:rPr>
        <w:t xml:space="preserve"> / ASSET MANAGEMENT REPORTING</w:t>
      </w:r>
    </w:p>
    <w:tbl>
      <w:tblPr>
        <w:tblW w:type="auto" w:w="0"/>
        <w:tblLook w:firstColumn="1" w:firstRow="1" w:lastColumn="0" w:lastRow="0" w:noHBand="0" w:noVBand="1" w:val="04A0"/>
      </w:tblPr>
      <w:tblGrid>
        <w:gridCol w:w="10656"/>
      </w:tblGrid>
      <w:tr>
        <w:tc>
          <w:tcPr>
            <w:tcW w:type="dxa" w:w="10656"/>
            <w:shd w:fill="1E90FF"/>
            <w:tcBorders>
              <w:top w:val="single" w:sz="6" w:space="0" w:color="1E90FF"/>
              <w:left w:val="single" w:sz="6" w:space="0" w:color="1E90FF"/>
              <w:bottom w:val="single" w:sz="6" w:space="0" w:color="1E90FF"/>
              <w:right w:val="single" w:sz="6" w:space="0" w:color="1E90FF"/>
              <w:insideH w:val="single" w:sz="6" w:space="0" w:color="1E90FF"/>
              <w:insideV w:val="single" w:sz="6" w:space="0" w:color="1E90FF"/>
            </w:tcBorders>
          </w:tcPr>
          <w:p/>
        </w:tc>
      </w:tr>
    </w:tbl>
    <w:p>
      <w:pPr>
        <w:spacing w:after="480"/>
      </w:pPr>
    </w:p>
    <w:p>
      <w:pPr>
        <w:jc w:val="center"/>
      </w:pPr>
      <w:r>
        <w:rPr>
          <w:rFonts w:ascii="Arial" w:hAnsi="Arial"/>
          <w:b/>
          <w:i w:val="0"/>
          <w:color w:val="061826"/>
          <w:sz w:val="48"/>
        </w:rPr>
        <w:t>ASSET ALLOCATION REPORT</w:t>
      </w:r>
    </w:p>
    <w:p>
      <w:pPr>
        <w:jc w:val="center"/>
      </w:pPr>
      <w:r>
        <w:rPr>
          <w:rFonts w:ascii="Arial" w:hAnsi="Arial"/>
          <w:b/>
          <w:color w:val="111827"/>
          <w:sz w:val="24"/>
          <w:highlight w:val="yellow"/>
        </w:rPr>
        <w:t>{client_name} / {portfolio_name}</w:t>
      </w:r>
    </w:p>
    <w:p>
      <w:pPr>
        <w:jc w:val="center"/>
      </w:pPr>
      <w:r>
        <w:rPr>
          <w:rFonts w:ascii="Arial" w:hAnsi="Arial"/>
          <w:b w:val="0"/>
          <w:i w:val="0"/>
          <w:color w:val="5B6770"/>
          <w:sz w:val="20"/>
        </w:rPr>
        <w:t xml:space="preserve">For the period ended </w:t>
      </w:r>
      <w:r>
        <w:rPr>
          <w:rFonts w:ascii="Arial" w:hAnsi="Arial"/>
          <w:b/>
          <w:color w:val="111827"/>
          <w:sz w:val="20"/>
          <w:highlight w:val="yellow"/>
        </w:rPr>
        <w:t>{reporting_period_end_date}</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Replace only the yellow highlighted placeholders. Delete blue instruction boxes before final issue. Plain black text is standard report wording and should remain unchanged unless approved by Compliance or Legal.</w:t>
            </w:r>
          </w:p>
        </w:tc>
      </w:tr>
    </w:tbl>
    <w:p>
      <w:pPr>
        <w:spacing w:after="40"/>
      </w:pPr>
    </w:p>
    <w:tbl>
      <w:tblPr>
        <w:tblW w:type="auto" w:w="0"/>
        <w:jc w:val="center"/>
        <w:tblLayout w:type="autofit"/>
        <w:tblLook w:firstColumn="1" w:firstRow="1" w:lastColumn="0" w:lastRow="0" w:noHBand="0" w:noVBand="1" w:val="04A0"/>
      </w:tblPr>
      <w:tblGrid>
        <w:gridCol w:w="5328"/>
        <w:gridCol w:w="5328"/>
      </w:tblGrid>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Asset Manager</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{asset_manager_legal_name}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Client / Mandate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{client_name} / {mandate_name}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Portfolio Account Number</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{portfolio_account_number}</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Reporting Period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{period_start_date} to {period_end_date}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Base Currency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{base_currency}</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Report Version</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{version_number}</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Document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{draft / approved / published / reissued / archived}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Prepared By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{maker_name}, {maker_designation}</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Approved By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{checker_name}, {checker_designation}</w:t>
            </w:r>
          </w:p>
        </w:tc>
      </w:tr>
    </w:tbl>
    <w:p>
      <w:r>
        <w:br w:type="page"/>
      </w:r>
    </w:p>
    <w:p>
      <w:pPr>
        <w:spacing w:before="200" w:after="100"/>
        <w:pBdr>
          <w:bottom w:val="single" w:sz="6" w:space="4" w:color="D9E2EA"/>
        </w:pBdr>
      </w:pPr>
      <w:r>
        <w:rPr>
          <w:rFonts w:ascii="Arial" w:hAnsi="Arial"/>
          <w:b/>
          <w:i w:val="0"/>
          <w:color w:val="061826"/>
          <w:sz w:val="26"/>
        </w:rPr>
        <w:t>A. Template Use Legend</w:t>
      </w:r>
    </w:p>
    <w:tbl>
      <w:tblPr>
        <w:tblW w:type="auto" w:w="0"/>
        <w:jc w:val="center"/>
        <w:tblLayout w:type="autofit"/>
        <w:tblLook w:firstColumn="1" w:firstRow="1" w:lastColumn="0" w:lastRow="0" w:noHBand="0" w:noVBand="1" w:val="04A0"/>
      </w:tblPr>
      <w:tblGrid>
        <w:gridCol w:w="3552"/>
        <w:gridCol w:w="3552"/>
        <w:gridCol w:w="3552"/>
      </w:tblGrid>
      <w:tr>
        <w:trPr>
          <w:tblHeader w:val="true"/>
          <w:cantSplit/>
        </w:trPr>
        <w:tc>
          <w:tcPr>
            <w:tcW w:type="dxa" w:w="355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6"/>
              </w:rPr>
              <w:t>Visual Marker</w:t>
            </w:r>
          </w:p>
        </w:tc>
        <w:tc>
          <w:tcPr>
            <w:tcW w:type="dxa" w:w="355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6"/>
              </w:rPr>
              <w:t>Meaning</w:t>
            </w:r>
          </w:p>
        </w:tc>
        <w:tc>
          <w:tcPr>
            <w:tcW w:type="dxa" w:w="355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6"/>
              </w:rPr>
              <w:t>Required Action</w:t>
            </w:r>
          </w:p>
        </w:tc>
      </w:tr>
      <w:tr>
        <w:trPr>
          <w:cantSplit/>
        </w:trPr>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6"/>
                <w:highlight w:val="yellow"/>
              </w:rPr>
              <w:t>{yellow_highlighted_placeholder}</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Editable placeholder</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Replace with actual client, portfolio, date, value or system-generated field.</w:t>
            </w:r>
          </w:p>
        </w:tc>
      </w:tr>
      <w:tr>
        <w:trPr>
          <w:cantSplit/>
        </w:trPr>
        <w:tc>
          <w:tcPr>
            <w:tcW w:type="dxa" w:w="355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Blue instruction box</w:t>
            </w:r>
          </w:p>
        </w:tc>
        <w:tc>
          <w:tcPr>
            <w:tcW w:type="dxa" w:w="355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Guidance/comment only</w:t>
            </w:r>
          </w:p>
        </w:tc>
        <w:tc>
          <w:tcPr>
            <w:tcW w:type="dxa" w:w="355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Delete before final report issue.</w:t>
            </w:r>
          </w:p>
        </w:tc>
      </w:tr>
      <w:tr>
        <w:trPr>
          <w:cantSplit/>
        </w:trPr>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Plain black text</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Standard wording</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Do not edit unless approved by Compliance, Legal or authorised template owner.</w:t>
            </w:r>
          </w:p>
        </w:tc>
      </w:tr>
    </w:tbl>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This report is designed for asset managers and discretionary portfolio managers. It should be generated from the Stock Price Collector / Portfolio Valuation module using approved holdings, prices, FX rates, cash balances, mandate limits and benchmark data.</w:t>
            </w:r>
          </w:p>
        </w:tc>
      </w:tr>
    </w:tbl>
    <w:p>
      <w:pPr>
        <w:spacing w:after="40"/>
      </w:pPr>
    </w:p>
    <w:p>
      <w:pPr>
        <w:spacing w:before="200" w:after="100"/>
        <w:pBdr>
          <w:bottom w:val="single" w:sz="6" w:space="4" w:color="D9E2EA"/>
        </w:pBdr>
      </w:pPr>
      <w:r>
        <w:rPr>
          <w:rFonts w:ascii="Arial" w:hAnsi="Arial"/>
          <w:b/>
          <w:i w:val="0"/>
          <w:color w:val="061826"/>
          <w:sz w:val="26"/>
        </w:rPr>
        <w:t>1. Confidentiality, Reliance and Report Basis</w:t>
      </w:r>
    </w:p>
    <w:p>
      <w:pPr>
        <w:spacing w:after="80"/>
      </w:pPr>
      <w:r>
        <w:rPr>
          <w:rFonts w:ascii="Arial" w:hAnsi="Arial"/>
          <w:b w:val="0"/>
          <w:i w:val="0"/>
          <w:color w:val="111827"/>
          <w:sz w:val="18"/>
        </w:rPr>
        <w:t xml:space="preserve">This Asset Allocation Report is confidential and is issued solely for the use of </w:t>
      </w:r>
      <w:r>
        <w:rPr>
          <w:rFonts w:ascii="Arial" w:hAnsi="Arial"/>
          <w:b w:val="0"/>
          <w:color w:val="111827"/>
          <w:sz w:val="18"/>
          <w:highlight w:val="yellow"/>
        </w:rPr>
        <w:t>{client_name}</w:t>
      </w:r>
      <w:r>
        <w:rPr>
          <w:rFonts w:ascii="Arial" w:hAnsi="Arial"/>
          <w:b w:val="0"/>
          <w:i w:val="0"/>
          <w:color w:val="111827"/>
          <w:sz w:val="18"/>
        </w:rPr>
        <w:t xml:space="preserve"> in relation to </w:t>
      </w:r>
      <w:r>
        <w:rPr>
          <w:rFonts w:ascii="Arial" w:hAnsi="Arial"/>
          <w:b w:val="0"/>
          <w:color w:val="111827"/>
          <w:sz w:val="18"/>
          <w:highlight w:val="yellow"/>
        </w:rPr>
        <w:t>{portfolio_name}</w:t>
      </w:r>
      <w:r>
        <w:rPr>
          <w:rFonts w:ascii="Arial" w:hAnsi="Arial"/>
          <w:b w:val="0"/>
          <w:i w:val="0"/>
          <w:color w:val="111827"/>
          <w:sz w:val="18"/>
        </w:rPr>
        <w:t xml:space="preserve">. It may not be copied, distributed, disclosed, relied upon by, or made available to any third party without the prior written consent of </w:t>
      </w:r>
      <w:r>
        <w:rPr>
          <w:rFonts w:ascii="Arial" w:hAnsi="Arial"/>
          <w:b w:val="0"/>
          <w:color w:val="111827"/>
          <w:sz w:val="18"/>
          <w:highlight w:val="yellow"/>
        </w:rPr>
        <w:t>{asset_manager_legal_name}</w:t>
      </w:r>
      <w:r>
        <w:rPr>
          <w:rFonts w:ascii="Arial" w:hAnsi="Arial"/>
          <w:b w:val="0"/>
          <w:i w:val="0"/>
          <w:color w:val="111827"/>
          <w:sz w:val="18"/>
        </w:rPr>
        <w:t>, except where disclosure is required by law, regulation, an authorised regulator, auditor, custodian, trustee, tax adviser or professional adviser.</w:t>
      </w:r>
    </w:p>
    <w:p>
      <w:pPr>
        <w:spacing w:after="80"/>
      </w:pPr>
      <w:r>
        <w:rPr>
          <w:rFonts w:ascii="Arial" w:hAnsi="Arial"/>
          <w:b w:val="0"/>
          <w:i w:val="0"/>
          <w:color w:val="111827"/>
          <w:sz w:val="18"/>
        </w:rPr>
        <w:t xml:space="preserve">The report is prepared from approved portfolio records, including validated holdings, approved market prices, approved FX rates, cash positions and mandate configuration as at </w:t>
      </w:r>
      <w:r>
        <w:rPr>
          <w:rFonts w:ascii="Arial" w:hAnsi="Arial"/>
          <w:b w:val="0"/>
          <w:color w:val="111827"/>
          <w:sz w:val="18"/>
          <w:highlight w:val="yellow"/>
        </w:rPr>
        <w:t>{valuation_date}</w:t>
      </w:r>
      <w:r>
        <w:rPr>
          <w:rFonts w:ascii="Arial" w:hAnsi="Arial"/>
          <w:b w:val="0"/>
          <w:i w:val="0"/>
          <w:color w:val="111827"/>
          <w:sz w:val="18"/>
        </w:rPr>
        <w:t>. It is intended to show portfolio exposure by asset class, sector, issuer, currency and country, and to support mandate review and investment committee oversight.</w:t>
      </w:r>
    </w:p>
    <w:p>
      <w:pPr>
        <w:spacing w:before="200" w:after="100"/>
        <w:pBdr>
          <w:bottom w:val="single" w:sz="6" w:space="4" w:color="D9E2EA"/>
        </w:pBdr>
      </w:pPr>
      <w:r>
        <w:rPr>
          <w:rFonts w:ascii="Arial" w:hAnsi="Arial"/>
          <w:b/>
          <w:i w:val="0"/>
          <w:color w:val="061826"/>
          <w:sz w:val="26"/>
        </w:rPr>
        <w:t>2. Report Header and Control Information</w:t>
      </w:r>
    </w:p>
    <w:tbl>
      <w:tblPr>
        <w:tblW w:type="auto" w:w="0"/>
        <w:jc w:val="center"/>
        <w:tblLayout w:type="autofit"/>
        <w:tblLook w:firstColumn="1" w:firstRow="1" w:lastColumn="0" w:lastRow="0" w:noHBand="0" w:noVBand="1" w:val="04A0"/>
      </w:tblPr>
      <w:tblGrid>
        <w:gridCol w:w="5328"/>
        <w:gridCol w:w="5328"/>
      </w:tblGrid>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Portfolio / Mandate Name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{portfolio_name}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Client Legal Name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{client_legal_name}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Mandate Type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{discretionary / advisory / pension mandate / CIS / other}</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Portfolio Manager</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{portfolio_manager_name}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Custodian / Broker, if applicable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{custodian_or_broker_name}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Valuation Date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{valuation_date}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Opening Portfolio Value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{opening_portfolio_value}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Closing Portfolio Value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{closing_portfolio_value}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Benchmark / Strategic Asset Allocation Basis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{benchmark_or_saa_basis}</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Source Snapshot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{reporting_snapshot_id}</w:t>
            </w:r>
          </w:p>
        </w:tc>
      </w:tr>
    </w:tbl>
    <w:p>
      <w:pPr>
        <w:spacing w:before="200" w:after="100"/>
        <w:pBdr>
          <w:bottom w:val="single" w:sz="6" w:space="4" w:color="D9E2EA"/>
        </w:pBdr>
      </w:pPr>
      <w:r>
        <w:rPr>
          <w:rFonts w:ascii="Arial" w:hAnsi="Arial"/>
          <w:b/>
          <w:i w:val="0"/>
          <w:color w:val="061826"/>
          <w:sz w:val="26"/>
        </w:rPr>
        <w:t>3. Executive Asset Allocation Summary</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Complete the portfolio manager commentary after reviewing the system-generated allocation tables, mandate limits and exceptions. Keep commentary concise and evidence-based.</w:t>
            </w:r>
          </w:p>
        </w:tc>
      </w:tr>
    </w:tbl>
    <w:p>
      <w:pPr>
        <w:spacing w:after="40"/>
      </w:pPr>
    </w:p>
    <w:p>
      <w:pPr>
        <w:spacing w:after="80"/>
      </w:pPr>
      <w:r>
        <w:rPr>
          <w:rFonts w:ascii="Arial" w:hAnsi="Arial"/>
          <w:b w:val="0"/>
          <w:color w:val="111827"/>
          <w:sz w:val="18"/>
          <w:highlight w:val="yellow"/>
        </w:rPr>
        <w:t>{portfolio_manager_commentary_on_allocation_position}</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Allocation Metric</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Current Period</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Prior Period</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Movement</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Comment</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Total portfolio value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{current_portfolio_value}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{prior_portfolio_value}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{portfolio_value_movement}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{comment}</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Largest asset class exposure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{largest_asset_class_current}</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{largest_asset_class_prior}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{movement}</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{comment}</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Largest issuer exposure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{largest_issuer_current}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{largest_issuer_prior}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{movement}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{comment}</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Foreign currency exposure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{foreign_currency_exposure_current}</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{foreign_currency_exposure_prior}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{movement}</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{comment}</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Unlisted / illiquid exposure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{illiquid_exposure_current}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{illiquid_exposure_prior}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{movement}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{comment}</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Mandate breaches</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{number_of_breaches}</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{prior_breaches}</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{movement}</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{comment}</w:t>
            </w:r>
          </w:p>
        </w:tc>
      </w:tr>
    </w:tbl>
    <w:p>
      <w:pPr>
        <w:spacing w:before="200" w:after="100"/>
        <w:pBdr>
          <w:bottom w:val="single" w:sz="6" w:space="4" w:color="D9E2EA"/>
        </w:pBdr>
      </w:pPr>
      <w:r>
        <w:rPr>
          <w:rFonts w:ascii="Arial" w:hAnsi="Arial"/>
          <w:b/>
          <w:i w:val="0"/>
          <w:color w:val="061826"/>
          <w:sz w:val="26"/>
        </w:rPr>
        <w:t>4. Asset Class Allocation</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Use this section to compare actual allocation against approved mandate limits, investment policy statement limits or strategic asset allocation ranges.</w:t>
            </w:r>
          </w:p>
        </w:tc>
      </w:tr>
    </w:tbl>
    <w:p>
      <w:pPr>
        <w:spacing w:after="40"/>
      </w:pP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Asset Class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Market Value</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 of Portfolio</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Strategic / Target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Minimum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Maximum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Variance vs Target</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Listed equities</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{listed_equities_value}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{listed_equities_pct}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Money market instruments</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{money_market_value}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{money_market_pct}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Bonds / fixed income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{bonds_value}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{bonds_pct}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Property / REITs</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{property_value}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{property_pct}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Unquoted equities / private assets</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{unquoted_value}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{unquoted_pct}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and cash equivalents</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{cash_value}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{cash_pct}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Other</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{other_value}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{other_pct}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{variance_pct}</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Total</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{total_market_value}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100.00%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r>
    </w:tbl>
    <w:p>
      <w:pPr>
        <w:spacing w:before="200" w:after="100"/>
        <w:pBdr>
          <w:bottom w:val="single" w:sz="6" w:space="4" w:color="D9E2EA"/>
        </w:pBdr>
      </w:pPr>
      <w:r>
        <w:rPr>
          <w:rFonts w:ascii="Arial" w:hAnsi="Arial"/>
          <w:b/>
          <w:i w:val="0"/>
          <w:color w:val="061826"/>
          <w:sz w:val="26"/>
        </w:rPr>
        <w:t>5. Allocation Movement and Rebalancing Review</w:t>
      </w:r>
    </w:p>
    <w:p>
      <w:pPr>
        <w:spacing w:after="80"/>
      </w:pPr>
      <w:r>
        <w:rPr>
          <w:rFonts w:ascii="Arial" w:hAnsi="Arial"/>
          <w:b w:val="0"/>
          <w:i w:val="0"/>
          <w:color w:val="111827"/>
          <w:sz w:val="18"/>
        </w:rPr>
        <w:t>The following table summarises allocation changes during the reporting period and identifies whether movement was driven by market price changes, cash flows, income, trades or FX effects.</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Asset Class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Opening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Contributions / Inflows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Withdrawals / Outflows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Net Trades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Market / FX Movement</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Closing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Rebalancing Action</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{asset_class_1}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{opening_pct_1}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{inflows_1}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{outflows_1}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{net_trades_1}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{market_fx_movement_1}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{closing_pct_1}</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{action_1}</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{asset_class_2}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{opening_pct_2}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{inflows_2}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{outflows_2}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{net_trades_2}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{market_fx_movement_2}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{closing_pct_2}</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{action_2}</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{asset_class_3}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{opening_pct_3}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{inflows_3}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{outflows_3}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{net_trades_3}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{market_fx_movement_3}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{closing_pct_3}</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{action_3}</w:t>
            </w:r>
          </w:p>
        </w:tc>
      </w:tr>
    </w:tbl>
    <w:p>
      <w:pPr>
        <w:sectPr>
          <w:headerReference w:type="default" r:id="rId9"/>
          <w:footerReference w:type="default" r:id="rId10"/>
          <w:pgSz w:w="12240" w:h="15840"/>
          <w:pgMar w:top="835" w:right="792" w:bottom="792" w:left="792" w:header="720" w:footer="720" w:gutter="0"/>
          <w:cols w:space="720"/>
          <w:docGrid w:linePitch="360"/>
        </w:sectPr>
      </w:pPr>
    </w:p>
    <w:p>
      <w:pPr>
        <w:spacing w:before="200" w:after="100"/>
        <w:pBdr>
          <w:bottom w:val="single" w:sz="6" w:space="4" w:color="D9E2EA"/>
        </w:pBdr>
      </w:pPr>
      <w:r>
        <w:rPr>
          <w:rFonts w:ascii="Arial" w:hAnsi="Arial"/>
          <w:b/>
          <w:i w:val="0"/>
          <w:color w:val="061826"/>
          <w:sz w:val="26"/>
        </w:rPr>
        <w:t>6. Detailed Exposure Schedules</w:t>
      </w:r>
    </w:p>
    <w:tbl>
      <w:tblPr>
        <w:tblW w:type="auto" w:w="0"/>
        <w:jc w:val="center"/>
        <w:tblLayout w:type="autofit"/>
        <w:tblLook w:firstColumn="1" w:firstRow="1" w:lastColumn="0" w:lastRow="0" w:noHBand="0" w:noVBand="1" w:val="04A0"/>
      </w:tblPr>
      <w:tblGrid>
        <w:gridCol w:w="14544"/>
      </w:tblGrid>
      <w:tr>
        <w:tc>
          <w:tcPr>
            <w:tcW w:type="dxa" w:w="14544"/>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The tables in this section may be populated directly from Arcus using approved valuation snapshots. Where exposures breach limits, ensure the exception is repeated in Section 10.</w:t>
            </w:r>
          </w:p>
        </w:tc>
      </w:tr>
    </w:tbl>
    <w:p>
      <w:pPr>
        <w:spacing w:after="40"/>
      </w:pPr>
    </w:p>
    <w:p>
      <w:pPr>
        <w:spacing w:after="80"/>
      </w:pPr>
      <w:r>
        <w:rPr>
          <w:rFonts w:ascii="Arial" w:hAnsi="Arial"/>
          <w:b/>
          <w:i w:val="0"/>
          <w:color w:val="061826"/>
          <w:sz w:val="20"/>
        </w:rPr>
        <w:t>6.1 Sector Exposure</w:t>
      </w:r>
    </w:p>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cantSplit/>
        </w:trPr>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Sector</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Prior %</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Movement</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Benchmark %</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Variance vs Benchmark</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Mandate Limit</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{sector_1}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{prior_pct_1}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{movement_1}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{benchmark_pct_1}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{variance_1}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{status_1}</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{sector_2}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{prior_pct_2}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{movement_2}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{benchmark_pct_2}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{variance_2}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{status_2}</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{sector_3}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{prior_pct_3}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{movement_3}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{benchmark_pct_3}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{variance_3}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{status_3}</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t>Total</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{total_value}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100.00%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{prior_total}</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{benchmark_total}</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r>
    </w:tbl>
    <w:p>
      <w:pPr>
        <w:spacing w:after="80"/>
      </w:pPr>
      <w:r>
        <w:rPr>
          <w:rFonts w:ascii="Arial" w:hAnsi="Arial"/>
          <w:b/>
          <w:i w:val="0"/>
          <w:color w:val="061826"/>
          <w:sz w:val="20"/>
        </w:rPr>
        <w:t>6.2 Issuer Concentration</w:t>
      </w:r>
    </w:p>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cantSplit/>
        </w:trPr>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Rank</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Issuer</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Instrument(s)</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Asset Class</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Single Issuer Limit</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Related Party?</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 / Comment</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{rank_1}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{instruments_1}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{asset_class_1}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{issuer_limit_1}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{yes_no_1}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{status_comment_1}</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{rank_2}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{instruments_2}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{asset_class_2}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{issuer_limit_2}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{yes_no_2}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{status_comment_2}</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{rank_3}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{instruments_3}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{asset_class_3}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{issuer_limit_3}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{yes_no_3}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{status_comment_3}</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{rank_4}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{instruments_4}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{asset_class_4}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{issuer_limit_4}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{yes_no_4}</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{status_comment_4}</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{rank_5}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{instruments_5}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{asset_class_5}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{issuer_limit_5}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{yes_no_5}</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{status_comment_5}</w:t>
            </w:r>
          </w:p>
        </w:tc>
      </w:tr>
    </w:tbl>
    <w:p>
      <w:pPr>
        <w:spacing w:after="80"/>
      </w:pPr>
      <w:r>
        <w:rPr>
          <w:rFonts w:ascii="Arial" w:hAnsi="Arial"/>
          <w:b/>
          <w:i w:val="0"/>
          <w:color w:val="061826"/>
          <w:sz w:val="20"/>
        </w:rPr>
        <w:t>6.3 Currency Exposure</w:t>
      </w:r>
    </w:p>
    <w:tbl>
      <w:tblPr>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Currency</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 in Local Currency</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FX Rate Used</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Base Currency Value</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Approved FX Source</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Limit / Policy</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{currency_1}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{local_value_1}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{fx_rate_1}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{base_value_1}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{fx_source_1}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{status_1}</w:t>
            </w:r>
          </w:p>
        </w:tc>
      </w:tr>
      <w:tr>
        <w:trPr>
          <w:cantSplit/>
        </w:trPr>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{currency_2}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{local_value_2}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{fx_rate_2}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{base_value_2}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{fx_source_2}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{status_2}</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{currency_3}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{local_value_3}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{fx_rate_3}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{base_value_3}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{fx_source_3}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{status_3}</w:t>
            </w:r>
          </w:p>
        </w:tc>
      </w:tr>
      <w:tr>
        <w:trPr>
          <w:cantSplit/>
        </w:trPr>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t>Total</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{total_base_value}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100.00%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r>
    </w:tbl>
    <w:p>
      <w:pPr>
        <w:spacing w:after="80"/>
      </w:pPr>
      <w:r>
        <w:rPr>
          <w:rFonts w:ascii="Arial" w:hAnsi="Arial"/>
          <w:b/>
          <w:i w:val="0"/>
          <w:color w:val="061826"/>
          <w:sz w:val="20"/>
        </w:rPr>
        <w:t>6.4 Country / Geographic Exposure</w:t>
      </w:r>
    </w:p>
    <w:tbl>
      <w:tblPr>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Country / Market</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Prior %</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Movement</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Policy Limit</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Risk Classification</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 / Comment</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{country_1}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{prior_pct_1}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{movement_1}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{risk_class_1}</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{status_comment_1}</w:t>
            </w:r>
          </w:p>
        </w:tc>
      </w:tr>
      <w:tr>
        <w:trPr>
          <w:cantSplit/>
        </w:trPr>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{country_2}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{prior_pct_2}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{movement_2}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{risk_class_2}</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{status_comment_2}</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{country_3}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{market_value_3}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{portfolio_pct_3}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{prior_pct_3}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{movement_3}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{limit_3}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{risk_class_3}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{status_comment_3}</w:t>
            </w:r>
          </w:p>
        </w:tc>
      </w:tr>
    </w:tbl>
    <w:p>
      <w:pPr>
        <w:sectPr>
          <w:pgSz w:w="15840" w:h="12240" w:orient="landscape"/>
          <w:pgMar w:top="648" w:right="648" w:bottom="648" w:left="648" w:header="720" w:footer="720" w:gutter="0"/>
          <w:cols w:space="720"/>
          <w:docGrid w:linePitch="360"/>
        </w:sectPr>
      </w:pPr>
    </w:p>
    <w:p>
      <w:pPr>
        <w:spacing w:before="200" w:after="100"/>
        <w:pBdr>
          <w:bottom w:val="single" w:sz="6" w:space="4" w:color="D9E2EA"/>
        </w:pBdr>
      </w:pPr>
      <w:r>
        <w:rPr>
          <w:rFonts w:ascii="Arial" w:hAnsi="Arial"/>
          <w:b/>
          <w:i w:val="0"/>
          <w:color w:val="061826"/>
          <w:sz w:val="26"/>
        </w:rPr>
        <w:t>7. Liquidity, Instrument Type and Settlement Exposure</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cantSplit/>
        </w:trPr>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Exposure Category</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Market Value</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 of Portfolio</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Days to Liquidity / Maturity</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Policy Limit</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Comment</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Same-day cash / call account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{same_day_cash_value}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{same_day_cash_pct}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{days_to_liquidity}</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Money market under 90 days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{money_market_value}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{money_market_pct}</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{days_to_maturity}</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Listed securities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{listed_securities_value}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{listed_securities_pct}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{settlement_cycle}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Unlisted / private assets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{unlisted_value}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{unlisted_pct}</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{estimated_liquidity_period}</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Pending settlements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{pending_settlement_value}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{pending_settlement_pct}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{settlement_date}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bl>
    <w:p>
      <w:pPr>
        <w:spacing w:before="200" w:after="100"/>
        <w:pBdr>
          <w:bottom w:val="single" w:sz="6" w:space="4" w:color="D9E2EA"/>
        </w:pBdr>
      </w:pPr>
      <w:r>
        <w:rPr>
          <w:rFonts w:ascii="Arial" w:hAnsi="Arial"/>
          <w:b/>
          <w:i w:val="0"/>
          <w:color w:val="061826"/>
          <w:sz w:val="26"/>
        </w:rPr>
        <w:t>8. Mandate Compliance Review</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Any breach or near-breach identified in this table must be supported by a management explanation and, where required, an action plan approved by the Portfolio Manager and Compliance Officer.</w:t>
            </w:r>
          </w:p>
        </w:tc>
      </w:tr>
    </w:tbl>
    <w:p>
      <w:pPr>
        <w:spacing w:after="40"/>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cantSplit/>
        </w:trPr>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Mandate Rule / Limit</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Current Position</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Limit / Threshold</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Buffer</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Explanation / Remedial Action</w:t>
            </w:r>
          </w:p>
        </w:tc>
      </w:tr>
      <w:tr>
        <w:trPr>
          <w:cantSplit/>
        </w:trPr>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{minimum_cash_rule}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{current_position}</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{buffer}</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{explanation_action}</w:t>
            </w:r>
          </w:p>
        </w:tc>
      </w:tr>
      <w:tr>
        <w:trPr>
          <w:cantSplit/>
        </w:trPr>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{maximum_single_issuer_rule}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{current_position}</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{buffer}</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{explanation_action}</w:t>
            </w:r>
          </w:p>
        </w:tc>
      </w:tr>
      <w:tr>
        <w:trPr>
          <w:cantSplit/>
        </w:trPr>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{maximum_equity_rule}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{current_position}</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{buffer}</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{explanation_action}</w:t>
            </w:r>
          </w:p>
        </w:tc>
      </w:tr>
      <w:tr>
        <w:trPr>
          <w:cantSplit/>
        </w:trPr>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{maximum_unlisted_assets_rule}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{current_position}</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{buffer}</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{explanation_action}</w:t>
            </w:r>
          </w:p>
        </w:tc>
      </w:tr>
      <w:tr>
        <w:trPr>
          <w:cantSplit/>
        </w:trPr>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{currency_exposure_rule}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{current_position}</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{limit}</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{buffer}</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{within_limit / breach}</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{explanation_action}</w:t>
            </w:r>
          </w:p>
        </w:tc>
      </w:tr>
    </w:tbl>
    <w:p>
      <w:pPr>
        <w:spacing w:before="200" w:after="100"/>
        <w:pBdr>
          <w:bottom w:val="single" w:sz="6" w:space="4" w:color="D9E2EA"/>
        </w:pBdr>
      </w:pPr>
      <w:r>
        <w:rPr>
          <w:rFonts w:ascii="Arial" w:hAnsi="Arial"/>
          <w:b/>
          <w:i w:val="0"/>
          <w:color w:val="061826"/>
          <w:sz w:val="26"/>
        </w:rPr>
        <w:t>9. Portfolio Manager Commentary and Recommended Actions</w:t>
      </w:r>
    </w:p>
    <w:p>
      <w:pPr>
        <w:spacing w:after="80"/>
      </w:pPr>
      <w:r>
        <w:rPr>
          <w:rFonts w:ascii="Arial" w:hAnsi="Arial"/>
          <w:b/>
          <w:i w:val="0"/>
          <w:color w:val="061826"/>
          <w:sz w:val="18"/>
        </w:rPr>
        <w:t xml:space="preserve">Allocation commentary: </w:t>
      </w:r>
      <w:r>
        <w:rPr>
          <w:rFonts w:ascii="Arial" w:hAnsi="Arial"/>
          <w:b w:val="0"/>
          <w:color w:val="111827"/>
          <w:sz w:val="18"/>
          <w:highlight w:val="yellow"/>
        </w:rPr>
        <w:t>{allocation_commentary}</w:t>
      </w:r>
    </w:p>
    <w:p>
      <w:pPr>
        <w:spacing w:after="80"/>
      </w:pPr>
      <w:r>
        <w:rPr>
          <w:rFonts w:ascii="Arial" w:hAnsi="Arial"/>
          <w:b/>
          <w:i w:val="0"/>
          <w:color w:val="061826"/>
          <w:sz w:val="18"/>
        </w:rPr>
        <w:t xml:space="preserve">Recommended rebalancing or action: </w:t>
      </w:r>
      <w:r>
        <w:rPr>
          <w:rFonts w:ascii="Arial" w:hAnsi="Arial"/>
          <w:b w:val="0"/>
          <w:color w:val="111827"/>
          <w:sz w:val="18"/>
          <w:highlight w:val="yellow"/>
        </w:rPr>
        <w:t>{recommended_rebalancing_or_action}</w:t>
      </w:r>
    </w:p>
    <w:p>
      <w:pPr>
        <w:spacing w:after="80"/>
      </w:pPr>
      <w:r>
        <w:rPr>
          <w:rFonts w:ascii="Arial" w:hAnsi="Arial"/>
          <w:b/>
          <w:i w:val="0"/>
          <w:color w:val="061826"/>
          <w:sz w:val="18"/>
        </w:rPr>
        <w:t xml:space="preserve">Client / committee attention points: </w:t>
      </w:r>
      <w:r>
        <w:rPr>
          <w:rFonts w:ascii="Arial" w:hAnsi="Arial"/>
          <w:b w:val="0"/>
          <w:color w:val="111827"/>
          <w:sz w:val="18"/>
          <w:highlight w:val="yellow"/>
        </w:rPr>
        <w:t>{attention_points}</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Action Item</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Responsible Person</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Due Date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Priority</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{action_item_1}</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{responsible_person_1}</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{due_date_1}</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{priority_1}</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{status_1}</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{action_item_2}</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{responsible_person_2}</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{due_date_2}</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{priority_2}</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{status_2}</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{action_item_3}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{responsible_person_3}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{due_date_3}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{priority_3}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{status_3}</w:t>
            </w:r>
          </w:p>
        </w:tc>
      </w:tr>
    </w:tbl>
    <w:p>
      <w:pPr>
        <w:spacing w:before="200" w:after="100"/>
        <w:pBdr>
          <w:bottom w:val="single" w:sz="6" w:space="4" w:color="D9E2EA"/>
        </w:pBdr>
      </w:pPr>
      <w:r>
        <w:rPr>
          <w:rFonts w:ascii="Arial" w:hAnsi="Arial"/>
          <w:b/>
          <w:i w:val="0"/>
          <w:color w:val="061826"/>
          <w:sz w:val="26"/>
        </w:rPr>
        <w:t>10. Exceptions, Breaches and Overrides</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cantSplit/>
        </w:trPr>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Exception ID</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Exception Type</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Description</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Financial Impact</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Owner</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Target Resolution Date</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Approval / Waiver Status</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{exception_id_1}</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{exception_type_1}</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{description_1}</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{financial_impact_1}</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{owner_1}</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{target_date_1}</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{approval_status_1}</w:t>
            </w:r>
          </w:p>
        </w:tc>
      </w:tr>
      <w:tr>
        <w:trPr>
          <w:cantSplit/>
        </w:trPr>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{exception_id_2}</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{exception_type_2}</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{description_2}</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{financial_impact_2}</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{owner_2}</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{target_date_2}</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{approval_status_2}</w:t>
            </w:r>
          </w:p>
        </w:tc>
      </w:tr>
    </w:tbl>
    <w:p>
      <w:pPr>
        <w:spacing w:before="200" w:after="100"/>
        <w:pBdr>
          <w:bottom w:val="single" w:sz="6" w:space="4" w:color="D9E2EA"/>
        </w:pBdr>
      </w:pPr>
      <w:r>
        <w:rPr>
          <w:rFonts w:ascii="Arial" w:hAnsi="Arial"/>
          <w:b/>
          <w:i w:val="0"/>
          <w:color w:val="061826"/>
          <w:sz w:val="26"/>
        </w:rPr>
        <w:t>11. Methodology, Data Sources and Controls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cantSplit/>
        </w:trPr>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Control Area</w:t>
            </w:r>
          </w:p>
        </w:tc>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Required Evidence / Rule</w:t>
            </w:r>
          </w:p>
        </w:tc>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Comment</w:t>
            </w:r>
          </w:p>
        </w:tc>
      </w:tr>
      <w:tr>
        <w:trPr>
          <w:cantSplit/>
        </w:trPr>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Holdings source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Holdings must be generated from approved portfolio positions as at the valuation date.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Price source</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All listed securities must use approved quarter-end / period-end prices.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FX source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FX rates must be approved and traceable to the configured source.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balances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balances must reconcile to bank/custodian records or approved cashbook records.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Mandate limits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Allocation limits must reflect the approved client mandate or investment policy statement.</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r>
        <w:trPr>
          <w:cantSplit/>
        </w:trPr>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Exceptions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Breaches and overrides must be logged and approved according to authority limits.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{comment}</w:t>
            </w:r>
          </w:p>
        </w:tc>
      </w:tr>
    </w:tbl>
    <w:p>
      <w:pPr>
        <w:spacing w:after="80"/>
      </w:pPr>
      <w:r>
        <w:rPr>
          <w:rFonts w:ascii="Arial" w:hAnsi="Arial"/>
          <w:b w:val="0"/>
          <w:i w:val="0"/>
          <w:color w:val="5B6770"/>
          <w:sz w:val="16"/>
        </w:rPr>
        <w:t>This report does not constitute a new investment recommendation unless expressly stated in the Portfolio Manager Commentary and approved under the applicable investment governance process. Allocation tables should be read together with the Client Portfolio Valuation Statement, Holdings Report, Transaction Report and Mandate Compliance Report where available.</w:t>
      </w:r>
    </w:p>
    <w:p>
      <w:pPr>
        <w:spacing w:before="200" w:after="100"/>
        <w:pBdr>
          <w:bottom w:val="single" w:sz="6" w:space="4" w:color="D9E2EA"/>
        </w:pBdr>
      </w:pPr>
      <w:r>
        <w:rPr>
          <w:rFonts w:ascii="Arial" w:hAnsi="Arial"/>
          <w:b/>
          <w:i w:val="0"/>
          <w:color w:val="061826"/>
          <w:sz w:val="26"/>
        </w:rPr>
        <w:t>12. Supporting Documents Register</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Document / Evidence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Source Module / System</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Reference ID</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Reviewed By</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holdings extract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Stock Price Collector / Portfolio Valuation</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{document_reference_id}</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{reviewer_name}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price file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Stock Price Collector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{document_reference_id}</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{reviewer_name}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FX rate file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FX Register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{document_reference_id}</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{reviewer_name}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 bank reconciliation</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Cashbook / Custodian / Bank</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{document_reference_id}</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{reviewer_name}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Client mandate / IPS</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Document Archive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{document_reference_id}</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{reviewer_name}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{status}</w:t>
            </w:r>
          </w:p>
        </w:tc>
      </w:tr>
    </w:tbl>
    <w:p>
      <w:pPr>
        <w:spacing w:before="200" w:after="100"/>
        <w:pBdr>
          <w:bottom w:val="single" w:sz="6" w:space="4" w:color="D9E2EA"/>
        </w:pBdr>
      </w:pPr>
      <w:r>
        <w:rPr>
          <w:rFonts w:ascii="Arial" w:hAnsi="Arial"/>
          <w:b/>
          <w:i w:val="0"/>
          <w:color w:val="061826"/>
          <w:sz w:val="26"/>
        </w:rPr>
        <w:t>13. Preparation, Review and Approval</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Maker and checker must be different users. The report should not be published to the client portal or investment committee pack until approved and locked.</w:t>
            </w:r>
          </w:p>
        </w:tc>
      </w:tr>
    </w:tbl>
    <w:p>
      <w:pPr>
        <w:spacing w:after="40"/>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Role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Name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Designation</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Date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Signature / Digital Approval</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Prepared by - Maker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{maker_name}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{maker_designation}</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{maker_date}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{signature_or_digital_approval}</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Reviewed by - Portfolio Manager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{portfolio_manager_name}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{portfolio_manager_designation}</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{review_date}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{signature_or_digital_approval}</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Reviewed by - Compliance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{compliance_officer_name}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{compliance_designation}</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{compliance_review_date}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{signature_or_digital_approval}</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by - Checker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{checker_name}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{checker_designation}</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{checker_approval_date}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{signature_or_digital_approval}</w:t>
            </w:r>
          </w:p>
        </w:tc>
      </w:tr>
    </w:tbl>
    <w:p>
      <w:pPr>
        <w:spacing w:before="200" w:after="100"/>
        <w:pBdr>
          <w:bottom w:val="single" w:sz="6" w:space="4" w:color="D9E2EA"/>
        </w:pBdr>
      </w:pPr>
      <w:r>
        <w:rPr>
          <w:rFonts w:ascii="Arial" w:hAnsi="Arial"/>
          <w:b/>
          <w:i w:val="0"/>
          <w:color w:val="061826"/>
          <w:sz w:val="26"/>
        </w:rPr>
        <w:t>14. Digital Signature, Publication and Audit Trail</w:t>
      </w:r>
    </w:p>
    <w:tbl>
      <w:tblPr>
        <w:tblW w:type="auto" w:w="0"/>
        <w:jc w:val="center"/>
        <w:tblLayout w:type="autofit"/>
        <w:tblLook w:firstColumn="1" w:firstRow="1" w:lastColumn="0" w:lastRow="0" w:noHBand="0" w:noVBand="1" w:val="04A0"/>
      </w:tblPr>
      <w:tblGrid>
        <w:gridCol w:w="5328"/>
        <w:gridCol w:w="5328"/>
      </w:tblGrid>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Reporting Run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{reporting_run_id}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Generated Report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{generated_report_id}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Source Snapshot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{source_snapshot_id}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Generated Date and Time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{generated_datetime}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Approved Date and Time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{approval_datetime}</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Portal Publication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{not_published / published / reissued / archived}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Document Hash / Checksum</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{document_hash}</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Watermark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{confidential / approved / reissued}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Archive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{draft / locked / archived}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Reissue Reference, if any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{reissue_reference}</w:t>
            </w:r>
          </w:p>
        </w:tc>
      </w:tr>
    </w:tbl>
    <w:p>
      <w:pPr>
        <w:spacing w:after="80"/>
      </w:pPr>
    </w:p>
    <w:p>
      <w:pPr>
        <w:spacing w:after="80"/>
        <w:jc w:val="center"/>
      </w:pPr>
      <w:r>
        <w:rPr>
          <w:rFonts w:ascii="Arial" w:hAnsi="Arial"/>
          <w:b w:val="0"/>
          <w:i w:val="0"/>
          <w:color w:val="5B6770"/>
          <w:sz w:val="14"/>
        </w:rPr>
        <w:t xml:space="preserve">Confidential Asset Allocation Report | </w:t>
      </w:r>
      <w:r>
        <w:rPr>
          <w:rFonts w:ascii="Arial" w:hAnsi="Arial"/>
          <w:b w:val="0"/>
          <w:color w:val="111827"/>
          <w:sz w:val="14"/>
          <w:highlight w:val="yellow"/>
        </w:rPr>
        <w:t>{portfolio_name}</w:t>
      </w:r>
      <w:r>
        <w:rPr>
          <w:rFonts w:ascii="Arial" w:hAnsi="Arial"/>
          <w:b w:val="0"/>
          <w:i w:val="0"/>
          <w:color w:val="5B6770"/>
          <w:sz w:val="14"/>
        </w:rPr>
        <w:t xml:space="preserve"> | </w:t>
      </w:r>
      <w:r>
        <w:rPr>
          <w:rFonts w:ascii="Arial" w:hAnsi="Arial"/>
          <w:b w:val="0"/>
          <w:color w:val="111827"/>
          <w:sz w:val="14"/>
          <w:highlight w:val="yellow"/>
        </w:rPr>
        <w:t>{reporting_period}</w:t>
      </w:r>
      <w:r>
        <w:rPr>
          <w:rFonts w:ascii="Arial" w:hAnsi="Arial"/>
          <w:b w:val="0"/>
          <w:i w:val="0"/>
          <w:color w:val="5B6770"/>
          <w:sz w:val="14"/>
        </w:rPr>
        <w:t xml:space="preserve"> | Valid only with approved Arcus checksum and audit record.</w:t>
      </w:r>
    </w:p>
    <w:sectPr w:rsidR="00FC693F" w:rsidRPr="0006063C" w:rsidSect="00034616">
      <w:pgSz w:w="12240" w:h="15840"/>
      <w:pgMar w:top="835"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770"/>
        <w:sz w:val="14"/>
      </w:rPr>
      <w:t xml:space="preserve">Confidential | Asset Allocation Report | Generated from Arcus approved source data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1E90FF"/>
        <w:sz w:val="24"/>
      </w:rPr>
      <w:t xml:space="preserve">■ </w:t>
    </w:r>
    <w:r>
      <w:rPr>
        <w:rFonts w:ascii="Arial" w:hAnsi="Arial"/>
        <w:b/>
        <w:i w:val="0"/>
        <w:color w:val="061826"/>
        <w:sz w:val="16"/>
      </w:rPr>
      <w:t>ARCUS REPORT TEMPLATE</w:t>
    </w:r>
    <w:r>
      <w:rPr>
        <w:rFonts w:ascii="Arial" w:hAnsi="Arial"/>
        <w:b w:val="0"/>
        <w:i w:val="0"/>
        <w:color w:val="5B6770"/>
        <w:sz w:val="16"/>
      </w:rPr>
      <w:t xml:space="preserve">    Asset Management | Asset Allocation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618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618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618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Asset Allocation Report Template</dc:title>
  <dc:subject>Report 19 - Asset Allocation Report</dc:subject>
  <dc:creator>Arcus</dc:creator>
  <cp:keywords>Arcus, asset allocation, portfolio, mandate compliance, asset management, report template</cp:keywords>
  <dc:description>generated by python-docx</dc:description>
  <cp:lastModifiedBy/>
  <cp:revision>1</cp:revision>
  <dcterms:created xsi:type="dcterms:W3CDTF">2013-12-23T23:15:00Z</dcterms:created>
  <dcterms:modified xsi:type="dcterms:W3CDTF">2013-12-23T23:15:00Z</dcterms:modified>
  <cp:category/>
</cp:coreProperties>
</file>