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line="252" w:lineRule="auto" w:after="0"/>
        <w:jc w:val="center"/>
      </w:pPr>
      <w:r>
        <w:rPr>
          <w:rFonts w:ascii="Aptos" w:hAnsi="Aptos"/>
          <w:b/>
          <w:color w:val="1688E8"/>
          <w:sz w:val="26"/>
        </w:rPr>
        <w:t>ARCUS</w:t>
      </w:r>
    </w:p>
    <w:p>
      <w:pPr>
        <w:spacing w:line="252" w:lineRule="auto" w:after="0"/>
        <w:jc w:val="center"/>
      </w:pPr>
      <w:r>
        <w:rPr>
          <w:rFonts w:ascii="Aptos" w:hAnsi="Aptos"/>
          <w:b/>
          <w:color w:val="071426"/>
          <w:sz w:val="44"/>
        </w:rPr>
        <w:t>CIS MONTHLY RETURN PACK</w:t>
      </w:r>
    </w:p>
    <w:p>
      <w:pPr>
        <w:spacing w:line="252" w:lineRule="auto" w:after="0"/>
        <w:jc w:val="center"/>
      </w:pPr>
      <w:r>
        <w:rPr>
          <w:rFonts w:ascii="Aptos" w:hAnsi="Aptos"/>
          <w:color w:val="4B5563"/>
          <w:sz w:val="20"/>
        </w:rPr>
        <w:t>Collective Investment Scheme / Unit Trust / REIT Regulatory Support Pack</w:t>
      </w:r>
    </w:p>
    <w:p>
      <w:pPr>
        <w:spacing w:line="252" w:lineRule="auto" w:after="0"/>
        <w:jc w:val="center"/>
      </w:pPr>
      <w:r>
        <w:rPr>
          <w:rFonts w:ascii="Aptos" w:hAnsi="Aptos"/>
          <w:b/>
          <w:color w:val="071426"/>
          <w:sz w:val="18"/>
        </w:rPr>
        <w:t>Confidential Regulatory and Investor Reporting Support Document</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Replace all yellow highlighted fields before issuing. Blue instruction boxes are preparation guidance and should be deleted or hidden in the final client/regulator-facing pack. Do not alter standard legal, compliance, approval or audit wording without authorised review.</w:t>
            </w:r>
          </w:p>
        </w:tc>
      </w:tr>
    </w:tbl>
    <w:p>
      <w:pPr>
        <w:spacing w:after="60" w:line="252" w:lineRule="auto"/>
      </w:pPr>
    </w:p>
    <w:tbl>
      <w:tblPr>
        <w:tblW w:type="auto" w:w="0"/>
        <w:jc w:val="center"/>
        <w:tblLayout w:type="autofit"/>
        <w:tblLook w:firstColumn="1" w:firstRow="1" w:lastColumn="0" w:lastRow="0" w:noHBand="0" w:noVBand="1" w:val="04A0"/>
      </w:tblPr>
      <w:tblGrid>
        <w:gridCol w:w="5328"/>
        <w:gridCol w:w="5328"/>
      </w:tblGrid>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CIS / Fund Name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{cis_or_fund_name}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Fund Manager / Operator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{fund_manager_or_operator_name}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Trustee / Custodian</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{trustee_or_custodian_name}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Reporting Month</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{reporting_month_and_year}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Valuation Date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{valuation_date}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Base Currency</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{base_currency}</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Regulatory Category</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{regulatory_category_cis_unit_trust_reit_other}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Prepared For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{compliance_officer_trustee_custodian_management_seczim_if_applicable}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Report Version</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{version_number}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Document Status</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{draft_under_review_approved_submitted_archived}</w:t>
            </w:r>
          </w:p>
        </w:tc>
      </w:tr>
    </w:tbl>
    <w:p>
      <w:pPr>
        <w:spacing w:after="60" w:line="252" w:lineRule="auto"/>
      </w:pPr>
    </w:p>
    <w:p>
      <w:pPr>
        <w:pStyle w:val="Heading1"/>
        <w:spacing w:before="160" w:after="80" w:line="252" w:lineRule="auto"/>
      </w:pPr>
      <w:r>
        <w:rPr>
          <w:rFonts w:ascii="Aptos" w:hAnsi="Aptos"/>
          <w:sz w:val="18"/>
        </w:rPr>
        <w:t>Template Use Guide</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This template is intended to support monthly CIS/unit trust/REIT reporting. It should be configured against the scheme rules, trust deed, prospectus, mandate, regulator-prescribed forms and the entity-specific reporting calendar. Where the regulator or trustee requires a prescribed form, attach the final form as supporting evidence rather than treating this pack as the official form itself.</w:t>
            </w:r>
          </w:p>
        </w:tc>
      </w:tr>
    </w:tbl>
    <w:p>
      <w:pPr>
        <w:spacing w:after="60" w:line="252" w:lineRule="auto"/>
      </w:pPr>
    </w:p>
    <w:tbl>
      <w:tblPr>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Visual Marker</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Meaning</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Action Required</w:t>
            </w:r>
          </w:p>
        </w:tc>
      </w:tr>
      <w:tr>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Yellow highlighted text</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Editable placeholder field</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Replace with actual system-generated or approved value</w:t>
            </w:r>
          </w:p>
        </w:tc>
      </w:tr>
      <w:tr>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Blue instruction box</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Guidance for preparer/reviewer</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Delete, hide or retain internally before final issue</w:t>
            </w:r>
          </w:p>
        </w:tc>
      </w:tr>
      <w:tr>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Plain black text</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Standard report wording</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Keep unless authorised by legal/compliance</w:t>
            </w:r>
          </w:p>
        </w:tc>
      </w:tr>
    </w:tbl>
    <w:p>
      <w:pPr>
        <w:spacing w:after="60" w:line="252" w:lineRule="auto"/>
      </w:pPr>
    </w:p>
    <w:p>
      <w:pPr>
        <w:pStyle w:val="Heading1"/>
        <w:spacing w:before="160" w:after="80" w:line="252" w:lineRule="auto"/>
      </w:pPr>
      <w:r>
        <w:rPr>
          <w:rFonts w:ascii="Aptos" w:hAnsi="Aptos"/>
          <w:sz w:val="18"/>
        </w:rPr>
        <w:t>1. Purpose and Scope</w:t>
      </w:r>
    </w:p>
    <w:p>
      <w:pPr>
        <w:spacing w:after="120" w:line="252" w:lineRule="auto"/>
      </w:pPr>
      <w:r>
        <w:rPr>
          <w:rFonts w:ascii="Aptos" w:hAnsi="Aptos"/>
          <w:b w:val="0"/>
          <w:i w:val="0"/>
          <w:sz w:val="18"/>
        </w:rPr>
        <w:t xml:space="preserve">This CIS Monthly Return Pack is prepared for </w:t>
      </w:r>
      <w:r>
        <w:rPr>
          <w:rFonts w:ascii="Aptos" w:hAnsi="Aptos"/>
          <w:sz w:val="18"/>
          <w:highlight w:val="yellow"/>
        </w:rPr>
        <w:t>{cis_or_fund_name}</w:t>
      </w:r>
      <w:r>
        <w:rPr>
          <w:rFonts w:ascii="Aptos" w:hAnsi="Aptos"/>
          <w:b w:val="0"/>
          <w:i w:val="0"/>
          <w:sz w:val="18"/>
        </w:rPr>
        <w:t xml:space="preserve"> for the month ended </w:t>
      </w:r>
      <w:r>
        <w:rPr>
          <w:rFonts w:ascii="Aptos" w:hAnsi="Aptos"/>
          <w:sz w:val="18"/>
          <w:highlight w:val="yellow"/>
        </w:rPr>
        <w:t>{month_end_date}</w:t>
      </w:r>
      <w:r>
        <w:rPr>
          <w:rFonts w:ascii="Aptos" w:hAnsi="Aptos"/>
          <w:b w:val="0"/>
          <w:i w:val="0"/>
          <w:sz w:val="18"/>
        </w:rPr>
        <w:t>. It consolidates the monthly return support schedules, unit-holder records, subscriptions and redemptions, NAV calculations, portfolio holdings, income, fees, trustee/custodian reconciliation, bank reconciliation, valuation support and compliance exceptions required for review and submission where applicable.</w:t>
      </w:r>
    </w:p>
    <w:p>
      <w:pPr>
        <w:spacing w:after="120" w:line="252" w:lineRule="auto"/>
      </w:pPr>
      <w:r>
        <w:rPr>
          <w:rFonts w:ascii="Aptos" w:hAnsi="Aptos"/>
          <w:b w:val="0"/>
          <w:i w:val="0"/>
          <w:sz w:val="18"/>
        </w:rPr>
        <w:t>The pack is generated from approved source data within Arcus, including investor registry, portfolio valuation, holdings, cash, income, fees, reconciliation, pricing and document records. It must be reviewed under maker-checker control before regulatory submission, trustee circulation, board circulation or portal publication.</w:t>
      </w:r>
    </w:p>
    <w:p>
      <w:pPr>
        <w:spacing w:after="120" w:line="252" w:lineRule="auto"/>
      </w:pPr>
      <w:r>
        <w:rPr>
          <w:rFonts w:ascii="Aptos" w:hAnsi="Aptos"/>
          <w:b/>
          <w:i w:val="0"/>
          <w:sz w:val="18"/>
        </w:rPr>
        <w:t xml:space="preserve">Important: </w:t>
      </w:r>
      <w:r>
        <w:rPr>
          <w:rFonts w:ascii="Aptos" w:hAnsi="Aptos"/>
          <w:b w:val="0"/>
          <w:i w:val="0"/>
          <w:sz w:val="18"/>
        </w:rPr>
        <w:t>This document is a support pack and evidence file. It does not replace any official regulator-prescribed form, online submission, statutory return, trustee certificate or custodian confirmation required under applicable law, scheme rules or regulator instruction.</w:t>
      </w:r>
    </w:p>
    <w:p>
      <w:pPr>
        <w:pStyle w:val="Heading1"/>
        <w:spacing w:before="160" w:after="80" w:line="252" w:lineRule="auto"/>
      </w:pPr>
      <w:r>
        <w:rPr>
          <w:rFonts w:ascii="Aptos" w:hAnsi="Aptos"/>
          <w:sz w:val="18"/>
        </w:rPr>
        <w:t>2. Scheme and Reporting Details</w:t>
      </w:r>
    </w:p>
    <w:tbl>
      <w:tblPr>
        <w:tblW w:type="auto" w:w="0"/>
        <w:jc w:val="center"/>
        <w:tblLayout w:type="autofit"/>
        <w:tblLook w:firstColumn="1" w:firstRow="1" w:lastColumn="0" w:lastRow="0" w:noHBand="0" w:noVBand="1" w:val="04A0"/>
      </w:tblPr>
      <w:tblGrid>
        <w:gridCol w:w="5328"/>
        <w:gridCol w:w="5328"/>
      </w:tblGrid>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Legal Name of Scheme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{legal_name_of_scheme}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Scheme Type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{unit_trust_reit_collective_investment_scheme_other}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Registration / Approval Reference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{registration_or_approval_reference}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Fund Manager / Operator Licence Reference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{manager_licence_reference_if_applicable}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Trustee Name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{trustee_name}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Custodian Name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{custodian_name}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Administrator / Registrar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{administrator_or_registrar_name}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Auditor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{auditor_name}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Valuation Frequency</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{daily_weekly_monthly_other}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Submission Deadline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{submission_deadline_date}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Submission Method</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{email_portal_physical_submission_internal_only}</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Responsible Compliance Officer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{responsible_compliance_officer_name}</w:t>
            </w:r>
          </w:p>
        </w:tc>
      </w:tr>
    </w:tbl>
    <w:p>
      <w:pPr>
        <w:spacing w:after="60" w:line="252" w:lineRule="auto"/>
      </w:pPr>
    </w:p>
    <w:p>
      <w:pPr>
        <w:pStyle w:val="Heading1"/>
        <w:spacing w:before="160" w:after="80" w:line="252" w:lineRule="auto"/>
      </w:pPr>
      <w:r>
        <w:rPr>
          <w:rFonts w:ascii="Aptos" w:hAnsi="Aptos"/>
          <w:sz w:val="18"/>
        </w:rPr>
        <w:t>3. Monthly Return Executive Summary</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Summarise the position for the month and confirm whether the CIS monthly return pack is complete, requires management action, or contains exceptions requiring regulatory/trustee disclosure.</w:t>
            </w:r>
          </w:p>
        </w:tc>
      </w:tr>
    </w:tbl>
    <w:p>
      <w:pPr>
        <w:spacing w:after="60" w:line="252" w:lineRule="auto"/>
      </w:pPr>
    </w:p>
    <w:p>
      <w:pPr>
        <w:spacing w:after="120" w:line="252" w:lineRule="auto"/>
      </w:pPr>
      <w:r>
        <w:rPr>
          <w:rFonts w:ascii="Aptos" w:hAnsi="Aptos"/>
          <w:b w:val="0"/>
          <w:i w:val="0"/>
          <w:sz w:val="18"/>
        </w:rPr>
        <w:t xml:space="preserve">Management commentary: </w:t>
      </w:r>
      <w:r>
        <w:rPr>
          <w:rFonts w:ascii="Aptos" w:hAnsi="Aptos"/>
          <w:sz w:val="18"/>
          <w:highlight w:val="yellow"/>
        </w:rPr>
        <w:t>{summarise_monthly_return_position_key_movements_exceptions_and_actions}</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Item</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Current Month</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Prior Month</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Status / 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Total Fund NAV</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{current_month_total_nav}</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{prior_month_total_nav}</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{nav_movement}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{nav_movement_comment}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NAV per Unit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{current_nav_per_unit}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{prior_nav_per_unit}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{nav_per_unit_movement}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{nav_per_unit_comment}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Opening Units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{opening_units}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{prior_opening_units}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{opening_units_movement}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{opening_units_comment}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Subscriptions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{subscription_units_or_value}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{prior_subscription_units_or_value}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{subscription_movement}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{subscription_comment}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Redemptions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{redemption_units_or_value}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{prior_redemption_units_or_value}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{redemption_movement}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{redemption_comment}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Closing Units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{closing_units}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{prior_closing_units}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{closing_units_movement}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{closing_units_comment}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Net Cash Flow</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{net_cash_flow}</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{prior_net_cash_flow}</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{cash_flow_movement}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{cash_flow_comment}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Compliance Exceptions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{number_of_exceptions}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{prior_number_of_exceptions}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{exception_movement}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{exception_comment}</w:t>
            </w:r>
          </w:p>
        </w:tc>
      </w:tr>
    </w:tbl>
    <w:p>
      <w:pPr>
        <w:spacing w:after="60" w:line="252" w:lineRule="auto"/>
      </w:pPr>
    </w:p>
    <w:p>
      <w:pPr>
        <w:pStyle w:val="Heading1"/>
        <w:spacing w:before="160" w:after="80" w:line="252" w:lineRule="auto"/>
      </w:pPr>
      <w:r>
        <w:rPr>
          <w:rFonts w:ascii="Aptos" w:hAnsi="Aptos"/>
          <w:sz w:val="18"/>
        </w:rPr>
        <w:t>4. CIS Monthly Return Checklist</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Use this checklist before sign-off. Items marked No or N/A must have an explanation in the exception section or supporting documents register.</w:t>
            </w:r>
          </w:p>
        </w:tc>
      </w:tr>
    </w:tbl>
    <w:p>
      <w:pPr>
        <w:spacing w:after="60" w:line="252"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Required Item</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Prepared</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Reviewed</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Evidence 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CIS monthly return summary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Unit-holder register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Subscriptions and redemptions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Opening and closing units reconciliation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NAV per unit calculation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Total fund NAV calculation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Portfolio holdings schedule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Fund asset allocation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Fund income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Management fee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Custodian / trustee reconciliation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Bank reconciliation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Price and valuation support pack</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Fund fact sheet inputs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Investor statement release summary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Compliance exception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{yes_no_na}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{evidence_reference}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bl>
    <w:p>
      <w:pPr>
        <w:spacing w:after="60" w:line="252" w:lineRule="auto"/>
      </w:pPr>
    </w:p>
    <w:p>
      <w:pPr>
        <w:spacing w:line="252" w:lineRule="auto" w:after="0"/>
        <w:sectPr>
          <w:headerReference w:type="default" r:id="rId9"/>
          <w:footerReference w:type="default" r:id="rId10"/>
          <w:pgSz w:w="12240" w:h="15840"/>
          <w:pgMar w:top="792" w:right="792" w:bottom="792" w:left="792" w:header="720" w:footer="720" w:gutter="0"/>
          <w:cols w:space="720"/>
          <w:docGrid w:linePitch="360"/>
        </w:sectPr>
      </w:pPr>
    </w:p>
    <w:p>
      <w:pPr>
        <w:pStyle w:val="Heading1"/>
        <w:spacing w:before="160" w:after="80" w:line="252" w:lineRule="auto"/>
      </w:pPr>
      <w:r>
        <w:rPr>
          <w:rFonts w:ascii="Aptos" w:hAnsi="Aptos"/>
          <w:sz w:val="18"/>
        </w:rPr>
        <w:t>5. Unit-Holder Register Summary</w:t>
      </w:r>
    </w:p>
    <w:tbl>
      <w:tblPr>
        <w:tblW w:type="auto" w:w="0"/>
        <w:jc w:val="center"/>
        <w:tblLook w:firstColumn="1" w:firstRow="1" w:lastColumn="0" w:lastRow="0" w:noHBand="0" w:noVBand="1" w:val="04A0"/>
      </w:tblPr>
      <w:tblGrid>
        <w:gridCol w:w="14544"/>
      </w:tblGrid>
      <w:tr>
        <w:tc>
          <w:tcPr>
            <w:tcW w:type="dxa" w:w="14544"/>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Populate from the investor registry as at month-end. For the official register, attach the full export as a supporting document if the register is too large for this pack.</w:t>
            </w:r>
          </w:p>
        </w:tc>
      </w:tr>
    </w:tbl>
    <w:p>
      <w:pPr>
        <w:spacing w:after="60" w:line="252" w:lineRule="auto"/>
      </w:pPr>
    </w:p>
    <w:tbl>
      <w:tblPr>
        <w:tblW w:type="auto" w:w="0"/>
        <w:jc w:val="center"/>
        <w:tblLayout w:type="autofit"/>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trP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Investor ID</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Investor Name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Investor Type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Opening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Subscriptions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Redemptions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Transfers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Closing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 of Fund</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KYC Status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Restriction / Flag</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{investor_id_1}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{investor_name_1}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{investor_type_1}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{opening_units_1}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{subscriptions_units_1}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{redemptions_units_1}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{transfers_units_1}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{closing_units_1}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{percentage_of_fund_1}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{kyc_status_1}</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{restriction_flag_1}</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{investor_id_2}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{investor_name_2}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{investor_type_2}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{opening_units_2}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{subscriptions_units_2}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{redemptions_units_2}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{transfers_units_2}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{closing_units_2}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{percentage_of_fund_2}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{kyc_status_2}</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{restriction_flag_2}</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{total_investors}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{total_opening_units}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{total_subscriptions_units}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{total_redemptions_units}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{total_transfers_units}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{total_closing_units}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100%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{overall_kyc_status}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{overall_restriction_status}</w:t>
            </w:r>
          </w:p>
        </w:tc>
      </w:tr>
    </w:tbl>
    <w:p>
      <w:pPr>
        <w:spacing w:after="60" w:line="252" w:lineRule="auto"/>
      </w:pPr>
    </w:p>
    <w:p>
      <w:pPr>
        <w:pStyle w:val="Heading1"/>
        <w:spacing w:before="160" w:after="80" w:line="252" w:lineRule="auto"/>
      </w:pPr>
      <w:r>
        <w:rPr>
          <w:rFonts w:ascii="Aptos" w:hAnsi="Aptos"/>
          <w:sz w:val="18"/>
        </w:rPr>
        <w:t>6. Subscriptions and Redemptions Report</w:t>
      </w:r>
    </w:p>
    <w:tbl>
      <w:tblPr>
        <w:tblW w:type="auto" w:w="0"/>
        <w:jc w:val="center"/>
        <w:tblLayout w:type="autofit"/>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rPr>
          <w:tblHeader w:val="true"/>
        </w:trP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Transaction Ref</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Investor</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Transaction Type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Trade Date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Settlement Date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Units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NAV per Unit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Gross Amount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Charges / Taxes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Net Amount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Settlement Status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Exception</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{transaction_ref_1}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{investor_name_1}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{subscription_redemption_transfer}</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{trade_date_1}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{settlement_date_1}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{units_1}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{nav_per_unit_1}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{gross_amount_1}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{charges_taxes_1}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{net_amount_1}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{settled_pending_failed}</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{exception_note_1}</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{transaction_ref_2}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{investor_name_2}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{subscription_redemption_transfer}</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{trade_date_2}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{settlement_date_2}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{units_2}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{nav_per_unit_2}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{gross_amount_2}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{charges_taxes_2}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{net_amount_2}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{settled_pending_failed}</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{exception_note_2}</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Total Subscriptions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{total_subscription_units}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{total_subscription_gross}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{total_subscription_charges_taxes}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{total_subscription_net}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{subscription_settlement_status}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{subscription_exception_summary}</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Total Redemptions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{total_redemption_units}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{total_redemption_gross}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{total_redemption_charges_taxes}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{total_redemption_net}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{redemption_settlement_status}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{redemption_exception_summary}</w:t>
            </w:r>
          </w:p>
        </w:tc>
      </w:tr>
    </w:tbl>
    <w:p>
      <w:pPr>
        <w:spacing w:after="60" w:line="252" w:lineRule="auto"/>
      </w:pPr>
    </w:p>
    <w:p>
      <w:pPr>
        <w:pStyle w:val="Heading1"/>
        <w:spacing w:before="160" w:after="80" w:line="252" w:lineRule="auto"/>
      </w:pPr>
      <w:r>
        <w:rPr>
          <w:rFonts w:ascii="Aptos" w:hAnsi="Aptos"/>
          <w:sz w:val="18"/>
        </w:rPr>
        <w:t>7. Units Reconciliation</w:t>
      </w:r>
    </w:p>
    <w:tbl>
      <w:tblPr>
        <w:tblW w:type="auto" w:w="0"/>
        <w:jc w:val="center"/>
        <w:tblLayout w:type="autofit"/>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trP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Class / Series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Opening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Subscriptions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Redemptions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Transfers In / Out</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Reinvestment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Adjustments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Closing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Registry Closing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Difference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{opening_units_class_a}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{subscriptions_class_a}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{redemptions_class_a}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{transfers_class_a}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{reinvestment_units_class_a}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{adjustments_class_a}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{closing_units_class_a}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{registry_closing_units_class_a}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{difference_class_a}</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{comment_class_a}</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{opening_units_class_b}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{subscriptions_class_b}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{redemptions_class_b}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{transfers_class_b}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{reinvestment_units_class_b}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{adjustments_class_b}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{closing_units_class_b}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{registry_closing_units_class_b}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{difference_class_b}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{comment_class_b}</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{total_opening_units}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{total_subscriptions}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{total_redemptions}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{total_transfers}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{total_reinvestment_units}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{total_adjustments}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{total_closing_units}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{total_registry_closing_units}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{total_difference}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{overall_comment}</w:t>
            </w:r>
          </w:p>
        </w:tc>
      </w:tr>
    </w:tbl>
    <w:p>
      <w:pPr>
        <w:spacing w:after="60" w:line="252" w:lineRule="auto"/>
      </w:pPr>
    </w:p>
    <w:p>
      <w:pPr>
        <w:pStyle w:val="Heading1"/>
        <w:spacing w:before="160" w:after="80" w:line="252" w:lineRule="auto"/>
      </w:pPr>
      <w:r>
        <w:rPr>
          <w:rFonts w:ascii="Aptos" w:hAnsi="Aptos"/>
          <w:sz w:val="18"/>
        </w:rPr>
        <w:t>8. NAV per Unit and Total Fund NAV</w:t>
      </w:r>
    </w:p>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NAV Component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Amount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Approved Amount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Source / Control Reference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Portfolio market 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{portfolio_market_value}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{portfolio_value_adjustments}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{approved_portfolio_value}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{portfolio_value_source_ref}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Cash and cash equivalents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{cash_balance}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{cash_adjustments}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{approved_cash}</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{cash_source_ref}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Accrued income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{accrued_income}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{income_adjustments}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{approved_accrued_income}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{income_source_ref}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Receivables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{receivables}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{receivables_adjustments}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{approved_receivables}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{receivables_source_ref}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Less: liabilities and accruals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{liabilities}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{liability_adjustments}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{approved_liabilities}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{liability_source_ref}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Less: management fees and expenses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{fees_expenses}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{fee_adjustments}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{approved_fees_expenses}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{fees_source_ref}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 Fund NAV</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{total_fund_nav}</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{nav_adjustments}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{approved_total_fund_nav}</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{nav_calculation_ref}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Closing units in issue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{closing_units_in_issue}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{unit_adjustments}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{approved_closing_units}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{unit_registry_ref}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NAV per unit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{nav_per_unit}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{nav_per_unit_adjustment}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{approved_nav_per_unit}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{nav_per_unit_calc_ref}</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bl>
    <w:p>
      <w:pPr>
        <w:spacing w:after="60" w:line="252" w:lineRule="auto"/>
      </w:pPr>
    </w:p>
    <w:p>
      <w:pPr>
        <w:pStyle w:val="Heading1"/>
        <w:spacing w:before="160" w:after="80" w:line="252" w:lineRule="auto"/>
      </w:pPr>
      <w:r>
        <w:rPr>
          <w:rFonts w:ascii="Aptos" w:hAnsi="Aptos"/>
          <w:sz w:val="18"/>
        </w:rPr>
        <w:t>9. Portfolio Holdings Schedule</w:t>
      </w:r>
    </w:p>
    <w:tbl>
      <w:tblPr>
        <w:tblW w:type="auto" w:w="0"/>
        <w:jc w:val="center"/>
        <w:tblLook w:firstColumn="1" w:firstRow="1" w:lastColumn="0" w:lastRow="0" w:noHBand="0" w:noVBand="1" w:val="04A0"/>
      </w:tblPr>
      <w:tblGrid>
        <w:gridCol w:w="14544"/>
      </w:tblGrid>
      <w:tr>
        <w:tc>
          <w:tcPr>
            <w:tcW w:type="dxa" w:w="14544"/>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Detailed holdings must be sourced from approved month-end portfolio valuation records. Stale, manually overridden, suspended or unpriced securities must be disclosed in the price and valuation support section.</w:t>
            </w:r>
          </w:p>
        </w:tc>
      </w:tr>
    </w:tbl>
    <w:p>
      <w:pPr>
        <w:spacing w:after="60" w:line="252" w:lineRule="auto"/>
      </w:pPr>
    </w:p>
    <w:tbl>
      <w:tblPr>
        <w:tblW w:type="auto" w:w="0"/>
        <w:jc w:val="center"/>
        <w:tblLayout w:type="autofit"/>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rPr>
          <w:tblHeader w:val="true"/>
        </w:trP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Instrument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ISIN / Code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Asset Class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Issuer</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Quantity / Nominal</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Price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Market Value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 of NAV</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Currency</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Price Source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Price Date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Exception</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{instrument_1}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{isin_code_1}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{asset_class_1}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{issuer_1}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{quantity_nominal_1}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{price_1}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{market_value_1}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{percentage_nav_1}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{currency_1}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{price_source_1}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{price_date_1}</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{exception_1}</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{instrument_2}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{isin_code_2}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{asset_class_2}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{issuer_2}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{quantity_nominal_2}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{price_2}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{market_value_2}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{percentage_nav_2}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{currency_2}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{price_source_2}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{price_date_2}</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{exception_2}</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Total</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{total_quantity_or_nominal}</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{total_market_value}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100%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{base_currency}</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{overall_exception_summary}</w:t>
            </w:r>
          </w:p>
        </w:tc>
      </w:tr>
    </w:tbl>
    <w:p>
      <w:pPr>
        <w:spacing w:after="60" w:line="252" w:lineRule="auto"/>
      </w:pPr>
    </w:p>
    <w:p>
      <w:pPr>
        <w:pStyle w:val="Heading1"/>
        <w:spacing w:before="160" w:after="80" w:line="252" w:lineRule="auto"/>
      </w:pPr>
      <w:r>
        <w:rPr>
          <w:rFonts w:ascii="Aptos" w:hAnsi="Aptos"/>
          <w:sz w:val="18"/>
        </w:rPr>
        <w:t>10. Fund Asset Allocation</w:t>
      </w:r>
    </w:p>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Allocation Category</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Market 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 of NAV</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Mandate / 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Within 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Listed equities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{listed_equities_value}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{listed_equities_pct}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{listed_equities_limit}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Unquoted equities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{unquoted_equities_value}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{unquoted_equities_pct}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{unquoted_equities_limit}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Money market instruments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{money_market_pct}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Bonds / fixed income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{bonds_value}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{bonds_pct}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{bonds_limit}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Property / REIT exposure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{property_reit_value}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{property_reit_pct}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{property_reit_limit}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Cash</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{cash_value}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{cash_pct}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{cash_limit}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Other investments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{other_value}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{other_pct}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{other_limit}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Total</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{total_allocation_value}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100%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{total_comment}</w:t>
            </w:r>
          </w:p>
        </w:tc>
      </w:tr>
    </w:tbl>
    <w:p>
      <w:pPr>
        <w:spacing w:after="60" w:line="252" w:lineRule="auto"/>
      </w:pPr>
    </w:p>
    <w:p>
      <w:pPr>
        <w:spacing w:line="252" w:lineRule="auto" w:after="0"/>
        <w:sectPr>
          <w:pgSz w:w="15840" w:h="12240" w:orient="landscape"/>
          <w:pgMar w:top="648" w:right="648" w:bottom="648" w:left="648" w:header="720" w:footer="720" w:gutter="0"/>
          <w:cols w:space="720"/>
          <w:docGrid w:linePitch="360"/>
        </w:sectPr>
      </w:pPr>
    </w:p>
    <w:p>
      <w:pPr>
        <w:pStyle w:val="Heading1"/>
        <w:spacing w:before="160" w:after="80" w:line="252" w:lineRule="auto"/>
      </w:pPr>
      <w:r>
        <w:rPr>
          <w:rFonts w:ascii="Aptos" w:hAnsi="Aptos"/>
          <w:sz w:val="18"/>
        </w:rPr>
        <w:t>11. Fund Income Report</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Income Type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Gross 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Withholding 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Net 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Accrued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Received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Outstanding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Dividends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{dividend_gross_income}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{dividend_withholding_tax}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{dividend_net_income}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{dividend_accrued}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{dividend_received}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{dividend_outstanding}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Coupons / bond interest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{coupon_gross_income}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{coupon_withholding_tax}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{coupon_net_income}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{coupon_accrued}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{coupon_received}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{coupon_outstanding}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Money market interest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{money_market_gross_income}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{money_market_withholding_tax}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{money_market_net_income}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{money_market_accrued}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{money_market_received}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{money_market_outstanding}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Other 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{other_gross_income}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{other_withholding_tax}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{other_net_income}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{other_accrued}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{other_received}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{other_outstanding}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{total_gross_income}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{total_withholding_tax}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{total_net_income}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{total_accrued}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{total_received}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{total_outstanding}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{overall_comment}</w:t>
            </w:r>
          </w:p>
        </w:tc>
      </w:tr>
    </w:tbl>
    <w:p>
      <w:pPr>
        <w:spacing w:after="60" w:line="252" w:lineRule="auto"/>
      </w:pPr>
    </w:p>
    <w:p>
      <w:pPr>
        <w:pStyle w:val="Heading1"/>
        <w:spacing w:before="160" w:after="80" w:line="252" w:lineRule="auto"/>
      </w:pPr>
      <w:r>
        <w:rPr>
          <w:rFonts w:ascii="Aptos" w:hAnsi="Aptos"/>
          <w:sz w:val="18"/>
        </w:rPr>
        <w:t>12. Management Fee Report</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Fee computations must be based on the governing documents, prospectus, management agreement, trustee/custodian agreements and approved fee parameters in Arcus. Any fee waiver or manual override must be disclosed.</w:t>
            </w:r>
          </w:p>
        </w:tc>
      </w:tr>
    </w:tbl>
    <w:p>
      <w:pPr>
        <w:spacing w:after="60" w:line="252" w:lineRule="auto"/>
      </w:pP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Fee / Expense Type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Calculation Basis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Gross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VAT / 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Net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Accrued / Paid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Management fee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{management_fee_basis}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{management_fee_rate}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{management_fee_gross}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{management_fee_vat_tax}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{management_fee_net}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{accrued_paid}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Trustee / custodian fee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{trustee_custodian_fee_basis}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{trustee_custodian_fee_rate}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{trustee_custodian_fee_gross}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{trustee_custodian_fee_vat_tax}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{trustee_custodian_fee_net}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{accrued_paid}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Administration / registry fee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{admin_registry_fee_basis}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{admin_registry_fee_rate}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{admin_registry_fee_gross}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{admin_registry_fee_vat_tax}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{admin_registry_fee_net}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{accrued_paid}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Audit / professional fees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{professional_fee_basis}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{professional_fee_rate}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{professional_fee_gross}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{professional_fee_vat_tax}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{professional_fee_net}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{accrued_paid}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{total_fee_gross}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{total_fee_vat_tax}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{total_fee_net}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{total_accrued_paid}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{overall_comment}</w:t>
            </w:r>
          </w:p>
        </w:tc>
      </w:tr>
    </w:tbl>
    <w:p>
      <w:pPr>
        <w:spacing w:after="60" w:line="252" w:lineRule="auto"/>
      </w:pPr>
    </w:p>
    <w:p>
      <w:pPr>
        <w:pStyle w:val="Heading1"/>
        <w:spacing w:before="160" w:after="80" w:line="252" w:lineRule="auto"/>
      </w:pPr>
      <w:r>
        <w:rPr>
          <w:rFonts w:ascii="Aptos" w:hAnsi="Aptos"/>
          <w:sz w:val="18"/>
        </w:rPr>
        <w:t>13. Custodian / Trustee Reconciliation</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Reconciliation Area</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Arcus 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Custodian / Trustee 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Ageing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Status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Resolution Action</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Securities holdings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{arcus_holdings_value}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{custodian_holdings_value}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{ageing}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{open_closed}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{resolution_action}</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Cash balances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{arcus_cash_value}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{custodian_cash_value}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{ageing}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{open_closed}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{resolution_action}</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Subscriptions / settlement cash</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{arcus_subscription_cash}</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{custodian_subscription_cash}</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{ageing}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{open_closed}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{resolution_action}</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Redemptions / settlement cash</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{arcus_redemption_cash}</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{custodian_redemption_cash}</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{ageing}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{open_closed}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{resolution_action}</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Income receivable / received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{arcus_income_value}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{custodian_income_value}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{ageing}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{open_closed}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{resolution_action}</w:t>
            </w:r>
          </w:p>
        </w:tc>
      </w:tr>
    </w:tbl>
    <w:p>
      <w:pPr>
        <w:spacing w:after="60" w:line="252" w:lineRule="auto"/>
      </w:pPr>
    </w:p>
    <w:p>
      <w:pPr>
        <w:pStyle w:val="Heading1"/>
        <w:spacing w:before="160" w:after="80" w:line="252" w:lineRule="auto"/>
      </w:pPr>
      <w:r>
        <w:rPr>
          <w:rFonts w:ascii="Aptos" w:hAnsi="Aptos"/>
          <w:sz w:val="18"/>
        </w:rPr>
        <w:t>14. Bank Reconciliation</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Bank Account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Currency</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Ledger 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Bank Statement 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Reconciling Items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Adjusted 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Status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{bank_account_1}</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{currency_1}</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{ledger_balance_1}</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{bank_statement_balance_1}</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{reconciling_items_1}</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{adjusted_balance_1}</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{difference_1}</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{status_1}</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{bank_account_2}</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{currency_2}</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{ledger_balance_2}</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{bank_statement_balance_2}</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{reconciling_items_2}</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{adjusted_balance_2}</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{difference_2}</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{status_2}</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{base_currency}</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{total_ledger_balance}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{total_bank_statement_balance}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{total_reconciling_items}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{total_adjusted_balance}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{total_difference}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{overall_status}</w:t>
            </w:r>
          </w:p>
        </w:tc>
      </w:tr>
    </w:tbl>
    <w:p>
      <w:pPr>
        <w:spacing w:after="60" w:line="252" w:lineRule="auto"/>
      </w:pPr>
    </w:p>
    <w:p>
      <w:pPr>
        <w:pStyle w:val="Heading1"/>
        <w:spacing w:before="160" w:after="80" w:line="252" w:lineRule="auto"/>
      </w:pPr>
      <w:r>
        <w:rPr>
          <w:rFonts w:ascii="Aptos" w:hAnsi="Aptos"/>
          <w:sz w:val="18"/>
        </w:rPr>
        <w:t>15. Price and Valuation Support Pack</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Only approved prices, FX rates and valuation inputs should be used. Any missing price, stale price, manual override or suspended instrument must be disclosed and approved before final NAV approval.</w:t>
            </w:r>
          </w:p>
        </w:tc>
      </w:tr>
    </w:tbl>
    <w:p>
      <w:pPr>
        <w:spacing w:after="60" w:line="252" w:lineRule="auto"/>
      </w:pP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Control Item</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Result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Exception Count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Approver</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Evidence Reference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Comment</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Month-end prices approved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{pass_fail}</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{exception_count}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{approver_name}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{evidence_reference}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FX rates approved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{pass_fail}</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{exception_count}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{approver_name}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{evidence_reference}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No stale prices outside tolerance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{pass_fail}</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{exception_count}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{approver_name}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{evidence_reference}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Manual price overrides reviewed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{pass_fail}</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{exception_count}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{approver_name}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{evidence_reference}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Illiquid / unquoted assets valued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{pass_fail}</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{exception_count}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{approver_name}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{evidence_reference}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NAV review completed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{pass_fail}</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{exception_count}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{approver_name}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{evidence_reference}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bl>
    <w:p>
      <w:pPr>
        <w:spacing w:after="60" w:line="252" w:lineRule="auto"/>
      </w:pPr>
    </w:p>
    <w:p>
      <w:pPr>
        <w:pStyle w:val="Heading1"/>
        <w:spacing w:before="160" w:after="80" w:line="252" w:lineRule="auto"/>
      </w:pPr>
      <w:r>
        <w:rPr>
          <w:rFonts w:ascii="Aptos" w:hAnsi="Aptos"/>
          <w:sz w:val="18"/>
        </w:rPr>
        <w:t>16. Fund Fact Sheet Inputs</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Fact Sheet Field</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Value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Source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Reviewed By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Fund objective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{fund_objective}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{source_reference}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{reviewer}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Risk profile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{risk_profile}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{source_reference}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{reviewer}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NAV per unit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{nav_per_unit}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{source_reference}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{reviewer}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Total fund NAV</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{total_fund_nav}</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{source_reference}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{reviewer}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Monthly return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{monthly_return}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{source_reference}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{reviewer}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Year-to-date return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{ytd_return}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{source_reference}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{reviewer}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Top holdings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{top_holdings_summary}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{source_reference}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{reviewer}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Asset allocation chart data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{asset_allocation_chart_data}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{source_reference}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{reviewer}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bl>
    <w:p>
      <w:pPr>
        <w:spacing w:after="60" w:line="252" w:lineRule="auto"/>
      </w:pPr>
    </w:p>
    <w:p>
      <w:pPr>
        <w:pStyle w:val="Heading1"/>
        <w:spacing w:before="160" w:after="80" w:line="252" w:lineRule="auto"/>
      </w:pPr>
      <w:r>
        <w:rPr>
          <w:rFonts w:ascii="Aptos" w:hAnsi="Aptos"/>
          <w:sz w:val="18"/>
        </w:rPr>
        <w:t>17. Investor Statement Release Summary</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Statement Type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Investor Population</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Number Generated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Number Approved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Published / Sent</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Exceptions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Comment</w:t>
            </w:r>
          </w:p>
        </w:tc>
      </w:tr>
      <w:t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Monthly investor statements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{investor_population}</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{number_generated}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{number_approved}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{number_published_sent}</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{exceptions}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Redemption confirmations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{investor_population}</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{number_generated}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{number_approved}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{number_published_sent}</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{exceptions}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Subscription confirmations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{investor_population}</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{number_generated}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{number_approved}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{number_published_sent}</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{exceptions}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{comment}</w:t>
            </w:r>
          </w:p>
        </w:tc>
      </w:tr>
      <w:t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Tax / income support documents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{investor_population}</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{number_generated}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{number_approved}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{number_published_sent}</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{exceptions}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{comment}</w:t>
            </w:r>
          </w:p>
        </w:tc>
      </w:tr>
    </w:tbl>
    <w:p>
      <w:pPr>
        <w:spacing w:after="60" w:line="252" w:lineRule="auto"/>
      </w:pPr>
    </w:p>
    <w:p>
      <w:pPr>
        <w:pStyle w:val="Heading1"/>
        <w:spacing w:before="160" w:after="80" w:line="252" w:lineRule="auto"/>
      </w:pPr>
      <w:r>
        <w:rPr>
          <w:rFonts w:ascii="Aptos" w:hAnsi="Aptos"/>
          <w:sz w:val="18"/>
        </w:rPr>
        <w:t>18. Compliance Exception Report</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List all mandate, liquidity, concentration, pricing, valuation, KYC, settlement, reconciliation, investor dealing, late submission and disclosure exceptions identified during the month.</w:t>
            </w:r>
          </w:p>
        </w:tc>
      </w:tr>
    </w:tbl>
    <w:p>
      <w:pPr>
        <w:spacing w:after="60" w:line="252" w:lineRule="auto"/>
      </w:pPr>
    </w:p>
    <w:tbl>
      <w:tblPr>
        <w:tblW w:type="auto" w:w="0"/>
        <w:jc w:val="center"/>
        <w:tblLayout w:type="autofit"/>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trPr>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Exception ID</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Exception Type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Description</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Severity</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Date Identified</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Owner</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Target Resolution Date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Status</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Escalation Required</w:t>
            </w:r>
          </w:p>
        </w:tc>
      </w:tr>
      <w:tr>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{exception_id_1}</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{exception_type_1}</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{description_1}</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{low_medium_high_critical}</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{date_identified_1}</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{owner_1}</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{target_resolution_date_1}</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{open_in_progress_closed}</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r>
      <w:tr>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{exception_id_2}</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{exception_type_2}</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{description_2}</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{low_medium_high_critical}</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{date_identified_2}</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{owner_2}</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{target_resolution_date_2}</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{open_in_progress_closed}</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r>
    </w:tbl>
    <w:p>
      <w:pPr>
        <w:spacing w:after="60" w:line="252" w:lineRule="auto"/>
      </w:pPr>
    </w:p>
    <w:p>
      <w:pPr>
        <w:pStyle w:val="Heading1"/>
        <w:spacing w:before="160" w:after="80" w:line="252" w:lineRule="auto"/>
      </w:pPr>
      <w:r>
        <w:rPr>
          <w:rFonts w:ascii="Aptos" w:hAnsi="Aptos"/>
          <w:sz w:val="18"/>
        </w:rPr>
        <w:t>19. Supporting Documents Register</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Document Ref</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Document Name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Source Module / 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Uploaded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Reviewed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{document_ref_1}</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Unit-holder register export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{investor_registry}</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{document_ref_2}</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Portfolio valuation report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{portfolio_valuation}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{document_ref_3}</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Custodian statement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{custodian}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{document_ref_4}</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Bank statement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{bank}</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{document_ref_5}</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NAV calculation file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{nav_workpaper}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{document_ref_6}</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Price and FX approval evidence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{pricing_fx}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{document_ref_7}</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Official regulatory submission form, if applicable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{compliance}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{yes_no}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{comment}</w:t>
            </w:r>
          </w:p>
        </w:tc>
      </w:tr>
    </w:tbl>
    <w:p>
      <w:pPr>
        <w:spacing w:after="60" w:line="252" w:lineRule="auto"/>
      </w:pPr>
    </w:p>
    <w:p>
      <w:pPr>
        <w:pStyle w:val="Heading1"/>
        <w:spacing w:before="160" w:after="80" w:line="252" w:lineRule="auto"/>
      </w:pPr>
      <w:r>
        <w:rPr>
          <w:rFonts w:ascii="Aptos" w:hAnsi="Aptos"/>
          <w:sz w:val="18"/>
        </w:rPr>
        <w:t>20. Management Declaration</w:t>
      </w:r>
    </w:p>
    <w:p>
      <w:pPr>
        <w:spacing w:after="120" w:line="252" w:lineRule="auto"/>
      </w:pPr>
      <w:r>
        <w:rPr>
          <w:rFonts w:ascii="Aptos" w:hAnsi="Aptos"/>
          <w:b w:val="0"/>
          <w:i w:val="0"/>
          <w:sz w:val="18"/>
        </w:rPr>
        <w:t>We confirm that, to the best of our knowledge and based on the approved records reviewed for the period, this CIS Monthly Return Pack has been prepared from approved source data, reconciled to the relevant investor registry, portfolio valuation, custodian/trustee, bank and accounting records, and reviewed for completeness prior to submission or circulation.</w:t>
      </w:r>
    </w:p>
    <w:p>
      <w:pPr>
        <w:spacing w:after="120" w:line="252" w:lineRule="auto"/>
      </w:pPr>
      <w:r>
        <w:rPr>
          <w:rFonts w:ascii="Aptos" w:hAnsi="Aptos"/>
          <w:b w:val="0"/>
          <w:i w:val="0"/>
          <w:sz w:val="18"/>
        </w:rPr>
        <w:t>Any unresolved exceptions, limitations or post-period adjustments are disclosed in this pack. The report should be read together with the scheme governing documents, approved valuation policy, compliance manual, trustee/custodian confirmations and any official return form submitted to the relevant authority.</w:t>
      </w:r>
    </w:p>
    <w:p>
      <w:pPr>
        <w:pStyle w:val="Heading1"/>
        <w:spacing w:before="160" w:after="80" w:line="252" w:lineRule="auto"/>
      </w:pPr>
      <w:r>
        <w:rPr>
          <w:rFonts w:ascii="Aptos" w:hAnsi="Aptos"/>
          <w:sz w:val="18"/>
        </w:rPr>
        <w:t>21. Approval and Submission Record</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Role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Name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Designation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Date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Signature / Digital Approval</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Prepared By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{prepared_by_name}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{prepared_by_designation}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{prepared_by_date}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{prepared_by_signature_or_digital_approval}</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Operations Review</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{operations_review_name}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{operations_review_designation}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{operations_review_date}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{operations_review_signature_or_digital_approval}</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Fund Accounting Review</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{fund_accounting_review_name}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{fund_accounting_review_designation}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{fund_accounting_review_date}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{fund_accounting_review_signature_or_digital_approval}</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Compliance Officer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{compliance_officer_name}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{compliance_officer_designation}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{compliance_officer_date}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{compliance_officer_signature_or_digital_approval}</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Authorised Officer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{authorised_officer_name}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{authorised_officer_designation}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{authorised_officer_date}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{authorised_officer_signature_or_digital_approval}</w:t>
            </w:r>
          </w:p>
        </w:tc>
      </w:tr>
    </w:tbl>
    <w:p>
      <w:pPr>
        <w:spacing w:after="60" w:line="252" w:lineRule="auto"/>
      </w:pPr>
    </w:p>
    <w:tbl>
      <w:tblPr>
        <w:tblW w:type="auto" w:w="0"/>
        <w:jc w:val="center"/>
        <w:tblLayout w:type="autofit"/>
        <w:tblLook w:firstColumn="1" w:firstRow="1" w:lastColumn="0" w:lastRow="0" w:noHBand="0" w:noVBand="1" w:val="04A0"/>
      </w:tblPr>
      <w:tblGrid>
        <w:gridCol w:w="5328"/>
        <w:gridCol w:w="5328"/>
      </w:tblGrid>
      <w:tr>
        <w:trPr>
          <w:tblHeader w:val="true"/>
        </w:trP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Submission / Publication Control</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Detail</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Regulatory submission required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{yes_no_na}</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Submission deadline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{submission_deadline}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Submitted to</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{regulator_trustee_custodian_board_internal_only}</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Submission method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{email_portal_physical_internal_archive}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Submission date and time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{submission_date_time}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Submission reference / receipt</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{submission_reference_receipt}</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Queries received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{queries_received_yes_no}</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Query resolution status</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{query_resolution_status}</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Portal publication date, if applicable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{portal_publication_date}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Archive status</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{draft_locked_archived}</w:t>
            </w:r>
          </w:p>
        </w:tc>
      </w:tr>
    </w:tbl>
    <w:p>
      <w:pPr>
        <w:spacing w:after="60" w:line="252" w:lineRule="auto"/>
      </w:pPr>
    </w:p>
    <w:p>
      <w:pPr>
        <w:pStyle w:val="Heading1"/>
        <w:spacing w:before="160" w:after="80" w:line="252" w:lineRule="auto"/>
      </w:pPr>
      <w:r>
        <w:rPr>
          <w:rFonts w:ascii="Aptos" w:hAnsi="Aptos"/>
          <w:sz w:val="18"/>
        </w:rPr>
        <w:t>22. Digital Signature and Audit Details</w:t>
      </w:r>
    </w:p>
    <w:tbl>
      <w:tblPr>
        <w:tblW w:type="auto" w:w="0"/>
        <w:jc w:val="center"/>
        <w:tblLayout w:type="autofit"/>
        <w:tblLook w:firstColumn="1" w:firstRow="1" w:lastColumn="0" w:lastRow="0" w:noHBand="0" w:noVBand="1" w:val="04A0"/>
      </w:tblPr>
      <w:tblGrid>
        <w:gridCol w:w="5328"/>
        <w:gridCol w:w="5328"/>
      </w:tblGrid>
      <w:tr>
        <w:trPr>
          <w:tblHeader w:val="true"/>
        </w:trP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Control Field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Detail</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Reporting Run ID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{reporting_run_id}</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Generated Report ID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{generated_report_id}</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Source Data Snapshot ID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{source_data_snapshot_id}</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Generated By</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{generated_by_user}</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Generated Date and Time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{generated_datetime}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Maker Review Date and Time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{maker_review_datetime}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Checker Approval Date and Time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{checker_approval_datetime}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Data Lock Status</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{data_lock_status}</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Document Version</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{document_version}</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Document Hash / Checksum</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{document_hash}</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Reissue Reference, if any</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{reissue_reference}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Audit Log Reference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{audit_log_reference}</w:t>
            </w:r>
          </w:p>
        </w:tc>
      </w:tr>
    </w:tbl>
    <w:p>
      <w:pPr>
        <w:spacing w:after="60" w:line="252" w:lineRule="auto"/>
      </w:pP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5328"/>
      <w:gridCol w:w="5328"/>
    </w:tblGrid>
    <w:tr>
      <w:tc>
        <w:tcPr>
          <w:tcW w:type="dxa" w:w="5328"/>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val="0"/>
              <w:i w:val="0"/>
              <w:color w:val="6B7280"/>
              <w:sz w:val="14"/>
            </w:rPr>
            <w:t>Confidential CIS Monthly Return Pack | System-generated from approved source data</w:t>
          </w:r>
        </w:p>
      </w:tc>
      <w:tc>
        <w:tcPr>
          <w:tcW w:type="dxa" w:w="5328"/>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6B7280"/>
              <w:sz w:val="14"/>
            </w:rPr>
            <w:t xml:space="preserve">Document checksum: </w:t>
          </w:r>
          <w:r>
            <w:rPr>
              <w:rFonts w:ascii="Aptos" w:hAnsi="Aptos"/>
              <w:highlight w:val="yellow"/>
            </w:rPr>
            <w:t>{document_hash}</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328"/>
      <w:gridCol w:w="5328"/>
    </w:tblGrid>
    <w:tr>
      <w:tc>
        <w:tcPr>
          <w:tcW w:type="dxa" w:w="5328"/>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Display" w:hAnsi="Aptos Display"/>
              <w:b/>
              <w:color w:val="1688E8"/>
              <w:sz w:val="20"/>
            </w:rPr>
            <w:t>■ ARCUS</w:t>
          </w:r>
          <w:r>
            <w:rPr>
              <w:rFonts w:ascii="Aptos Display" w:hAnsi="Aptos Display"/>
              <w:b/>
              <w:color w:val="071426"/>
              <w:sz w:val="20"/>
            </w:rPr>
            <w:t xml:space="preserve"> REPORTING TEMPLATE</w:t>
          </w:r>
        </w:p>
      </w:tc>
      <w:tc>
        <w:tcPr>
          <w:tcW w:type="dxa" w:w="5328"/>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color w:val="071426"/>
              <w:sz w:val="16"/>
            </w:rPr>
            <w:t>CIS Monthly Return Pack | Unit Trust / REIT / CIS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4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42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42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