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328"/>
        <w:gridCol w:w="5328"/>
      </w:tblGrid>
      <w:tr>
        <w:tc>
          <w:tcPr>
            <w:tcW w:type="dxa" w:w="5328"/>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80" w:type="dxa"/>
              <w:start w:w="30" w:type="dxa"/>
              <w:bottom w:w="80" w:type="dxa"/>
              <w:end w:w="30" w:type="dxa"/>
            </w:tcMar>
          </w:tcPr>
          <w:p>
            <w:r>
              <w:rPr>
                <w:b/>
                <w:i w:val="0"/>
                <w:color w:val="000000"/>
                <w:sz w:val="16"/>
                <w:highlight w:val="yellow"/>
                <w:u w:val="none"/>
              </w:rPr>
              <w:t>[LOGO PLACEHOLDER]</w:t>
            </w:r>
            <w:r>
              <w:br/>
            </w:r>
            <w:r>
              <w:rPr>
                <w:b w:val="0"/>
                <w:i w:val="0"/>
                <w:color w:val="55606D"/>
                <w:sz w:val="16"/>
                <w:u w:val="none"/>
              </w:rPr>
              <w:t>Asset Management Client Statement</w:t>
            </w:r>
          </w:p>
        </w:tc>
        <w:tc>
          <w:tcPr>
            <w:tcW w:type="dxa" w:w="5328"/>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80" w:type="dxa"/>
              <w:start w:w="30" w:type="dxa"/>
              <w:bottom w:w="80" w:type="dxa"/>
              <w:end w:w="30" w:type="dxa"/>
            </w:tcMar>
          </w:tcPr>
          <w:p>
            <w:pPr>
              <w:jc w:val="right"/>
            </w:pPr>
            <w:r>
              <w:rPr>
                <w:b/>
                <w:i w:val="0"/>
                <w:color w:val="000000"/>
                <w:sz w:val="20"/>
                <w:highlight w:val="yellow"/>
                <w:u w:val="none"/>
              </w:rPr>
              <w:t>{asset_manager_name}</w:t>
            </w:r>
            <w:r>
              <w:br/>
            </w:r>
            <w:r>
              <w:rPr>
                <w:b w:val="0"/>
                <w:i w:val="0"/>
                <w:color w:val="000000"/>
                <w:sz w:val="16"/>
                <w:highlight w:val="yellow"/>
                <w:u w:val="none"/>
              </w:rPr>
              <w:t>{registered_office_address}</w:t>
            </w:r>
            <w:r>
              <w:br/>
            </w:r>
            <w:r>
              <w:rPr>
                <w:b w:val="0"/>
                <w:i w:val="0"/>
                <w:color w:val="000000"/>
                <w:sz w:val="16"/>
                <w:highlight w:val="yellow"/>
                <w:u w:val="none"/>
              </w:rPr>
              <w:t>Company Reg. No: {company_registration_number} | SECZIM Licence No: {seczim_licence_number}</w:t>
            </w:r>
            <w:r>
              <w:br/>
            </w:r>
            <w:r>
              <w:rPr>
                <w:b w:val="0"/>
                <w:i w:val="0"/>
                <w:color w:val="000000"/>
                <w:sz w:val="16"/>
                <w:highlight w:val="yellow"/>
                <w:u w:val="none"/>
              </w:rPr>
              <w:t>{telephone_number} | {official_email} | {website}</w:t>
            </w:r>
          </w:p>
        </w:tc>
      </w:tr>
    </w:tbl>
    <w:tbl>
      <w:tblPr>
        <w:tblW w:type="auto" w:w="0"/>
        <w:tblLook w:firstColumn="1" w:firstRow="1" w:lastColumn="0" w:lastRow="0" w:noHBand="0" w:noVBand="1" w:val="04A0"/>
      </w:tblPr>
      <w:tblGrid>
        <w:gridCol w:w="10656"/>
      </w:tblGrid>
      <w:tr>
        <w:tc>
          <w:tcPr>
            <w:tcW w:type="dxa" w:w="10656"/>
            <w:shd w:fill="1687E8"/>
            <w:tcMar>
              <w:top w:w="1" w:type="dxa"/>
              <w:start w:w="1" w:type="dxa"/>
              <w:bottom w:w="1" w:type="dxa"/>
              <w:end w:w="1" w:type="dxa"/>
            </w:tcMar>
            <w:tcBorders>
              <w:top w:val="single" w:sz="1" w:space="0" w:color="1687E8"/>
              <w:left w:val="single" w:sz="1" w:space="0" w:color="1687E8"/>
              <w:bottom w:val="single" w:sz="1" w:space="0" w:color="1687E8"/>
              <w:right w:val="single" w:sz="1" w:space="0" w:color="1687E8"/>
              <w:insideH w:val="single" w:sz="1" w:space="0" w:color="1687E8"/>
              <w:insideV w:val="single" w:sz="1" w:space="0" w:color="1687E8"/>
            </w:tcBorders>
          </w:tcPr>
          <w:p/>
        </w:tc>
      </w:tr>
    </w:tbl>
    <w:p>
      <w:pPr>
        <w:jc w:val="center"/>
      </w:pPr>
      <w:r>
        <w:rPr>
          <w:b/>
          <w:i w:val="0"/>
          <w:color w:val="071A2F"/>
          <w:sz w:val="44"/>
          <w:u w:val="none"/>
        </w:rPr>
        <w:t>CLIENT PORTFOLIO VALUATION STATEMENT</w:t>
      </w:r>
    </w:p>
    <w:p>
      <w:pPr>
        <w:jc w:val="center"/>
      </w:pPr>
      <w:r>
        <w:rPr>
          <w:b w:val="0"/>
          <w:i w:val="0"/>
          <w:color w:val="55606D"/>
          <w:sz w:val="20"/>
          <w:u w:val="none"/>
        </w:rPr>
        <w:t>Portfolio Holdings, NAV, Cash, Income and Valuation Summary</w:t>
      </w:r>
    </w:p>
    <w:tbl>
      <w:tblPr>
        <w:tblW w:type="auto" w:w="0"/>
        <w:jc w:val="center"/>
        <w:tblLook w:firstColumn="1" w:firstRow="1" w:lastColumn="0" w:lastRow="0" w:noHBand="0" w:noVBand="1" w:val="04A0"/>
      </w:tblPr>
      <w:tblGrid>
        <w:gridCol w:w="10656"/>
      </w:tblGrid>
      <w:tr>
        <w:tc>
          <w:tcPr>
            <w:tcW w:type="dxa" w:w="10656"/>
            <w:shd w:fill="EAF4FF"/>
            <w:tcBorders>
              <w:top w:val="single" w:sz="8" w:space="0" w:color="9CCBFF"/>
              <w:left w:val="single" w:sz="8" w:space="0" w:color="9CCBFF"/>
              <w:bottom w:val="single" w:sz="8" w:space="0" w:color="9CCBFF"/>
              <w:right w:val="single" w:sz="8" w:space="0" w:color="9CCBFF"/>
              <w:insideH w:val="single" w:sz="8" w:space="0" w:color="9CCBFF"/>
              <w:insideV w:val="single" w:sz="8" w:space="0" w:color="9CCBFF"/>
            </w:tcBorders>
            <w:tcMar>
              <w:top w:w="120" w:type="dxa"/>
              <w:start w:w="150" w:type="dxa"/>
              <w:bottom w:w="120" w:type="dxa"/>
              <w:end w:w="150" w:type="dxa"/>
            </w:tcMar>
          </w:tcPr>
          <w:p>
            <w:r>
              <w:rPr>
                <w:b/>
                <w:i w:val="0"/>
                <w:color w:val="1687E8"/>
                <w:sz w:val="17"/>
                <w:u w:val="none"/>
              </w:rPr>
              <w:t xml:space="preserve">INSTRUCTION: </w:t>
            </w:r>
            <w:r>
              <w:rPr>
                <w:b w:val="0"/>
                <w:i w:val="0"/>
                <w:color w:val="071A2F"/>
                <w:sz w:val="17"/>
                <w:u w:val="none"/>
              </w:rPr>
              <w:t>Replace every yellow highlighted placeholder before issuing the statement. Blue boxes are drafting instructions and should be deleted before the final statement is approved or published. Standard black text is intended to remain unchanged unless approved by compliance/legal. This template should be generated from approved Stock Price Collector / Portfolio Valuation data and not manually edited after generation.</w:t>
            </w:r>
          </w:p>
        </w:tc>
      </w:tr>
    </w:tbl>
    <w:p>
      <w:pPr>
        <w:pStyle w:val="Heading2"/>
      </w:pPr>
      <w:r>
        <w:rPr>
          <w:b/>
          <w:i w:val="0"/>
          <w:color w:val="1687E8"/>
          <w:sz w:val="22"/>
          <w:u w:val="none"/>
        </w:rPr>
        <w:t>Document Control</w:t>
      </w:r>
    </w:p>
    <w:tbl>
      <w:tblPr>
        <w:tblW w:type="auto" w:w="0"/>
        <w:jc w:val="center"/>
        <w:tblLayout w:type="autofit"/>
        <w:tblLook w:firstColumn="1" w:firstRow="1" w:lastColumn="0" w:lastRow="0" w:noHBand="0" w:noVBand="1" w:val="04A0"/>
      </w:tblPr>
      <w:tblGrid>
        <w:gridCol w:w="5328"/>
        <w:gridCol w:w="5328"/>
      </w:tblGrid>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Client Legal Name</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{client_legal_name}</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Client Account / Investor ID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{client_account_id}</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Portfolio / Mandate Name</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{portfolio_name}</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Portfolio Reference</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{portfolio_reference}</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Reporting Period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{period_start_date} to {period_end_date}</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Valuation Date</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{valuation_date}</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Base Currency</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{base_currency}</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Client Reporting Currency</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{reporting_currency}</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Statement Version</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{version_number}</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Document Status</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{draft / under_review / approved / published / reissued / archived}</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Prepared By</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{maker_name_and_title}</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Approved By</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{checker_name_and_title}</w:t>
            </w:r>
          </w:p>
        </w:tc>
      </w:tr>
    </w:tbl>
    <w:p>
      <w:pPr>
        <w:pStyle w:val="Heading1"/>
      </w:pPr>
      <w:r>
        <w:rPr>
          <w:b/>
          <w:i w:val="0"/>
          <w:color w:val="071A2F"/>
          <w:sz w:val="30"/>
          <w:u w:val="none"/>
        </w:rPr>
        <w:t>1. Confidentiality, Purpose and Statement Basis</w:t>
      </w:r>
    </w:p>
    <w:p>
      <w:r>
        <w:rPr>
          <w:b w:val="0"/>
          <w:i w:val="0"/>
          <w:sz w:val="18"/>
          <w:u w:val="none"/>
        </w:rPr>
        <w:t xml:space="preserve">This Client Portfolio Valuation Statement is confidential and is issued solely for the use of </w:t>
      </w:r>
      <w:r>
        <w:rPr>
          <w:b w:val="0"/>
          <w:i w:val="0"/>
          <w:color w:val="000000"/>
          <w:sz w:val="18"/>
          <w:highlight w:val="yellow"/>
          <w:u w:val="none"/>
        </w:rPr>
        <w:t>{client_legal_name}</w:t>
      </w:r>
      <w:r>
        <w:rPr>
          <w:b w:val="0"/>
          <w:i w:val="0"/>
          <w:sz w:val="18"/>
          <w:u w:val="none"/>
        </w:rPr>
        <w:t xml:space="preserve"> in relation to the portfolio managed or administered by </w:t>
      </w:r>
      <w:r>
        <w:rPr>
          <w:b w:val="0"/>
          <w:i w:val="0"/>
          <w:color w:val="000000"/>
          <w:sz w:val="18"/>
          <w:highlight w:val="yellow"/>
          <w:u w:val="none"/>
        </w:rPr>
        <w:t>{asset_manager_name}</w:t>
      </w:r>
      <w:r>
        <w:rPr>
          <w:b w:val="0"/>
          <w:i w:val="0"/>
          <w:sz w:val="18"/>
          <w:u w:val="none"/>
        </w:rPr>
        <w:t>. It may not be copied, distributed, disclosed or relied upon by any third party without prior written consent, except where disclosure is required by law, regulation, a competent authority, the client's auditors, tax advisers, legal advisers, trustees or custodians.</w:t>
      </w:r>
    </w:p>
    <w:p>
      <w:r>
        <w:rPr>
          <w:b w:val="0"/>
          <w:i w:val="0"/>
          <w:sz w:val="18"/>
          <w:u w:val="none"/>
        </w:rPr>
        <w:t xml:space="preserve">The values in this statement are prepared from approved portfolio records, holdings, prices, cash balances, income records, fee schedules, FX rates and reconciliation evidence as at </w:t>
      </w:r>
      <w:r>
        <w:rPr>
          <w:b w:val="0"/>
          <w:i w:val="0"/>
          <w:color w:val="000000"/>
          <w:sz w:val="18"/>
          <w:highlight w:val="yellow"/>
          <w:u w:val="none"/>
        </w:rPr>
        <w:t>{valuation_date}</w:t>
      </w:r>
      <w:r>
        <w:rPr>
          <w:b w:val="0"/>
          <w:i w:val="0"/>
          <w:sz w:val="18"/>
          <w:u w:val="none"/>
        </w:rPr>
        <w:t>. The statement is not an offer, recommendation or solicitation to buy or sell any security or financial product.</w:t>
      </w:r>
    </w:p>
    <w:tbl>
      <w:tblPr>
        <w:tblW w:type="auto" w:w="0"/>
        <w:jc w:val="center"/>
        <w:tblLook w:firstColumn="1" w:firstRow="1" w:lastColumn="0" w:lastRow="0" w:noHBand="0" w:noVBand="1" w:val="04A0"/>
      </w:tblPr>
      <w:tblGrid>
        <w:gridCol w:w="10656"/>
      </w:tblGrid>
      <w:tr>
        <w:tc>
          <w:tcPr>
            <w:tcW w:type="dxa" w:w="10656"/>
            <w:shd w:fill="EAF4FF"/>
            <w:tcBorders>
              <w:top w:val="single" w:sz="8" w:space="0" w:color="9CCBFF"/>
              <w:left w:val="single" w:sz="8" w:space="0" w:color="9CCBFF"/>
              <w:bottom w:val="single" w:sz="8" w:space="0" w:color="9CCBFF"/>
              <w:right w:val="single" w:sz="8" w:space="0" w:color="9CCBFF"/>
              <w:insideH w:val="single" w:sz="8" w:space="0" w:color="9CCBFF"/>
              <w:insideV w:val="single" w:sz="8" w:space="0" w:color="9CCBFF"/>
            </w:tcBorders>
            <w:tcMar>
              <w:top w:w="120" w:type="dxa"/>
              <w:start w:w="150" w:type="dxa"/>
              <w:bottom w:w="120" w:type="dxa"/>
              <w:end w:w="150" w:type="dxa"/>
            </w:tcMar>
          </w:tcPr>
          <w:p>
            <w:r>
              <w:rPr>
                <w:b/>
                <w:i w:val="0"/>
                <w:color w:val="1687E8"/>
                <w:sz w:val="17"/>
                <w:u w:val="none"/>
              </w:rPr>
              <w:t xml:space="preserve">INSTRUCTION: </w:t>
            </w:r>
            <w:r>
              <w:rPr>
                <w:b w:val="0"/>
                <w:i w:val="0"/>
                <w:color w:val="071A2F"/>
                <w:sz w:val="17"/>
                <w:u w:val="none"/>
              </w:rPr>
              <w:t>Confirm whether the client is under a discretionary mandate, advisory mandate, CIS/unit trust, pension mandate or segregated portfolio arrangement. Select the correct disclaimer wording and attach the applicable mandate or investment policy statement reference before final approval.</w:t>
            </w:r>
          </w:p>
        </w:tc>
      </w:tr>
    </w:tbl>
    <w:p>
      <w:pPr>
        <w:pStyle w:val="Heading1"/>
      </w:pPr>
      <w:r>
        <w:rPr>
          <w:b/>
          <w:i w:val="0"/>
          <w:color w:val="071A2F"/>
          <w:sz w:val="30"/>
          <w:u w:val="none"/>
        </w:rPr>
        <w:t>2. Client and Mandate Details</w:t>
      </w:r>
    </w:p>
    <w:tbl>
      <w:tblPr>
        <w:tblW w:type="auto" w:w="0"/>
        <w:jc w:val="center"/>
        <w:tblLayout w:type="autofit"/>
        <w:tblLook w:firstColumn="1" w:firstRow="1" w:lastColumn="0" w:lastRow="0" w:noHBand="0" w:noVBand="1" w:val="04A0"/>
      </w:tblPr>
      <w:tblGrid>
        <w:gridCol w:w="5328"/>
        <w:gridCol w:w="5328"/>
      </w:tblGrid>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Client Type</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{individual / corporate / pension_fund / trust / institution / other}</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Mandate Type</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{discretionary / advisory / execution_only / CIS / pension_mandate / other}</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Investment Objective</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{income / growth / balanced / capital_preservation / custom_objective}</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Benchmark</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{benchmark_name_or_not_applicable}</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Risk Profile</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{conservative / moderate / balanced / growth / aggressive}</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Approved Investment Policy Reference</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{investment_policy_or_mandate_reference}</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Custodian / Broker / Bank</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{custodian_broker_or_bank_name}</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Portfolio Manager</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{portfolio_manager_name}</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Relationship Manager</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{relationship_manager_name}</w:t>
            </w:r>
          </w:p>
        </w:tc>
      </w:tr>
    </w:tbl>
    <w:p>
      <w:pPr>
        <w:pStyle w:val="Heading1"/>
      </w:pPr>
      <w:r>
        <w:rPr>
          <w:b/>
          <w:i w:val="0"/>
          <w:color w:val="071A2F"/>
          <w:sz w:val="30"/>
          <w:u w:val="none"/>
        </w:rPr>
        <w:t>3. Portfolio Valuation Summary</w:t>
      </w:r>
    </w:p>
    <w:tbl>
      <w:tblPr>
        <w:tblW w:type="auto" w:w="0"/>
        <w:jc w:val="center"/>
        <w:tblLook w:firstColumn="1" w:firstRow="1" w:lastColumn="0" w:lastRow="0" w:noHBand="0" w:noVBand="1" w:val="04A0"/>
      </w:tblPr>
      <w:tblGrid>
        <w:gridCol w:w="10656"/>
      </w:tblGrid>
      <w:tr>
        <w:tc>
          <w:tcPr>
            <w:tcW w:type="dxa" w:w="10656"/>
            <w:shd w:fill="EAF4FF"/>
            <w:tcBorders>
              <w:top w:val="single" w:sz="8" w:space="0" w:color="9CCBFF"/>
              <w:left w:val="single" w:sz="8" w:space="0" w:color="9CCBFF"/>
              <w:bottom w:val="single" w:sz="8" w:space="0" w:color="9CCBFF"/>
              <w:right w:val="single" w:sz="8" w:space="0" w:color="9CCBFF"/>
              <w:insideH w:val="single" w:sz="8" w:space="0" w:color="9CCBFF"/>
              <w:insideV w:val="single" w:sz="8" w:space="0" w:color="9CCBFF"/>
            </w:tcBorders>
            <w:tcMar>
              <w:top w:w="120" w:type="dxa"/>
              <w:start w:w="150" w:type="dxa"/>
              <w:bottom w:w="120" w:type="dxa"/>
              <w:end w:w="150" w:type="dxa"/>
            </w:tcMar>
          </w:tcPr>
          <w:p>
            <w:r>
              <w:rPr>
                <w:b/>
                <w:i w:val="0"/>
                <w:color w:val="1687E8"/>
                <w:sz w:val="17"/>
                <w:u w:val="none"/>
              </w:rPr>
              <w:t xml:space="preserve">INSTRUCTION: </w:t>
            </w:r>
            <w:r>
              <w:rPr>
                <w:b w:val="0"/>
                <w:i w:val="0"/>
                <w:color w:val="071A2F"/>
                <w:sz w:val="17"/>
                <w:u w:val="none"/>
              </w:rPr>
              <w:t>Populate this section from the approved valuation snapshot only. Market values, NAV, cash and accrued income must reconcile to source modules before approval. If any price is stale or manually overridden, document it in the Price and Valuation Exceptions section.</w:t>
            </w:r>
          </w:p>
        </w:tc>
      </w:tr>
    </w:tbl>
    <w:tbl>
      <w:tblPr>
        <w:tblW w:type="auto" w:w="0"/>
        <w:jc w:val="center"/>
        <w:tblLayout w:type="autofit"/>
        <w:tblLook w:firstColumn="1" w:firstRow="1" w:lastColumn="0" w:lastRow="0" w:noHBand="0" w:noVBand="1" w:val="04A0"/>
      </w:tblPr>
      <w:tblGrid>
        <w:gridCol w:w="5328"/>
        <w:gridCol w:w="5328"/>
      </w:tblGrid>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Opening Portfolio Value</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{opening_portfolio_value}</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Contributions / Deposits</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{contributions_or_deposits}</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Withdrawals</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{withdrawals}</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Income Received / Accrued</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{income_received_or_accrued}</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Realised Gain / Loss</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{realised_gain_loss}</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Unrealised Gain / Loss</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{unrealised_gain_loss}</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Fees and Charges</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{fees_and_charges}</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Tax / Withholding, if applicable</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{tax_or_withholding}</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FX Gain / Loss</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{fx_gain_loss}</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Closing Portfolio Value / NAV</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{closing_portfolio_value_or_nav}</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Cash Balance</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{cash_balance}</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Invested Assets Market Value</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{invested_assets_market_value}</w:t>
            </w:r>
          </w:p>
        </w:tc>
      </w:tr>
    </w:tbl>
    <w:p>
      <w:pPr>
        <w:pStyle w:val="Heading1"/>
      </w:pPr>
      <w:r>
        <w:rPr>
          <w:b/>
          <w:i w:val="0"/>
          <w:color w:val="071A2F"/>
          <w:sz w:val="30"/>
          <w:u w:val="none"/>
        </w:rPr>
        <w:t>4. NAV Bridge</w:t>
      </w:r>
    </w:p>
    <w:tbl>
      <w:tblPr>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456"/>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Movement Component</w:t>
            </w:r>
          </w:p>
        </w:tc>
        <w:tc>
          <w:tcPr>
            <w:tcW w:type="dxa" w:w="216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Amount</w:t>
            </w:r>
          </w:p>
        </w:tc>
        <w:tc>
          <w:tcPr>
            <w:tcW w:type="dxa" w:w="475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Commentary / Source</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Opening NAV / portfolio value</w:t>
            </w:r>
          </w:p>
        </w:tc>
        <w:tc>
          <w:tcPr>
            <w:tcW w:type="dxa" w:w="216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{opening_nav}</w:t>
            </w:r>
          </w:p>
        </w:tc>
        <w:tc>
          <w:tcPr>
            <w:tcW w:type="dxa" w:w="475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{opening_valuation_snapshot_reference}</w:t>
            </w:r>
          </w:p>
        </w:tc>
      </w:tr>
      <w:tr>
        <w:tc>
          <w:tcPr>
            <w:tcW w:type="dxa" w:w="345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Net client deposits / withdrawals</w:t>
            </w:r>
          </w:p>
        </w:tc>
        <w:tc>
          <w:tcPr>
            <w:tcW w:type="dxa" w:w="216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{net_cash_flow}</w:t>
            </w:r>
          </w:p>
        </w:tc>
        <w:tc>
          <w:tcPr>
            <w:tcW w:type="dxa" w:w="475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{cash_movement_report_reference}</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Investment income</w:t>
            </w:r>
          </w:p>
        </w:tc>
        <w:tc>
          <w:tcPr>
            <w:tcW w:type="dxa" w:w="216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{investment_income}</w:t>
            </w:r>
          </w:p>
        </w:tc>
        <w:tc>
          <w:tcPr>
            <w:tcW w:type="dxa" w:w="475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{income_events_reference}</w:t>
            </w:r>
          </w:p>
        </w:tc>
      </w:tr>
      <w:tr>
        <w:tc>
          <w:tcPr>
            <w:tcW w:type="dxa" w:w="345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Realised gains / losses</w:t>
            </w:r>
          </w:p>
        </w:tc>
        <w:tc>
          <w:tcPr>
            <w:tcW w:type="dxa" w:w="216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{realised_gain_loss}</w:t>
            </w:r>
          </w:p>
        </w:tc>
        <w:tc>
          <w:tcPr>
            <w:tcW w:type="dxa" w:w="475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{trade_pnl_reference}</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Unrealised gains / losses</w:t>
            </w:r>
          </w:p>
        </w:tc>
        <w:tc>
          <w:tcPr>
            <w:tcW w:type="dxa" w:w="216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{unrealised_gain_loss}</w:t>
            </w:r>
          </w:p>
        </w:tc>
        <w:tc>
          <w:tcPr>
            <w:tcW w:type="dxa" w:w="475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{valuation_movement_reference}</w:t>
            </w:r>
          </w:p>
        </w:tc>
      </w:tr>
      <w:tr>
        <w:tc>
          <w:tcPr>
            <w:tcW w:type="dxa" w:w="345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Management, custody and transaction fees</w:t>
            </w:r>
          </w:p>
        </w:tc>
        <w:tc>
          <w:tcPr>
            <w:tcW w:type="dxa" w:w="216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{fees_total}</w:t>
            </w:r>
          </w:p>
        </w:tc>
        <w:tc>
          <w:tcPr>
            <w:tcW w:type="dxa" w:w="475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{fee_report_reference}</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Tax / withholding</w:t>
            </w:r>
          </w:p>
        </w:tc>
        <w:tc>
          <w:tcPr>
            <w:tcW w:type="dxa" w:w="216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{tax_withholding_total}</w:t>
            </w:r>
          </w:p>
        </w:tc>
        <w:tc>
          <w:tcPr>
            <w:tcW w:type="dxa" w:w="475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{tax_support_reference}</w:t>
            </w:r>
          </w:p>
        </w:tc>
      </w:tr>
      <w:tr>
        <w:tc>
          <w:tcPr>
            <w:tcW w:type="dxa" w:w="345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FX movement</w:t>
            </w:r>
          </w:p>
        </w:tc>
        <w:tc>
          <w:tcPr>
            <w:tcW w:type="dxa" w:w="216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{fx_movement}</w:t>
            </w:r>
          </w:p>
        </w:tc>
        <w:tc>
          <w:tcPr>
            <w:tcW w:type="dxa" w:w="475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{approved_fx_rate_reference}</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Closing NAV / portfolio value</w:t>
            </w:r>
          </w:p>
        </w:tc>
        <w:tc>
          <w:tcPr>
            <w:tcW w:type="dxa" w:w="216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{closing_nav}</w:t>
            </w:r>
          </w:p>
        </w:tc>
        <w:tc>
          <w:tcPr>
            <w:tcW w:type="dxa" w:w="475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{valuation_snapshot_id}</w:t>
            </w:r>
          </w:p>
        </w:tc>
      </w:tr>
    </w:tbl>
    <w:p>
      <w:pPr>
        <w:pStyle w:val="Heading1"/>
      </w:pPr>
      <w:r>
        <w:rPr>
          <w:b/>
          <w:i w:val="0"/>
          <w:color w:val="071A2F"/>
          <w:sz w:val="30"/>
          <w:u w:val="none"/>
        </w:rPr>
        <w:t>5. Asset Allocation Summary</w:t>
      </w:r>
    </w:p>
    <w:tbl>
      <w:tblPr>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230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Asset Class</w:t>
            </w:r>
          </w:p>
        </w:tc>
        <w:tc>
          <w:tcPr>
            <w:tcW w:type="dxa" w:w="1655"/>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Market Value</w:t>
            </w:r>
          </w:p>
        </w:tc>
        <w:tc>
          <w:tcPr>
            <w:tcW w:type="dxa" w:w="144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 of Portfolio</w:t>
            </w:r>
          </w:p>
        </w:tc>
        <w:tc>
          <w:tcPr>
            <w:tcW w:type="dxa" w:w="144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Benchmark / Target</w:t>
            </w:r>
          </w:p>
        </w:tc>
        <w:tc>
          <w:tcPr>
            <w:tcW w:type="dxa" w:w="122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Variance</w:t>
            </w:r>
          </w:p>
        </w:tc>
        <w:tc>
          <w:tcPr>
            <w:tcW w:type="dxa" w:w="230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Commentary</w:t>
            </w:r>
          </w:p>
        </w:tc>
      </w:tr>
      <w:tr>
        <w:tc>
          <w:tcPr>
            <w:tcW w:type="dxa" w:w="230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Listed equities</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{listed_equities_value}</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{listed_equities_pct}</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{target_pct}</w:t>
            </w:r>
          </w:p>
        </w:tc>
        <w:tc>
          <w:tcPr>
            <w:tcW w:type="dxa" w:w="12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{variance_pct}</w:t>
            </w:r>
          </w:p>
        </w:tc>
        <w:tc>
          <w:tcPr>
            <w:tcW w:type="dxa" w:w="230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{commentary}</w:t>
            </w:r>
          </w:p>
        </w:tc>
      </w:tr>
      <w:tr>
        <w:tc>
          <w:tcPr>
            <w:tcW w:type="dxa" w:w="2304"/>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Money market instruments</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{money_market_value}</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{money_market_pct}</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{target_pct}</w:t>
            </w:r>
          </w:p>
        </w:tc>
        <w:tc>
          <w:tcPr>
            <w:tcW w:type="dxa" w:w="12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{variance_pct}</w:t>
            </w:r>
          </w:p>
        </w:tc>
        <w:tc>
          <w:tcPr>
            <w:tcW w:type="dxa" w:w="230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{commentary}</w:t>
            </w:r>
          </w:p>
        </w:tc>
      </w:tr>
      <w:tr>
        <w:tc>
          <w:tcPr>
            <w:tcW w:type="dxa" w:w="230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Bonds / fixed income</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{bonds_value}</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{bonds_pct}</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{target_pct}</w:t>
            </w:r>
          </w:p>
        </w:tc>
        <w:tc>
          <w:tcPr>
            <w:tcW w:type="dxa" w:w="12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{variance_pct}</w:t>
            </w:r>
          </w:p>
        </w:tc>
        <w:tc>
          <w:tcPr>
            <w:tcW w:type="dxa" w:w="230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{commentary}</w:t>
            </w:r>
          </w:p>
        </w:tc>
      </w:tr>
      <w:tr>
        <w:tc>
          <w:tcPr>
            <w:tcW w:type="dxa" w:w="2304"/>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Unquoted equities</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{unquoted_equities_value}</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{unquoted_equities_pct}</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{target_pct}</w:t>
            </w:r>
          </w:p>
        </w:tc>
        <w:tc>
          <w:tcPr>
            <w:tcW w:type="dxa" w:w="12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{variance_pct}</w:t>
            </w:r>
          </w:p>
        </w:tc>
        <w:tc>
          <w:tcPr>
            <w:tcW w:type="dxa" w:w="230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{commentary}</w:t>
            </w:r>
          </w:p>
        </w:tc>
      </w:tr>
      <w:tr>
        <w:tc>
          <w:tcPr>
            <w:tcW w:type="dxa" w:w="230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Property / alternatives</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{property_alternatives_value}</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{property_alternatives_pct}</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{target_pct}</w:t>
            </w:r>
          </w:p>
        </w:tc>
        <w:tc>
          <w:tcPr>
            <w:tcW w:type="dxa" w:w="12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{variance_pct}</w:t>
            </w:r>
          </w:p>
        </w:tc>
        <w:tc>
          <w:tcPr>
            <w:tcW w:type="dxa" w:w="230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{commentary}</w:t>
            </w:r>
          </w:p>
        </w:tc>
      </w:tr>
      <w:tr>
        <w:tc>
          <w:tcPr>
            <w:tcW w:type="dxa" w:w="2304"/>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Cash</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{cash_value}</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{cash_pct}</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{target_pct}</w:t>
            </w:r>
          </w:p>
        </w:tc>
        <w:tc>
          <w:tcPr>
            <w:tcW w:type="dxa" w:w="12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{variance_pct}</w:t>
            </w:r>
          </w:p>
        </w:tc>
        <w:tc>
          <w:tcPr>
            <w:tcW w:type="dxa" w:w="230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{commentary}</w:t>
            </w:r>
          </w:p>
        </w:tc>
      </w:tr>
      <w:tr>
        <w:tc>
          <w:tcPr>
            <w:tcW w:type="dxa" w:w="230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Total</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{total_portfolio_value}</w:t>
            </w:r>
          </w:p>
        </w:tc>
        <w:tc>
          <w:tcPr>
            <w:tcW w:type="dxa" w:w="1440"/>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100.00%</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{target_total}</w:t>
            </w:r>
          </w:p>
        </w:tc>
        <w:tc>
          <w:tcPr>
            <w:tcW w:type="dxa" w:w="12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{variance_total}</w:t>
            </w:r>
          </w:p>
        </w:tc>
        <w:tc>
          <w:tcPr>
            <w:tcW w:type="dxa" w:w="230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{commentary}</w:t>
            </w:r>
          </w:p>
        </w:tc>
      </w:tr>
    </w:tbl>
    <w:p>
      <w:pPr>
        <w:pStyle w:val="Heading2"/>
      </w:pPr>
      <w:r>
        <w:rPr>
          <w:b/>
          <w:i w:val="0"/>
          <w:color w:val="1687E8"/>
          <w:sz w:val="22"/>
          <w:u w:val="none"/>
        </w:rPr>
        <w:t>Currency Exposure</w:t>
      </w:r>
    </w:p>
    <w:tbl>
      <w:tblPr>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015"/>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Currency</w:t>
            </w:r>
          </w:p>
        </w:tc>
        <w:tc>
          <w:tcPr>
            <w:tcW w:type="dxa" w:w="180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Market Value</w:t>
            </w:r>
          </w:p>
        </w:tc>
        <w:tc>
          <w:tcPr>
            <w:tcW w:type="dxa" w:w="158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 of Portfolio</w:t>
            </w:r>
          </w:p>
        </w:tc>
        <w:tc>
          <w:tcPr>
            <w:tcW w:type="dxa" w:w="158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FX Rate Used</w:t>
            </w:r>
          </w:p>
        </w:tc>
        <w:tc>
          <w:tcPr>
            <w:tcW w:type="dxa" w:w="338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FX Source / Approval</w:t>
            </w:r>
          </w:p>
        </w:tc>
      </w:tr>
      <w:tr>
        <w:tc>
          <w:tcPr>
            <w:tcW w:type="dxa" w:w="2015"/>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USD</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{usd_market_value}</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{usd_pct}</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{usd_fx_rate}</w:t>
            </w:r>
          </w:p>
        </w:tc>
        <w:tc>
          <w:tcPr>
            <w:tcW w:type="dxa" w:w="33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{fx_source_approval_reference}</w:t>
            </w:r>
          </w:p>
        </w:tc>
      </w:tr>
      <w:tr>
        <w:tc>
          <w:tcPr>
            <w:tcW w:type="dxa" w:w="2015"/>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ZiG / ZWG</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{zig_zwg_market_value}</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{zig_zwg_pct}</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{zig_zwg_fx_rate}</w:t>
            </w:r>
          </w:p>
        </w:tc>
        <w:tc>
          <w:tcPr>
            <w:tcW w:type="dxa" w:w="33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{fx_source_approval_reference}</w:t>
            </w:r>
          </w:p>
        </w:tc>
      </w:tr>
      <w:tr>
        <w:tc>
          <w:tcPr>
            <w:tcW w:type="dxa" w:w="2015"/>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Other</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{other_currency_market_value}</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{other_currency_pct}</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{other_currency_fx_rate}</w:t>
            </w:r>
          </w:p>
        </w:tc>
        <w:tc>
          <w:tcPr>
            <w:tcW w:type="dxa" w:w="33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{fx_source_approval_reference}</w:t>
            </w:r>
          </w:p>
        </w:tc>
      </w:tr>
      <w:tr>
        <w:tc>
          <w:tcPr>
            <w:tcW w:type="dxa" w:w="2015"/>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Consolidated</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{consolidated_market_value}</w:t>
            </w:r>
          </w:p>
        </w:tc>
        <w:tc>
          <w:tcPr>
            <w:tcW w:type="dxa" w:w="1584"/>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100.00%</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{consolidation_rate_basis}</w:t>
            </w:r>
          </w:p>
        </w:tc>
        <w:tc>
          <w:tcPr>
            <w:tcW w:type="dxa" w:w="33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{consolidation_approval_reference}</w:t>
            </w:r>
          </w:p>
        </w:tc>
      </w:tr>
    </w:tbl>
    <w:p>
      <w:pPr>
        <w:sectPr>
          <w:headerReference w:type="default" r:id="rId9"/>
          <w:footerReference w:type="default" r:id="rId10"/>
          <w:pgSz w:w="12240" w:h="15840"/>
          <w:pgMar w:top="792" w:right="792" w:bottom="792" w:left="792" w:header="720" w:footer="720" w:gutter="0"/>
          <w:cols w:space="720"/>
          <w:docGrid w:linePitch="360"/>
        </w:sectPr>
      </w:pPr>
    </w:p>
    <w:p>
      <w:pPr>
        <w:pStyle w:val="Heading1"/>
      </w:pPr>
      <w:r>
        <w:rPr>
          <w:b/>
          <w:i w:val="0"/>
          <w:color w:val="071A2F"/>
          <w:sz w:val="30"/>
          <w:u w:val="none"/>
        </w:rPr>
        <w:t>6. Detailed Holdings Schedule</w:t>
      </w:r>
    </w:p>
    <w:tbl>
      <w:tblPr>
        <w:tblW w:type="auto" w:w="0"/>
        <w:jc w:val="center"/>
        <w:tblLook w:firstColumn="1" w:firstRow="1" w:lastColumn="0" w:lastRow="0" w:noHBand="0" w:noVBand="1" w:val="04A0"/>
      </w:tblPr>
      <w:tblGrid>
        <w:gridCol w:w="14544"/>
      </w:tblGrid>
      <w:tr>
        <w:tc>
          <w:tcPr>
            <w:tcW w:type="dxa" w:w="14544"/>
            <w:shd w:fill="EAF4FF"/>
            <w:tcBorders>
              <w:top w:val="single" w:sz="8" w:space="0" w:color="9CCBFF"/>
              <w:left w:val="single" w:sz="8" w:space="0" w:color="9CCBFF"/>
              <w:bottom w:val="single" w:sz="8" w:space="0" w:color="9CCBFF"/>
              <w:right w:val="single" w:sz="8" w:space="0" w:color="9CCBFF"/>
              <w:insideH w:val="single" w:sz="8" w:space="0" w:color="9CCBFF"/>
              <w:insideV w:val="single" w:sz="8" w:space="0" w:color="9CCBFF"/>
            </w:tcBorders>
            <w:tcMar>
              <w:top w:w="120" w:type="dxa"/>
              <w:start w:w="150" w:type="dxa"/>
              <w:bottom w:w="120" w:type="dxa"/>
              <w:end w:w="150" w:type="dxa"/>
            </w:tcMar>
          </w:tcPr>
          <w:p>
            <w:r>
              <w:rPr>
                <w:b/>
                <w:i w:val="0"/>
                <w:color w:val="1687E8"/>
                <w:sz w:val="17"/>
                <w:u w:val="none"/>
              </w:rPr>
              <w:t xml:space="preserve">INSTRUCTION: </w:t>
            </w:r>
            <w:r>
              <w:rPr>
                <w:b w:val="0"/>
                <w:i w:val="0"/>
                <w:color w:val="071A2F"/>
                <w:sz w:val="17"/>
                <w:u w:val="none"/>
              </w:rPr>
              <w:t>This schedule should be generated directly from approved holdings, price and FX data. Do not type holdings manually. Use additional rows as required. Every holding should have a valid quantity, approved price, market value and pricing source.</w:t>
            </w:r>
          </w:p>
        </w:tc>
      </w:tr>
    </w:tbl>
    <w:tbl>
      <w:tblPr>
        <w:tblW w:type="auto" w:w="0"/>
        <w:jc w:val="center"/>
        <w:tblLayout w:type="autofit"/>
        <w:tblLook w:firstColumn="1" w:firstRow="1" w:lastColumn="0" w:lastRow="0" w:noHBand="0" w:noVBand="1" w:val="04A0"/>
      </w:tblPr>
      <w:tblGrid>
        <w:gridCol w:w="1616"/>
        <w:gridCol w:w="1616"/>
        <w:gridCol w:w="1616"/>
        <w:gridCol w:w="1616"/>
        <w:gridCol w:w="1616"/>
        <w:gridCol w:w="1616"/>
        <w:gridCol w:w="1616"/>
        <w:gridCol w:w="1616"/>
        <w:gridCol w:w="1616"/>
      </w:tblGrid>
      <w:tr>
        <w:trPr>
          <w:tblHeader w:val="true"/>
        </w:trPr>
        <w:tc>
          <w:tcPr>
            <w:tcW w:type="dxa" w:w="648"/>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No.</w:t>
            </w:r>
          </w:p>
        </w:tc>
        <w:tc>
          <w:tcPr>
            <w:tcW w:type="dxa" w:w="288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Instrument / Security</w:t>
            </w:r>
          </w:p>
        </w:tc>
        <w:tc>
          <w:tcPr>
            <w:tcW w:type="dxa" w:w="1728"/>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ISIN / Code</w:t>
            </w:r>
          </w:p>
        </w:tc>
        <w:tc>
          <w:tcPr>
            <w:tcW w:type="dxa" w:w="151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Asset Class</w:t>
            </w:r>
          </w:p>
        </w:tc>
        <w:tc>
          <w:tcPr>
            <w:tcW w:type="dxa" w:w="144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Quantity</w:t>
            </w:r>
          </w:p>
        </w:tc>
        <w:tc>
          <w:tcPr>
            <w:tcW w:type="dxa" w:w="1296"/>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Price</w:t>
            </w:r>
          </w:p>
        </w:tc>
        <w:tc>
          <w:tcPr>
            <w:tcW w:type="dxa" w:w="1655"/>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Market Value</w:t>
            </w:r>
          </w:p>
        </w:tc>
        <w:tc>
          <w:tcPr>
            <w:tcW w:type="dxa" w:w="1296"/>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 Portfolio</w:t>
            </w:r>
          </w:p>
        </w:tc>
        <w:tc>
          <w:tcPr>
            <w:tcW w:type="dxa" w:w="302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Price Source / Status</w:t>
            </w:r>
          </w:p>
        </w:tc>
      </w:tr>
      <w:tr>
        <w:tc>
          <w:tcPr>
            <w:tcW w:type="dxa" w:w="648"/>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u w:val="none"/>
              </w:rPr>
              <w:t>1</w:t>
            </w:r>
          </w:p>
        </w:tc>
        <w:tc>
          <w:tcPr>
            <w:tcW w:type="dxa" w:w="28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{security_name_1}</w:t>
            </w:r>
          </w:p>
        </w:tc>
        <w:tc>
          <w:tcPr>
            <w:tcW w:type="dxa" w:w="172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{isin_or_code_1}</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{asset_class_1}</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{quantity_1}</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{price_1}</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{market_value_1}</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{portfolio_pct_1}</w:t>
            </w:r>
          </w:p>
        </w:tc>
        <w:tc>
          <w:tcPr>
            <w:tcW w:type="dxa" w:w="30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{price_source_status_1}</w:t>
            </w:r>
          </w:p>
        </w:tc>
      </w:tr>
      <w:tr>
        <w:tc>
          <w:tcPr>
            <w:tcW w:type="dxa" w:w="648"/>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u w:val="none"/>
              </w:rPr>
              <w:t>2</w:t>
            </w:r>
          </w:p>
        </w:tc>
        <w:tc>
          <w:tcPr>
            <w:tcW w:type="dxa" w:w="28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{security_name_2}</w:t>
            </w:r>
          </w:p>
        </w:tc>
        <w:tc>
          <w:tcPr>
            <w:tcW w:type="dxa" w:w="172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{isin_or_code_2}</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{asset_class_2}</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{quantity_2}</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{price_2}</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{market_value_2}</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{portfolio_pct_2}</w:t>
            </w:r>
          </w:p>
        </w:tc>
        <w:tc>
          <w:tcPr>
            <w:tcW w:type="dxa" w:w="30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{price_source_status_2}</w:t>
            </w:r>
          </w:p>
        </w:tc>
      </w:tr>
      <w:tr>
        <w:tc>
          <w:tcPr>
            <w:tcW w:type="dxa" w:w="648"/>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u w:val="none"/>
              </w:rPr>
              <w:t>3</w:t>
            </w:r>
          </w:p>
        </w:tc>
        <w:tc>
          <w:tcPr>
            <w:tcW w:type="dxa" w:w="28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{security_name_3}</w:t>
            </w:r>
          </w:p>
        </w:tc>
        <w:tc>
          <w:tcPr>
            <w:tcW w:type="dxa" w:w="172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{isin_or_code_3}</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{asset_class_3}</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{quantity_3}</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{price_3}</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{market_value_3}</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{portfolio_pct_3}</w:t>
            </w:r>
          </w:p>
        </w:tc>
        <w:tc>
          <w:tcPr>
            <w:tcW w:type="dxa" w:w="30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{price_source_status_3}</w:t>
            </w:r>
          </w:p>
        </w:tc>
      </w:tr>
      <w:tr>
        <w:tc>
          <w:tcPr>
            <w:tcW w:type="dxa" w:w="648"/>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u w:val="none"/>
              </w:rPr>
              <w:t>4</w:t>
            </w:r>
          </w:p>
        </w:tc>
        <w:tc>
          <w:tcPr>
            <w:tcW w:type="dxa" w:w="28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{security_name_4}</w:t>
            </w:r>
          </w:p>
        </w:tc>
        <w:tc>
          <w:tcPr>
            <w:tcW w:type="dxa" w:w="172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{isin_or_code_4}</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{asset_class_4}</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{quantity_4}</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{price_4}</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{market_value_4}</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{portfolio_pct_4}</w:t>
            </w:r>
          </w:p>
        </w:tc>
        <w:tc>
          <w:tcPr>
            <w:tcW w:type="dxa" w:w="30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{price_source_status_4}</w:t>
            </w:r>
          </w:p>
        </w:tc>
      </w:tr>
      <w:tr>
        <w:tc>
          <w:tcPr>
            <w:tcW w:type="dxa" w:w="648"/>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u w:val="none"/>
              </w:rPr>
              <w:t>5</w:t>
            </w:r>
          </w:p>
        </w:tc>
        <w:tc>
          <w:tcPr>
            <w:tcW w:type="dxa" w:w="28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{security_name_5}</w:t>
            </w:r>
          </w:p>
        </w:tc>
        <w:tc>
          <w:tcPr>
            <w:tcW w:type="dxa" w:w="172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{isin_or_code_5}</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{asset_class_5}</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{quantity_5}</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{price_5}</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{market_value_5}</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{portfolio_pct_5}</w:t>
            </w:r>
          </w:p>
        </w:tc>
        <w:tc>
          <w:tcPr>
            <w:tcW w:type="dxa" w:w="30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{price_source_status_5}</w:t>
            </w:r>
          </w:p>
        </w:tc>
      </w:tr>
      <w:tr>
        <w:tc>
          <w:tcPr>
            <w:tcW w:type="dxa" w:w="648"/>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u w:val="none"/>
              </w:rPr>
              <w:t>6</w:t>
            </w:r>
          </w:p>
        </w:tc>
        <w:tc>
          <w:tcPr>
            <w:tcW w:type="dxa" w:w="28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{security_name_6}</w:t>
            </w:r>
          </w:p>
        </w:tc>
        <w:tc>
          <w:tcPr>
            <w:tcW w:type="dxa" w:w="172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{isin_or_code_6}</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{asset_class_6}</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{quantity_6}</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{price_6}</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{market_value_6}</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{portfolio_pct_6}</w:t>
            </w:r>
          </w:p>
        </w:tc>
        <w:tc>
          <w:tcPr>
            <w:tcW w:type="dxa" w:w="30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{price_source_status_6}</w:t>
            </w:r>
          </w:p>
        </w:tc>
      </w:tr>
      <w:tr>
        <w:tc>
          <w:tcPr>
            <w:tcW w:type="dxa" w:w="648"/>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u w:val="none"/>
              </w:rPr>
              <w:t>Total</w:t>
            </w:r>
          </w:p>
        </w:tc>
        <w:tc>
          <w:tcPr>
            <w:tcW w:type="dxa" w:w="2880"/>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u w:val="none"/>
              </w:rPr>
            </w:r>
          </w:p>
        </w:tc>
        <w:tc>
          <w:tcPr>
            <w:tcW w:type="dxa" w:w="1728"/>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u w:val="none"/>
              </w:rPr>
            </w:r>
          </w:p>
        </w:tc>
        <w:tc>
          <w:tcPr>
            <w:tcW w:type="dxa" w:w="1512"/>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u w:val="none"/>
              </w:rPr>
            </w:r>
          </w:p>
        </w:tc>
        <w:tc>
          <w:tcPr>
            <w:tcW w:type="dxa" w:w="1440"/>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u w:val="none"/>
              </w:rPr>
            </w:r>
          </w:p>
        </w:tc>
        <w:tc>
          <w:tcPr>
            <w:tcW w:type="dxa" w:w="129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u w:val="none"/>
              </w:rPr>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{total_market_value}</w:t>
            </w:r>
          </w:p>
        </w:tc>
        <w:tc>
          <w:tcPr>
            <w:tcW w:type="dxa" w:w="129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u w:val="none"/>
              </w:rPr>
              <w:t>100.00%</w:t>
            </w:r>
          </w:p>
        </w:tc>
        <w:tc>
          <w:tcPr>
            <w:tcW w:type="dxa" w:w="30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{valuation_snapshot_reference}</w:t>
            </w:r>
          </w:p>
        </w:tc>
      </w:tr>
    </w:tbl>
    <w:p>
      <w:pPr>
        <w:sectPr>
          <w:pgSz w:w="15840" w:h="12240" w:orient="landscape"/>
          <w:pgMar w:top="648" w:right="648" w:bottom="648" w:left="648" w:header="720" w:footer="720" w:gutter="0"/>
          <w:cols w:space="720"/>
          <w:docGrid w:linePitch="360"/>
        </w:sectPr>
      </w:pPr>
    </w:p>
    <w:p>
      <w:pPr>
        <w:pStyle w:val="Heading1"/>
      </w:pPr>
      <w:r>
        <w:rPr>
          <w:b/>
          <w:i w:val="0"/>
          <w:color w:val="071A2F"/>
          <w:sz w:val="30"/>
          <w:u w:val="none"/>
        </w:rPr>
        <w:t>7. Income, Cash and Fee Summary</w:t>
      </w:r>
    </w:p>
    <w:p>
      <w:pPr>
        <w:pStyle w:val="Heading2"/>
      </w:pPr>
      <w:r>
        <w:rPr>
          <w:b/>
          <w:i w:val="0"/>
          <w:color w:val="1687E8"/>
          <w:sz w:val="22"/>
          <w:u w:val="none"/>
        </w:rPr>
        <w:t>Income Summary</w:t>
      </w:r>
    </w:p>
    <w:tbl>
      <w:tblPr>
        <w:tblW w:type="auto" w:w="0"/>
        <w:jc w:val="center"/>
        <w:tblLayout w:type="autofit"/>
        <w:tblLook w:firstColumn="1" w:firstRow="1" w:lastColumn="0" w:lastRow="0" w:noHBand="0" w:noVBand="1" w:val="04A0"/>
      </w:tblPr>
      <w:tblGrid>
        <w:gridCol w:w="2065"/>
        <w:gridCol w:w="2065"/>
        <w:gridCol w:w="2065"/>
        <w:gridCol w:w="2065"/>
        <w:gridCol w:w="2065"/>
      </w:tblGrid>
      <w:tr>
        <w:trPr>
          <w:tblHeader w:val="true"/>
        </w:trPr>
        <w:tc>
          <w:tcPr>
            <w:tcW w:type="dxa" w:w="230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Income Type</w:t>
            </w:r>
          </w:p>
        </w:tc>
        <w:tc>
          <w:tcPr>
            <w:tcW w:type="dxa" w:w="1728"/>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Gross Amount</w:t>
            </w:r>
          </w:p>
        </w:tc>
        <w:tc>
          <w:tcPr>
            <w:tcW w:type="dxa" w:w="180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Tax / Withholding</w:t>
            </w:r>
          </w:p>
        </w:tc>
        <w:tc>
          <w:tcPr>
            <w:tcW w:type="dxa" w:w="1655"/>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Net Amount</w:t>
            </w:r>
          </w:p>
        </w:tc>
        <w:tc>
          <w:tcPr>
            <w:tcW w:type="dxa" w:w="288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Source Reference</w:t>
            </w:r>
          </w:p>
        </w:tc>
      </w:tr>
      <w:tr>
        <w:tc>
          <w:tcPr>
            <w:tcW w:type="dxa" w:w="230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Dividends</w:t>
            </w:r>
          </w:p>
        </w:tc>
        <w:tc>
          <w:tcPr>
            <w:tcW w:type="dxa" w:w="172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{gross_dividends}</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{dividend_withholding_tax}</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{net_dividends}</w:t>
            </w:r>
          </w:p>
        </w:tc>
        <w:tc>
          <w:tcPr>
            <w:tcW w:type="dxa" w:w="28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{income_event_reference}</w:t>
            </w:r>
          </w:p>
        </w:tc>
      </w:tr>
      <w:tr>
        <w:tc>
          <w:tcPr>
            <w:tcW w:type="dxa" w:w="2304"/>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Coupons / bond interest</w:t>
            </w:r>
          </w:p>
        </w:tc>
        <w:tc>
          <w:tcPr>
            <w:tcW w:type="dxa" w:w="172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{gross_coupon_interest}</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{withholding_tax}</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{net_coupon_interest}</w:t>
            </w:r>
          </w:p>
        </w:tc>
        <w:tc>
          <w:tcPr>
            <w:tcW w:type="dxa" w:w="28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{income_event_reference}</w:t>
            </w:r>
          </w:p>
        </w:tc>
      </w:tr>
      <w:tr>
        <w:tc>
          <w:tcPr>
            <w:tcW w:type="dxa" w:w="230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Money market interest</w:t>
            </w:r>
          </w:p>
        </w:tc>
        <w:tc>
          <w:tcPr>
            <w:tcW w:type="dxa" w:w="172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{gross_money_market_interest}</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{withholding_tax}</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{net_money_market_interest}</w:t>
            </w:r>
          </w:p>
        </w:tc>
        <w:tc>
          <w:tcPr>
            <w:tcW w:type="dxa" w:w="28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{income_event_reference}</w:t>
            </w:r>
          </w:p>
        </w:tc>
      </w:tr>
      <w:tr>
        <w:tc>
          <w:tcPr>
            <w:tcW w:type="dxa" w:w="2304"/>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Other income</w:t>
            </w:r>
          </w:p>
        </w:tc>
        <w:tc>
          <w:tcPr>
            <w:tcW w:type="dxa" w:w="172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{gross_other_income}</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{tax_withholding}</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{net_other_income}</w:t>
            </w:r>
          </w:p>
        </w:tc>
        <w:tc>
          <w:tcPr>
            <w:tcW w:type="dxa" w:w="28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{income_event_reference}</w:t>
            </w:r>
          </w:p>
        </w:tc>
      </w:tr>
      <w:tr>
        <w:tc>
          <w:tcPr>
            <w:tcW w:type="dxa" w:w="230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Total</w:t>
            </w:r>
          </w:p>
        </w:tc>
        <w:tc>
          <w:tcPr>
            <w:tcW w:type="dxa" w:w="172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{gross_income_total}</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{total_tax_withholding}</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{net_income_total}</w:t>
            </w:r>
          </w:p>
        </w:tc>
        <w:tc>
          <w:tcPr>
            <w:tcW w:type="dxa" w:w="28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{income_report_reference}</w:t>
            </w:r>
          </w:p>
        </w:tc>
      </w:tr>
    </w:tbl>
    <w:p>
      <w:pPr>
        <w:pStyle w:val="Heading2"/>
      </w:pPr>
      <w:r>
        <w:rPr>
          <w:b/>
          <w:i w:val="0"/>
          <w:color w:val="1687E8"/>
          <w:sz w:val="22"/>
          <w:u w:val="none"/>
        </w:rPr>
        <w:t>Cash Movement Summary</w:t>
      </w:r>
    </w:p>
    <w:tbl>
      <w:tblPr>
        <w:tblW w:type="auto" w:w="0"/>
        <w:jc w:val="center"/>
        <w:tblLayout w:type="autofit"/>
        <w:tblLook w:firstColumn="1" w:firstRow="1" w:lastColumn="0" w:lastRow="0" w:noHBand="0" w:noVBand="1" w:val="04A0"/>
      </w:tblPr>
      <w:tblGrid>
        <w:gridCol w:w="2581"/>
        <w:gridCol w:w="2581"/>
        <w:gridCol w:w="2581"/>
        <w:gridCol w:w="2581"/>
      </w:tblGrid>
      <w:tr>
        <w:trPr>
          <w:tblHeader w:val="true"/>
        </w:trPr>
        <w:tc>
          <w:tcPr>
            <w:tcW w:type="dxa" w:w="288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Cash Movement</w:t>
            </w:r>
          </w:p>
        </w:tc>
        <w:tc>
          <w:tcPr>
            <w:tcW w:type="dxa" w:w="187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Amount</w:t>
            </w:r>
          </w:p>
        </w:tc>
        <w:tc>
          <w:tcPr>
            <w:tcW w:type="dxa" w:w="288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Bank / Custodian Reference</w:t>
            </w:r>
          </w:p>
        </w:tc>
        <w:tc>
          <w:tcPr>
            <w:tcW w:type="dxa" w:w="2736"/>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Comment</w:t>
            </w:r>
          </w:p>
        </w:tc>
      </w:tr>
      <w:tr>
        <w:tc>
          <w:tcPr>
            <w:tcW w:type="dxa" w:w="2880"/>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Opening cash</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{opening_cash}</w:t>
            </w:r>
          </w:p>
        </w:tc>
        <w:tc>
          <w:tcPr>
            <w:tcW w:type="dxa" w:w="28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{bank_or_custodian_reference}</w:t>
            </w:r>
          </w:p>
        </w:tc>
        <w:tc>
          <w:tcPr>
            <w:tcW w:type="dxa" w:w="27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{comment}</w:t>
            </w:r>
          </w:p>
        </w:tc>
      </w:tr>
      <w:tr>
        <w:tc>
          <w:tcPr>
            <w:tcW w:type="dxa" w:w="2880"/>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Client deposits</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{client_deposits}</w:t>
            </w:r>
          </w:p>
        </w:tc>
        <w:tc>
          <w:tcPr>
            <w:tcW w:type="dxa" w:w="28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{bank_or_custodian_reference}</w:t>
            </w:r>
          </w:p>
        </w:tc>
        <w:tc>
          <w:tcPr>
            <w:tcW w:type="dxa" w:w="27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{comment}</w:t>
            </w:r>
          </w:p>
        </w:tc>
      </w:tr>
      <w:tr>
        <w:tc>
          <w:tcPr>
            <w:tcW w:type="dxa" w:w="2880"/>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Client withdrawals</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{client_withdrawals}</w:t>
            </w:r>
          </w:p>
        </w:tc>
        <w:tc>
          <w:tcPr>
            <w:tcW w:type="dxa" w:w="28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{bank_or_custodian_reference}</w:t>
            </w:r>
          </w:p>
        </w:tc>
        <w:tc>
          <w:tcPr>
            <w:tcW w:type="dxa" w:w="27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{comment}</w:t>
            </w:r>
          </w:p>
        </w:tc>
      </w:tr>
      <w:tr>
        <w:tc>
          <w:tcPr>
            <w:tcW w:type="dxa" w:w="2880"/>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Investment purchases</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{investment_purchases_cash_outflow}</w:t>
            </w:r>
          </w:p>
        </w:tc>
        <w:tc>
          <w:tcPr>
            <w:tcW w:type="dxa" w:w="28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{trade_reference}</w:t>
            </w:r>
          </w:p>
        </w:tc>
        <w:tc>
          <w:tcPr>
            <w:tcW w:type="dxa" w:w="27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{comment}</w:t>
            </w:r>
          </w:p>
        </w:tc>
      </w:tr>
      <w:tr>
        <w:tc>
          <w:tcPr>
            <w:tcW w:type="dxa" w:w="2880"/>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Investment sales / maturities</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{investment_sales_cash_inflow}</w:t>
            </w:r>
          </w:p>
        </w:tc>
        <w:tc>
          <w:tcPr>
            <w:tcW w:type="dxa" w:w="28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{trade_reference}</w:t>
            </w:r>
          </w:p>
        </w:tc>
        <w:tc>
          <w:tcPr>
            <w:tcW w:type="dxa" w:w="27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{comment}</w:t>
            </w:r>
          </w:p>
        </w:tc>
      </w:tr>
      <w:tr>
        <w:tc>
          <w:tcPr>
            <w:tcW w:type="dxa" w:w="2880"/>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Income received</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{income_received}</w:t>
            </w:r>
          </w:p>
        </w:tc>
        <w:tc>
          <w:tcPr>
            <w:tcW w:type="dxa" w:w="28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{income_reference}</w:t>
            </w:r>
          </w:p>
        </w:tc>
        <w:tc>
          <w:tcPr>
            <w:tcW w:type="dxa" w:w="27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{comment}</w:t>
            </w:r>
          </w:p>
        </w:tc>
      </w:tr>
      <w:tr>
        <w:tc>
          <w:tcPr>
            <w:tcW w:type="dxa" w:w="2880"/>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Fees and charges</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{fees_and_charges}</w:t>
            </w:r>
          </w:p>
        </w:tc>
        <w:tc>
          <w:tcPr>
            <w:tcW w:type="dxa" w:w="28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{fee_report_reference}</w:t>
            </w:r>
          </w:p>
        </w:tc>
        <w:tc>
          <w:tcPr>
            <w:tcW w:type="dxa" w:w="27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{comment}</w:t>
            </w:r>
          </w:p>
        </w:tc>
      </w:tr>
      <w:tr>
        <w:tc>
          <w:tcPr>
            <w:tcW w:type="dxa" w:w="2880"/>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Closing cash</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{closing_cash}</w:t>
            </w:r>
          </w:p>
        </w:tc>
        <w:tc>
          <w:tcPr>
            <w:tcW w:type="dxa" w:w="28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{cash_balance_reference}</w:t>
            </w:r>
          </w:p>
        </w:tc>
        <w:tc>
          <w:tcPr>
            <w:tcW w:type="dxa" w:w="27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{comment}</w:t>
            </w:r>
          </w:p>
        </w:tc>
      </w:tr>
    </w:tbl>
    <w:p>
      <w:pPr>
        <w:pStyle w:val="Heading2"/>
      </w:pPr>
      <w:r>
        <w:rPr>
          <w:b/>
          <w:i w:val="0"/>
          <w:color w:val="1687E8"/>
          <w:sz w:val="22"/>
          <w:u w:val="none"/>
        </w:rPr>
        <w:t>Fee Summary</w:t>
      </w:r>
    </w:p>
    <w:tbl>
      <w:tblPr>
        <w:tblW w:type="auto" w:w="0"/>
        <w:jc w:val="center"/>
        <w:tblLayout w:type="autofit"/>
        <w:tblLook w:firstColumn="1" w:firstRow="1" w:lastColumn="0" w:lastRow="0" w:noHBand="0" w:noVBand="1" w:val="04A0"/>
      </w:tblPr>
      <w:tblGrid>
        <w:gridCol w:w="2065"/>
        <w:gridCol w:w="2065"/>
        <w:gridCol w:w="2065"/>
        <w:gridCol w:w="2065"/>
        <w:gridCol w:w="2065"/>
      </w:tblGrid>
      <w:tr>
        <w:trPr>
          <w:tblHeader w:val="true"/>
        </w:trPr>
        <w:tc>
          <w:tcPr>
            <w:tcW w:type="dxa" w:w="259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Fee / Charge</w:t>
            </w:r>
          </w:p>
        </w:tc>
        <w:tc>
          <w:tcPr>
            <w:tcW w:type="dxa" w:w="230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Basis</w:t>
            </w:r>
          </w:p>
        </w:tc>
        <w:tc>
          <w:tcPr>
            <w:tcW w:type="dxa" w:w="158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Amount</w:t>
            </w:r>
          </w:p>
        </w:tc>
        <w:tc>
          <w:tcPr>
            <w:tcW w:type="dxa" w:w="2015"/>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VAT / Tax, if applicable</w:t>
            </w:r>
          </w:p>
        </w:tc>
        <w:tc>
          <w:tcPr>
            <w:tcW w:type="dxa" w:w="187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Net Amount</w:t>
            </w:r>
          </w:p>
        </w:tc>
      </w:tr>
      <w:tr>
        <w:tc>
          <w:tcPr>
            <w:tcW w:type="dxa" w:w="2592"/>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Management fee</w:t>
            </w:r>
          </w:p>
        </w:tc>
        <w:tc>
          <w:tcPr>
            <w:tcW w:type="dxa" w:w="230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{management_fee_basis}</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{management_fee_amount}</w:t>
            </w:r>
          </w:p>
        </w:tc>
        <w:tc>
          <w:tcPr>
            <w:tcW w:type="dxa" w:w="201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{vat_or_tax}</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{net_amount}</w:t>
            </w:r>
          </w:p>
        </w:tc>
      </w:tr>
      <w:tr>
        <w:tc>
          <w:tcPr>
            <w:tcW w:type="dxa" w:w="2592"/>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Custody fee</w:t>
            </w:r>
          </w:p>
        </w:tc>
        <w:tc>
          <w:tcPr>
            <w:tcW w:type="dxa" w:w="230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{custody_fee_basis}</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{custody_fee_amount}</w:t>
            </w:r>
          </w:p>
        </w:tc>
        <w:tc>
          <w:tcPr>
            <w:tcW w:type="dxa" w:w="201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{vat_or_tax}</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{net_amount}</w:t>
            </w:r>
          </w:p>
        </w:tc>
      </w:tr>
      <w:tr>
        <w:tc>
          <w:tcPr>
            <w:tcW w:type="dxa" w:w="2592"/>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Brokerage / transaction costs</w:t>
            </w:r>
          </w:p>
        </w:tc>
        <w:tc>
          <w:tcPr>
            <w:tcW w:type="dxa" w:w="230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{transaction_cost_basis}</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{transaction_cost_amount}</w:t>
            </w:r>
          </w:p>
        </w:tc>
        <w:tc>
          <w:tcPr>
            <w:tcW w:type="dxa" w:w="201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{vat_or_tax}</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{net_amount}</w:t>
            </w:r>
          </w:p>
        </w:tc>
      </w:tr>
      <w:tr>
        <w:tc>
          <w:tcPr>
            <w:tcW w:type="dxa" w:w="2592"/>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Other charges</w:t>
            </w:r>
          </w:p>
        </w:tc>
        <w:tc>
          <w:tcPr>
            <w:tcW w:type="dxa" w:w="230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{other_charge_basis}</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{other_charge_amount}</w:t>
            </w:r>
          </w:p>
        </w:tc>
        <w:tc>
          <w:tcPr>
            <w:tcW w:type="dxa" w:w="201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{vat_or_tax}</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{net_amount}</w:t>
            </w:r>
          </w:p>
        </w:tc>
      </w:tr>
      <w:tr>
        <w:tc>
          <w:tcPr>
            <w:tcW w:type="dxa" w:w="2592"/>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Total fees and charges</w:t>
            </w:r>
          </w:p>
        </w:tc>
        <w:tc>
          <w:tcPr>
            <w:tcW w:type="dxa" w:w="230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{total_fee_basis}</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{total_fee_amount}</w:t>
            </w:r>
          </w:p>
        </w:tc>
        <w:tc>
          <w:tcPr>
            <w:tcW w:type="dxa" w:w="201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{total_tax}</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{total_net_fee_amount}</w:t>
            </w:r>
          </w:p>
        </w:tc>
      </w:tr>
    </w:tbl>
    <w:p>
      <w:pPr>
        <w:pStyle w:val="Heading1"/>
      </w:pPr>
      <w:r>
        <w:rPr>
          <w:b/>
          <w:i w:val="0"/>
          <w:color w:val="071A2F"/>
          <w:sz w:val="30"/>
          <w:u w:val="none"/>
        </w:rPr>
        <w:t>8. Performance and Portfolio Commentary</w:t>
      </w:r>
    </w:p>
    <w:tbl>
      <w:tblPr>
        <w:tblW w:type="auto" w:w="0"/>
        <w:jc w:val="center"/>
        <w:tblLayout w:type="autofit"/>
        <w:tblLook w:firstColumn="1" w:firstRow="1" w:lastColumn="0" w:lastRow="0" w:noHBand="0" w:noVBand="1" w:val="04A0"/>
      </w:tblPr>
      <w:tblGrid>
        <w:gridCol w:w="5162"/>
        <w:gridCol w:w="5162"/>
      </w:tblGrid>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Period Return</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{period_return_percentage}</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Year-to-Date Return</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{ytd_return_percentage}</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Benchmark Return</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{benchmark_return_percentage}</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Relative Performance</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{relative_performance_percentage}</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Realised P&amp;L</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{realised_pnl}</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Unrealised P&amp;L</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{unrealised_pnl}</w:t>
            </w:r>
          </w:p>
        </w:tc>
      </w:tr>
    </w:tbl>
    <w:p>
      <w:r>
        <w:rPr>
          <w:b w:val="0"/>
          <w:i w:val="0"/>
          <w:color w:val="000000"/>
          <w:sz w:val="18"/>
          <w:highlight w:val="yellow"/>
          <w:u w:val="none"/>
        </w:rPr>
        <w:t>{Insert portfolio manager commentary explaining key performance drivers, material market movements, asset allocation changes, liquidity position, income earned, risks, mandate issues and outlook for the next period.}</w:t>
      </w:r>
    </w:p>
    <w:p>
      <w:pPr>
        <w:pStyle w:val="Heading1"/>
      </w:pPr>
      <w:r>
        <w:rPr>
          <w:b/>
          <w:i w:val="0"/>
          <w:color w:val="071A2F"/>
          <w:sz w:val="30"/>
          <w:u w:val="none"/>
        </w:rPr>
        <w:t>9. Mandate Compliance and Exceptions</w:t>
      </w:r>
    </w:p>
    <w:tbl>
      <w:tblPr>
        <w:tblW w:type="auto" w:w="0"/>
        <w:jc w:val="center"/>
        <w:tblLayout w:type="autofit"/>
        <w:tblLook w:firstColumn="1" w:firstRow="1" w:lastColumn="0" w:lastRow="0" w:noHBand="0" w:noVBand="1" w:val="04A0"/>
      </w:tblPr>
      <w:tblGrid>
        <w:gridCol w:w="2065"/>
        <w:gridCol w:w="2065"/>
        <w:gridCol w:w="2065"/>
        <w:gridCol w:w="2065"/>
        <w:gridCol w:w="2065"/>
      </w:tblGrid>
      <w:tr>
        <w:trPr>
          <w:tblHeader w:val="true"/>
        </w:trPr>
        <w:tc>
          <w:tcPr>
            <w:tcW w:type="dxa" w:w="259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Compliance Test</w:t>
            </w:r>
          </w:p>
        </w:tc>
        <w:tc>
          <w:tcPr>
            <w:tcW w:type="dxa" w:w="216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Limit / Requirement</w:t>
            </w:r>
          </w:p>
        </w:tc>
        <w:tc>
          <w:tcPr>
            <w:tcW w:type="dxa" w:w="158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Actual</w:t>
            </w:r>
          </w:p>
        </w:tc>
        <w:tc>
          <w:tcPr>
            <w:tcW w:type="dxa" w:w="1296"/>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Result</w:t>
            </w:r>
          </w:p>
        </w:tc>
        <w:tc>
          <w:tcPr>
            <w:tcW w:type="dxa" w:w="2736"/>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Comment / Remediation</w:t>
            </w:r>
          </w:p>
        </w:tc>
      </w:tr>
      <w:tr>
        <w:tc>
          <w:tcPr>
            <w:tcW w:type="dxa" w:w="2592"/>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Asset allocation limits</w:t>
            </w:r>
          </w:p>
        </w:tc>
        <w:tc>
          <w:tcPr>
            <w:tcW w:type="dxa" w:w="216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{limit_or_requirement}</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{actual_position}</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{pass / fail}</w:t>
            </w:r>
          </w:p>
        </w:tc>
        <w:tc>
          <w:tcPr>
            <w:tcW w:type="dxa" w:w="27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{comment_or_remediation}</w:t>
            </w:r>
          </w:p>
        </w:tc>
      </w:tr>
      <w:tr>
        <w:tc>
          <w:tcPr>
            <w:tcW w:type="dxa" w:w="2592"/>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Single issuer concentration</w:t>
            </w:r>
          </w:p>
        </w:tc>
        <w:tc>
          <w:tcPr>
            <w:tcW w:type="dxa" w:w="216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{limit_or_requirement}</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{actual_position}</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{pass / fail}</w:t>
            </w:r>
          </w:p>
        </w:tc>
        <w:tc>
          <w:tcPr>
            <w:tcW w:type="dxa" w:w="27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{comment_or_remediation}</w:t>
            </w:r>
          </w:p>
        </w:tc>
      </w:tr>
      <w:tr>
        <w:tc>
          <w:tcPr>
            <w:tcW w:type="dxa" w:w="2592"/>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Restricted assets</w:t>
            </w:r>
          </w:p>
        </w:tc>
        <w:tc>
          <w:tcPr>
            <w:tcW w:type="dxa" w:w="216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{limit_or_requirement}</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{actual_position}</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{pass / fail}</w:t>
            </w:r>
          </w:p>
        </w:tc>
        <w:tc>
          <w:tcPr>
            <w:tcW w:type="dxa" w:w="27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{comment_or_remediation}</w:t>
            </w:r>
          </w:p>
        </w:tc>
      </w:tr>
      <w:tr>
        <w:tc>
          <w:tcPr>
            <w:tcW w:type="dxa" w:w="2592"/>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Liquidity requirement</w:t>
            </w:r>
          </w:p>
        </w:tc>
        <w:tc>
          <w:tcPr>
            <w:tcW w:type="dxa" w:w="216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{limit_or_requirement}</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{actual_position}</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{pass / fail}</w:t>
            </w:r>
          </w:p>
        </w:tc>
        <w:tc>
          <w:tcPr>
            <w:tcW w:type="dxa" w:w="27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{comment_or_remediation}</w:t>
            </w:r>
          </w:p>
        </w:tc>
      </w:tr>
      <w:tr>
        <w:tc>
          <w:tcPr>
            <w:tcW w:type="dxa" w:w="2592"/>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Currency exposure</w:t>
            </w:r>
          </w:p>
        </w:tc>
        <w:tc>
          <w:tcPr>
            <w:tcW w:type="dxa" w:w="216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{limit_or_requirement}</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{actual_position}</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{pass / fail}</w:t>
            </w:r>
          </w:p>
        </w:tc>
        <w:tc>
          <w:tcPr>
            <w:tcW w:type="dxa" w:w="27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{comment_or_remediation}</w:t>
            </w:r>
          </w:p>
        </w:tc>
      </w:tr>
    </w:tbl>
    <w:p>
      <w:pPr>
        <w:pStyle w:val="Heading1"/>
      </w:pPr>
      <w:r>
        <w:rPr>
          <w:b/>
          <w:i w:val="0"/>
          <w:color w:val="071A2F"/>
          <w:sz w:val="30"/>
          <w:u w:val="none"/>
        </w:rPr>
        <w:t>10. Price, Valuation and Reconciliation Controls</w:t>
      </w:r>
    </w:p>
    <w:tbl>
      <w:tblPr>
        <w:tblW w:type="auto" w:w="0"/>
        <w:jc w:val="center"/>
        <w:tblLook w:firstColumn="1" w:firstRow="1" w:lastColumn="0" w:lastRow="0" w:noHBand="0" w:noVBand="1" w:val="04A0"/>
      </w:tblPr>
      <w:tblGrid>
        <w:gridCol w:w="10325"/>
      </w:tblGrid>
      <w:tr>
        <w:tc>
          <w:tcPr>
            <w:tcW w:type="dxa" w:w="10325"/>
            <w:shd w:fill="EAF4FF"/>
            <w:tcBorders>
              <w:top w:val="single" w:sz="8" w:space="0" w:color="9CCBFF"/>
              <w:left w:val="single" w:sz="8" w:space="0" w:color="9CCBFF"/>
              <w:bottom w:val="single" w:sz="8" w:space="0" w:color="9CCBFF"/>
              <w:right w:val="single" w:sz="8" w:space="0" w:color="9CCBFF"/>
              <w:insideH w:val="single" w:sz="8" w:space="0" w:color="9CCBFF"/>
              <w:insideV w:val="single" w:sz="8" w:space="0" w:color="9CCBFF"/>
            </w:tcBorders>
            <w:tcMar>
              <w:top w:w="120" w:type="dxa"/>
              <w:start w:w="150" w:type="dxa"/>
              <w:bottom w:w="120" w:type="dxa"/>
              <w:end w:w="150" w:type="dxa"/>
            </w:tcMar>
          </w:tcPr>
          <w:p>
            <w:r>
              <w:rPr>
                <w:b/>
                <w:i w:val="0"/>
                <w:color w:val="1687E8"/>
                <w:sz w:val="17"/>
                <w:u w:val="none"/>
              </w:rPr>
              <w:t xml:space="preserve">INSTRUCTION: </w:t>
            </w:r>
            <w:r>
              <w:rPr>
                <w:b w:val="0"/>
                <w:i w:val="0"/>
                <w:color w:val="071A2F"/>
                <w:sz w:val="17"/>
                <w:u w:val="none"/>
              </w:rPr>
              <w:t>The statement should be blocked from approval where quarter/month-end prices, FX rates, NAV approval, cash reconciliation or mandate compliance checks are incomplete. Use this section to evidence those controls.</w:t>
            </w:r>
          </w:p>
        </w:tc>
      </w:tr>
    </w:tbl>
    <w:tbl>
      <w:tblPr>
        <w:tblW w:type="auto" w:w="0"/>
        <w:jc w:val="center"/>
        <w:tblLayout w:type="autofit"/>
        <w:tblLook w:firstColumn="1" w:firstRow="1" w:lastColumn="0" w:lastRow="0" w:noHBand="0" w:noVBand="1" w:val="04A0"/>
      </w:tblPr>
      <w:tblGrid>
        <w:gridCol w:w="5162"/>
        <w:gridCol w:w="5162"/>
      </w:tblGrid>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Valuation Snapshot ID</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{valuation_snapshot_id}</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Approved Price Date</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{approved_price_date}</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Price Exception Count</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{price_exception_count}</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Manual Price Overrides</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{manual_price_override_count}</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Stale Price Count</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{stale_price_count}</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FX Rate Approval Reference</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{fx_rate_approval_reference}</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Cash Reconciliation Status</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{reconciled / unreconciled / exceptions_noted}</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Holdings Reconciliation Status</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{reconciled / unreconciled / exceptions_noted}</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NAV Approval Status</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{approved / pending / rejected}</w:t>
            </w:r>
          </w:p>
        </w:tc>
      </w:tr>
    </w:tbl>
    <w:p>
      <w:pPr>
        <w:pStyle w:val="Heading2"/>
      </w:pPr>
      <w:r>
        <w:rPr>
          <w:b/>
          <w:i w:val="0"/>
          <w:color w:val="1687E8"/>
          <w:sz w:val="22"/>
          <w:u w:val="none"/>
        </w:rPr>
        <w:t>Open Exceptions</w:t>
      </w:r>
    </w:p>
    <w:tbl>
      <w:tblPr>
        <w:tblW w:type="auto" w:w="0"/>
        <w:jc w:val="center"/>
        <w:tblLayout w:type="autofit"/>
        <w:tblLook w:firstColumn="1" w:firstRow="1" w:lastColumn="0" w:lastRow="0" w:noHBand="0" w:noVBand="1" w:val="04A0"/>
      </w:tblPr>
      <w:tblGrid>
        <w:gridCol w:w="1721"/>
        <w:gridCol w:w="1721"/>
        <w:gridCol w:w="1721"/>
        <w:gridCol w:w="1721"/>
        <w:gridCol w:w="1721"/>
        <w:gridCol w:w="1721"/>
      </w:tblGrid>
      <w:tr>
        <w:trPr>
          <w:tblHeader w:val="true"/>
        </w:trPr>
        <w:tc>
          <w:tcPr>
            <w:tcW w:type="dxa" w:w="1296"/>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Exception ID</w:t>
            </w:r>
          </w:p>
        </w:tc>
        <w:tc>
          <w:tcPr>
            <w:tcW w:type="dxa" w:w="187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Exception Type</w:t>
            </w:r>
          </w:p>
        </w:tc>
        <w:tc>
          <w:tcPr>
            <w:tcW w:type="dxa" w:w="302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Description</w:t>
            </w:r>
          </w:p>
        </w:tc>
        <w:tc>
          <w:tcPr>
            <w:tcW w:type="dxa" w:w="144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Owner</w:t>
            </w:r>
          </w:p>
        </w:tc>
        <w:tc>
          <w:tcPr>
            <w:tcW w:type="dxa" w:w="1368"/>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Status</w:t>
            </w:r>
          </w:p>
        </w:tc>
        <w:tc>
          <w:tcPr>
            <w:tcW w:type="dxa" w:w="180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Target Resolution Date</w:t>
            </w:r>
          </w:p>
        </w:tc>
      </w:tr>
      <w:tr>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{exception_id_1}</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{price / holdings / cash / FX / mandate}</w:t>
            </w:r>
          </w:p>
        </w:tc>
        <w:tc>
          <w:tcPr>
            <w:tcW w:type="dxa" w:w="30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{description}</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{owner}</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{open / closed}</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{target_date}</w:t>
            </w:r>
          </w:p>
        </w:tc>
      </w:tr>
      <w:tr>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{exception_id_2}</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{price / holdings / cash / FX / mandate}</w:t>
            </w:r>
          </w:p>
        </w:tc>
        <w:tc>
          <w:tcPr>
            <w:tcW w:type="dxa" w:w="30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{description}</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{owner}</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{open / closed}</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{target_date}</w:t>
            </w:r>
          </w:p>
        </w:tc>
      </w:tr>
      <w:tr>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{exception_id_3}</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{price / holdings / cash / FX / mandate}</w:t>
            </w:r>
          </w:p>
        </w:tc>
        <w:tc>
          <w:tcPr>
            <w:tcW w:type="dxa" w:w="30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{description}</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{owner}</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{open / closed}</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{target_date}</w:t>
            </w:r>
          </w:p>
        </w:tc>
      </w:tr>
    </w:tbl>
    <w:p>
      <w:pPr>
        <w:pStyle w:val="Heading1"/>
      </w:pPr>
      <w:r>
        <w:rPr>
          <w:b/>
          <w:i w:val="0"/>
          <w:color w:val="071A2F"/>
          <w:sz w:val="30"/>
          <w:u w:val="none"/>
        </w:rPr>
        <w:t>11. Legal, Reliance and Tax Notes</w:t>
      </w:r>
    </w:p>
    <w:p>
      <w:r>
        <w:rPr>
          <w:b w:val="0"/>
          <w:i w:val="0"/>
          <w:sz w:val="18"/>
          <w:u w:val="none"/>
        </w:rPr>
        <w:t>This statement is based on information believed to be reliable at the valuation date, including approved records maintained by the asset manager, broker, custodian, bank and relevant source modules. Values may change after the valuation date due to market movements, pricing corrections, settlements, corporate actions, FX movements, fees, tax or other adjustments.</w:t>
      </w:r>
    </w:p>
    <w:p>
      <w:r>
        <w:rPr>
          <w:b w:val="0"/>
          <w:i w:val="0"/>
          <w:sz w:val="18"/>
          <w:u w:val="none"/>
        </w:rPr>
        <w:t>This document is provided for reporting purposes only. It does not constitute legal, tax, accounting or investment advice. The client should obtain independent professional advice regarding tax, legal or accounting consequences of investment activity reflected in this statement.</w:t>
      </w:r>
    </w:p>
    <w:p>
      <w:r>
        <w:rPr>
          <w:b w:val="0"/>
          <w:i w:val="0"/>
          <w:sz w:val="18"/>
          <w:u w:val="none"/>
        </w:rPr>
        <w:t>Where a discrepancy exists between this statement and the approved books, custodian records, mandate documents, governing scheme documents or regulatory records, the approved underlying records and governing documents shall prevail, subject to investigation and formal correction through the authorised reissue process.</w:t>
      </w:r>
    </w:p>
    <w:p>
      <w:pPr>
        <w:pStyle w:val="Heading1"/>
      </w:pPr>
      <w:r>
        <w:rPr>
          <w:b/>
          <w:i w:val="0"/>
          <w:color w:val="071A2F"/>
          <w:sz w:val="30"/>
          <w:u w:val="none"/>
        </w:rPr>
        <w:t>12. Approval and Release</w:t>
      </w:r>
    </w:p>
    <w:tbl>
      <w:tblPr>
        <w:tblW w:type="auto" w:w="0"/>
        <w:jc w:val="center"/>
        <w:tblLayout w:type="autofit"/>
        <w:tblLook w:firstColumn="1" w:firstRow="1" w:lastColumn="0" w:lastRow="0" w:noHBand="0" w:noVBand="1" w:val="04A0"/>
      </w:tblPr>
      <w:tblGrid>
        <w:gridCol w:w="5162"/>
        <w:gridCol w:w="5162"/>
      </w:tblGrid>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Prepared By - Maker</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{maker_name}, {maker_designation}, {date_prepared}, {signature}</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Reviewed By - Operations</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{operations_reviewer_name}, {designation}, {review_date}, {signature}</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Reviewed By - Portfolio Manager</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{portfolio_manager_name}, {designation}, {review_date}, {signature}</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Approved By - Checker</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{checker_name}, {designation}, {approval_date}, {signature}</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Authorised for Client Publication By</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{authorised_officer_name}, {designation}, {release_date}, {signature}</w:t>
            </w:r>
          </w:p>
        </w:tc>
      </w:tr>
    </w:tbl>
    <w:p>
      <w:pPr>
        <w:pStyle w:val="Heading1"/>
      </w:pPr>
      <w:r>
        <w:rPr>
          <w:b/>
          <w:i w:val="0"/>
          <w:color w:val="071A2F"/>
          <w:sz w:val="30"/>
          <w:u w:val="none"/>
        </w:rPr>
        <w:t>13. Digital Signature, Portal and Audit Control</w:t>
      </w:r>
    </w:p>
    <w:tbl>
      <w:tblPr>
        <w:tblW w:type="auto" w:w="0"/>
        <w:jc w:val="center"/>
        <w:tblLayout w:type="autofit"/>
        <w:tblLook w:firstColumn="1" w:firstRow="1" w:lastColumn="0" w:lastRow="0" w:noHBand="0" w:noVBand="1" w:val="04A0"/>
      </w:tblPr>
      <w:tblGrid>
        <w:gridCol w:w="5162"/>
        <w:gridCol w:w="5162"/>
      </w:tblGrid>
      <w:tr>
        <w:trPr>
          <w:tblHeader w:val="true"/>
        </w:trPr>
        <w:tc>
          <w:tcPr>
            <w:tcW w:type="dxa" w:w="3456"/>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Control Field</w:t>
            </w:r>
          </w:p>
        </w:tc>
        <w:tc>
          <w:tcPr>
            <w:tcW w:type="dxa" w:w="691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Detail</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Reporting Run ID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{reporting_run_id}</w:t>
            </w:r>
          </w:p>
        </w:tc>
      </w:tr>
      <w:tr>
        <w:tc>
          <w:tcPr>
            <w:tcW w:type="dxa" w:w="345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Generated Report ID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{generated_report_id}</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Portfolio Valuation ID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{portfolio_valuation_id}</w:t>
            </w:r>
          </w:p>
        </w:tc>
      </w:tr>
      <w:tr>
        <w:tc>
          <w:tcPr>
            <w:tcW w:type="dxa" w:w="345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Source Data Snapshot ID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{source_data_snapshot_id}</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Price Snapshot ID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{price_snapshot_id}</w:t>
            </w:r>
          </w:p>
        </w:tc>
      </w:tr>
      <w:tr>
        <w:tc>
          <w:tcPr>
            <w:tcW w:type="dxa" w:w="345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FX Rate Snapshot ID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{fx_rate_snapshot_id}</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Maker User ID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{maker_user_id}</w:t>
            </w:r>
          </w:p>
        </w:tc>
      </w:tr>
      <w:tr>
        <w:tc>
          <w:tcPr>
            <w:tcW w:type="dxa" w:w="345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Checker User ID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{checker_user_id}</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Approval Date and Time</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{approval_datetime}</w:t>
            </w:r>
          </w:p>
        </w:tc>
      </w:tr>
      <w:tr>
        <w:tc>
          <w:tcPr>
            <w:tcW w:type="dxa" w:w="345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Published to Client Portal</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{yes / no}</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Portal Publication Date</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{portal_publication_date}</w:t>
            </w:r>
          </w:p>
        </w:tc>
      </w:tr>
      <w:tr>
        <w:tc>
          <w:tcPr>
            <w:tcW w:type="dxa" w:w="345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Document Hash / Checksum</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{document_hash}</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Watermark Status</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{confidential / approved / reissued}</w:t>
            </w:r>
          </w:p>
        </w:tc>
      </w:tr>
      <w:tr>
        <w:tc>
          <w:tcPr>
            <w:tcW w:type="dxa" w:w="345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Archive Status</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{draft / locked / archived}</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Reissue Reference</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{reissue_reference_if_any}</w:t>
            </w:r>
          </w:p>
        </w:tc>
      </w:tr>
    </w:tbl>
    <w:p>
      <w:r>
        <w:rPr>
          <w:b w:val="0"/>
          <w:i/>
          <w:color w:val="55606D"/>
          <w:sz w:val="16"/>
          <w:u w:val="none"/>
        </w:rPr>
        <w:t>Footer wording: Confidential Client Portfolio Valuation Statement | {client_legal_name} | {portfolio_name} | {reporting_period}.</w:t>
      </w:r>
    </w:p>
    <w:sectPr w:rsidR="00FC693F" w:rsidRPr="0006063C" w:rsidSect="00034616">
      <w:pgSz w:w="11909" w:h="16834"/>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5606D"/>
        <w:sz w:val="14"/>
        <w:highlight w:val="yellow"/>
        <w:u w:val="none"/>
      </w:rPr>
      <w:t>Confidential | {client_legal_name} | {portfolio_name} | {reporting_period}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i w:val="0"/>
        <w:color w:val="071A2F"/>
        <w:sz w:val="16"/>
        <w:u w:val="none"/>
      </w:rPr>
      <w:t>ARCUS REPORTING TEMPLATE  |  CLIENT PORTFOLIO VALUATION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71A2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687E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71A2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