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28"/>
        <w:gridCol w:w="5328"/>
      </w:tblGrid>
      <w:tr>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r>
              <w:rPr>
                <w:b/>
                <w:i w:val="0"/>
                <w:color w:val="000000"/>
                <w:sz w:val="16"/>
                <w:highlight w:val="yellow"/>
                <w:u w:val="none"/>
              </w:rPr>
              <w:t>[LOGO PLACEHOLDER]</w:t>
            </w:r>
            <w:r>
              <w:br/>
            </w:r>
            <w:r>
              <w:rPr>
                <w:b w:val="0"/>
                <w:i w:val="0"/>
                <w:color w:val="55606D"/>
                <w:sz w:val="16"/>
                <w:u w:val="none"/>
              </w:rPr>
              <w:t>Asset Management Holdings Report</w:t>
            </w:r>
          </w:p>
        </w:tc>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pPr>
              <w:jc w:val="right"/>
            </w:pPr>
            <w:r>
              <w:rPr>
                <w:b/>
                <w:i w:val="0"/>
                <w:color w:val="000000"/>
                <w:sz w:val="20"/>
                <w:highlight w:val="yellow"/>
                <w:u w:val="none"/>
              </w:rPr>
              <w:t>{asset_manager_name}</w:t>
            </w:r>
            <w:r>
              <w:br/>
            </w:r>
            <w:r>
              <w:rPr>
                <w:b w:val="0"/>
                <w:i w:val="0"/>
                <w:color w:val="000000"/>
                <w:sz w:val="16"/>
                <w:highlight w:val="yellow"/>
                <w:u w:val="none"/>
              </w:rPr>
              <w:t>{registered_office_address}</w:t>
            </w:r>
            <w:r>
              <w:br/>
            </w:r>
            <w:r>
              <w:rPr>
                <w:b w:val="0"/>
                <w:i w:val="0"/>
                <w:color w:val="000000"/>
                <w:sz w:val="16"/>
                <w:highlight w:val="yellow"/>
                <w:u w:val="none"/>
              </w:rPr>
              <w:t>Company Reg. No: {company_registration_number} | SECZIM Licence No: {seczim_licence_number}</w:t>
            </w:r>
            <w:r>
              <w:br/>
            </w:r>
            <w:r>
              <w:rPr>
                <w:b w:val="0"/>
                <w:i w:val="0"/>
                <w:color w:val="000000"/>
                <w:sz w:val="16"/>
                <w:highlight w:val="yellow"/>
                <w:u w:val="none"/>
              </w:rPr>
              <w:t>{telephone_number} | {official_email} | {website}</w:t>
            </w:r>
          </w:p>
        </w:tc>
      </w:tr>
    </w:tbl>
    <w:tbl>
      <w:tblPr>
        <w:tblW w:type="auto" w:w="0"/>
        <w:tblLook w:firstColumn="1" w:firstRow="1" w:lastColumn="0" w:lastRow="0" w:noHBand="0" w:noVBand="1" w:val="04A0"/>
      </w:tblPr>
      <w:tblGrid>
        <w:gridCol w:w="10656"/>
      </w:tblGrid>
      <w:tr>
        <w:tc>
          <w:tcPr>
            <w:tcW w:type="dxa" w:w="10656"/>
            <w:shd w:fill="1687E8"/>
            <w:tcMar>
              <w:top w:w="1" w:type="dxa"/>
              <w:start w:w="1" w:type="dxa"/>
              <w:bottom w:w="1" w:type="dxa"/>
              <w:end w:w="1" w:type="dxa"/>
            </w:tcMar>
            <w:tcBorders>
              <w:top w:val="single" w:sz="1" w:space="0" w:color="1687E8"/>
              <w:left w:val="single" w:sz="1" w:space="0" w:color="1687E8"/>
              <w:bottom w:val="single" w:sz="1" w:space="0" w:color="1687E8"/>
              <w:right w:val="single" w:sz="1" w:space="0" w:color="1687E8"/>
              <w:insideH w:val="single" w:sz="1" w:space="0" w:color="1687E8"/>
              <w:insideV w:val="single" w:sz="1" w:space="0" w:color="1687E8"/>
            </w:tcBorders>
          </w:tcPr>
          <w:p/>
        </w:tc>
      </w:tr>
    </w:tbl>
    <w:p>
      <w:pPr>
        <w:jc w:val="center"/>
      </w:pPr>
      <w:r>
        <w:rPr>
          <w:b/>
          <w:i w:val="0"/>
          <w:color w:val="071A2F"/>
          <w:sz w:val="44"/>
          <w:u w:val="none"/>
        </w:rPr>
        <w:t>HOLDINGS REPORT</w:t>
      </w:r>
    </w:p>
    <w:p>
      <w:pPr>
        <w:jc w:val="center"/>
      </w:pPr>
      <w:r>
        <w:rPr>
          <w:b w:val="0"/>
          <w:i w:val="0"/>
          <w:color w:val="55606D"/>
          <w:sz w:val="20"/>
          <w:u w:val="none"/>
        </w:rPr>
        <w:t>Client Portfolio Holdings, Prices, Market Values and Asset Classification</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Replace every yellow highlighted placeholder before issuing the report. Blue boxes are drafting instructions and should be deleted before final approval or portal publication. The holdings schedule must be generated from approved Stock Price Collector / Portfolio Valuation data and should not be typed manually after generation.</w:t>
            </w:r>
          </w:p>
        </w:tc>
      </w:tr>
    </w:tbl>
    <w:p>
      <w:pPr>
        <w:pStyle w:val="Heading2"/>
      </w:pPr>
      <w:r>
        <w:rPr>
          <w:b/>
          <w:i w:val="0"/>
          <w:color w:val="1687E8"/>
          <w:sz w:val="22"/>
          <w:u w:val="none"/>
        </w:rPr>
        <w:t>Document Control</w:t>
      </w:r>
    </w:p>
    <w:tbl>
      <w:tblPr>
        <w:tblW w:type="auto" w:w="0"/>
        <w:jc w:val="center"/>
        <w:tblLayout w:type="autofit"/>
        <w:tblLook w:firstColumn="1" w:firstRow="1" w:lastColumn="0" w:lastRow="0" w:noHBand="0" w:noVBand="1" w:val="04A0"/>
      </w:tblPr>
      <w:tblGrid>
        <w:gridCol w:w="5328"/>
        <w:gridCol w:w="5328"/>
      </w:tblGrid>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Legal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{client_legal_name}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Account / Investor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{client_account_id}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 Mandate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{portfolio_name}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{portfolio_reference}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Reporting Period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{period_start_date} to {period_end_date}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Holdings Date / Valuation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{holdings_date_or_valuation_date}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Base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{base_currency}</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Reporting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{reporting_currency}</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Report Version</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{version_number}</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Document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{draft / under_review / approved / published / reissued / archived}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Prepared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{maker_name_and_title}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{checker_name_and_title}</w:t>
            </w:r>
          </w:p>
        </w:tc>
      </w:tr>
    </w:tbl>
    <w:p>
      <w:pPr>
        <w:pStyle w:val="Heading1"/>
      </w:pPr>
      <w:r>
        <w:rPr>
          <w:b/>
          <w:i w:val="0"/>
          <w:color w:val="071A2F"/>
          <w:sz w:val="30"/>
          <w:u w:val="none"/>
        </w:rPr>
        <w:t>1. Confidentiality, Purpose and Report Basis</w:t>
      </w:r>
    </w:p>
    <w:p>
      <w:r>
        <w:rPr>
          <w:b w:val="0"/>
          <w:i w:val="0"/>
          <w:sz w:val="18"/>
          <w:u w:val="none"/>
        </w:rPr>
        <w:t xml:space="preserve">This Holdings Report is confidential and is issued solely for the use of </w:t>
      </w:r>
      <w:r>
        <w:rPr>
          <w:b w:val="0"/>
          <w:i w:val="0"/>
          <w:color w:val="000000"/>
          <w:sz w:val="18"/>
          <w:highlight w:val="yellow"/>
          <w:u w:val="none"/>
        </w:rPr>
        <w:t>{client_legal_name}</w:t>
      </w:r>
      <w:r>
        <w:rPr>
          <w:b w:val="0"/>
          <w:i w:val="0"/>
          <w:sz w:val="18"/>
          <w:u w:val="none"/>
        </w:rPr>
        <w:t xml:space="preserve"> in relation to the portfolio managed, administered or reported by </w:t>
      </w:r>
      <w:r>
        <w:rPr>
          <w:b w:val="0"/>
          <w:i w:val="0"/>
          <w:color w:val="000000"/>
          <w:sz w:val="18"/>
          <w:highlight w:val="yellow"/>
          <w:u w:val="none"/>
        </w:rPr>
        <w:t>{asset_manager_name}</w:t>
      </w:r>
      <w:r>
        <w:rPr>
          <w:b w:val="0"/>
          <w:i w:val="0"/>
          <w:sz w:val="18"/>
          <w:u w:val="none"/>
        </w:rPr>
        <w:t>. It may not be copied, distributed, disclosed or relied upon by any third party without prior written consent, except where disclosure is required by law, regulation, a competent authority, the client's auditors, tax advisers, legal advisers, trustees, custodians or other authorised professional advisers.</w:t>
      </w:r>
    </w:p>
    <w:p>
      <w:r>
        <w:rPr>
          <w:b w:val="0"/>
          <w:i w:val="0"/>
          <w:sz w:val="18"/>
          <w:u w:val="none"/>
        </w:rPr>
        <w:t xml:space="preserve">The report summarises securities, instruments, cash and other portfolio positions held as at </w:t>
      </w:r>
      <w:r>
        <w:rPr>
          <w:b w:val="0"/>
          <w:i w:val="0"/>
          <w:color w:val="000000"/>
          <w:sz w:val="18"/>
          <w:highlight w:val="yellow"/>
          <w:u w:val="none"/>
        </w:rPr>
        <w:t>{holdings_date_or_valuation_date}</w:t>
      </w:r>
      <w:r>
        <w:rPr>
          <w:b w:val="0"/>
          <w:i w:val="0"/>
          <w:sz w:val="18"/>
          <w:u w:val="none"/>
        </w:rPr>
        <w:t>. Quantities, prices, market values, accrued income, FX rates and classifications are sourced from approved portfolio records, price records, custodian/broker statements, bank records and the Arcus Stock Price Collector / Portfolio Valuation module.</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Confirm the report type before issue: client-facing holdings report, internal operations holdings report, compliance holdings report, CIS/unit trust holdings schedule or pension mandate holdings schedule. Use the correct approval path for the selected report type.</w:t>
            </w:r>
          </w:p>
        </w:tc>
      </w:tr>
    </w:tbl>
    <w:p>
      <w:pPr>
        <w:pStyle w:val="Heading1"/>
      </w:pPr>
      <w:r>
        <w:rPr>
          <w:b/>
          <w:i w:val="0"/>
          <w:color w:val="071A2F"/>
          <w:sz w:val="30"/>
          <w:u w:val="none"/>
        </w:rPr>
        <w:t>2. Client, Mandate and Custody Details</w:t>
      </w:r>
    </w:p>
    <w:tbl>
      <w:tblPr>
        <w:tblW w:type="auto" w:w="0"/>
        <w:jc w:val="center"/>
        <w:tblLayout w:type="autofit"/>
        <w:tblLook w:firstColumn="1" w:firstRow="1" w:lastColumn="0" w:lastRow="0" w:noHBand="0" w:noVBand="1" w:val="04A0"/>
      </w:tblPr>
      <w:tblGrid>
        <w:gridCol w:w="5328"/>
        <w:gridCol w:w="5328"/>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{individual / corporate / pension_fund / trust / institution / CIS / other}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Mandate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{discretionary / advisory / execution_only / CIS / pension_mandate / segregated_portfolio / other}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Investment Objective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{income / growth / balanced / capital_preservation / custom_objective}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Benchmark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{benchmark_name_or_not_applicable}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Investment Policy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{investment_policy_or_mandate_reference}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Custodian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{custodian_name}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Broker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{broker_name}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Bank Account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{bank_account_reference}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{portfolio_manager_name}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Relationship / Client Officer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{relationship_manager_name}</w:t>
            </w:r>
          </w:p>
        </w:tc>
      </w:tr>
    </w:tbl>
    <w:p>
      <w:pPr>
        <w:pStyle w:val="Heading1"/>
      </w:pPr>
      <w:r>
        <w:rPr>
          <w:b/>
          <w:i w:val="0"/>
          <w:color w:val="071A2F"/>
          <w:sz w:val="30"/>
          <w:u w:val="none"/>
        </w:rPr>
        <w:t>3. Holdings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This section should reconcile to the detailed holdings schedule, cash balances and approved valuation snapshot. Total market value must equal the closing portfolio value/NAV used in client statements, subject only to documented rounding.</w:t>
            </w:r>
          </w:p>
        </w:tc>
      </w:tr>
    </w:tbl>
    <w:tbl>
      <w:tblPr>
        <w:tblW w:type="auto" w:w="0"/>
        <w:jc w:val="center"/>
        <w:tblLayout w:type="autofit"/>
        <w:tblLook w:firstColumn="1" w:firstRow="1" w:lastColumn="0" w:lastRow="0" w:noHBand="0" w:noVBand="1" w:val="04A0"/>
      </w:tblPr>
      <w:tblGrid>
        <w:gridCol w:w="5328"/>
        <w:gridCol w:w="5328"/>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Total Number of Holdings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{total_number_of_holdings}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Invested Assets Market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{invested_assets_market_value}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Cash and Cash Equivalents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{cash_and_cash_equivalents}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Accrued Income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{accrued_income}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Unsettled Purchases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{unsettled_purchases}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Unsettled Sales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{unsettled_sales}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Total Portfolio Market Value / NAV</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{total_portfolio_market_value_or_nav}</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Price Exception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{price_exception_count}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Holdings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{reconciled / unreconciled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Valuation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{valuation_snapshot_id}</w:t>
            </w:r>
          </w:p>
        </w:tc>
      </w:tr>
    </w:tbl>
    <w:p>
      <w:pPr>
        <w:pStyle w:val="Heading1"/>
      </w:pPr>
      <w:r>
        <w:rPr>
          <w:b/>
          <w:i w:val="0"/>
          <w:color w:val="071A2F"/>
          <w:sz w:val="30"/>
          <w:u w:val="none"/>
        </w:rPr>
        <w:t>4. Holdings by Asset Class</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Number of Holdings</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Cost / Book Value</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Portfolio</w:t>
            </w:r>
          </w:p>
        </w:tc>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Commentary</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Listed equities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{listed_equities_count}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{listed_equities_cost}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{listed_equities_market_value}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{listed_equities_pct}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Money market instruments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{money_market_count}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{money_market_cost}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{money_market_market_value}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{money_market_pct}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Bonds / fixed income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{bonds_count}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{bonds_cost}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{bonds_market_value}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{bonds_pct}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Unquoted equities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{unquoted_equities_count}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{unquoted_equities_cost}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{unquoted_equities_market_value}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{unquoted_equities_pct}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Property / alternatives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{property_alternatives_count}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{property_alternatives_cost}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{property_alternatives_market_value}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{property_alternatives_pct}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Cash</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{cash_accounts_count}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{cash_book_value}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{cash_market_value}</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{cash_pct}</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Total</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{total_count}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{total_cost_or_book_value}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{total_market_value}</w:t>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100.00%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bl>
    <w:p>
      <w:pPr>
        <w:pStyle w:val="Heading2"/>
      </w:pPr>
      <w:r>
        <w:rPr>
          <w:b/>
          <w:i w:val="0"/>
          <w:color w:val="1687E8"/>
          <w:sz w:val="22"/>
          <w:u w:val="none"/>
        </w:rPr>
        <w:t>Currency Exposure Summary</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Currency</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Portfolio</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FX Rate Used</w:t>
            </w:r>
          </w:p>
        </w:tc>
        <w:tc>
          <w:tcPr>
            <w:tcW w:type="dxa" w:w="33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FX Source / Approval</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USD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{usd_market_value}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{usd_pct}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{usd_fx_rate}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{fx_source_approval_reference}</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ZiG / ZWG</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{zig_zwg_market_value}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{zig_zwg_pct}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{zig_zwg_fx_rate}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{fx_source_approval_reference}</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Other</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{other_currency_market_value}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{other_currency_pct}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{other_currency_fx_rate}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{fx_source_approval_reference}</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Consolidated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{consolidated_market_value}</w:t>
            </w:r>
          </w:p>
        </w:tc>
        <w:tc>
          <w:tcPr>
            <w:tcW w:type="dxa" w:w="158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{consolidation_rate_basis}</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{consolidation_approval_reference}</w:t>
            </w:r>
          </w:p>
        </w:tc>
      </w:tr>
    </w:tbl>
    <w:p>
      <w:pPr>
        <w:sectPr>
          <w:headerReference w:type="default" r:id="rId9"/>
          <w:footerReference w:type="default" r:id="rId10"/>
          <w:pgSz w:w="12240" w:h="15840"/>
          <w:pgMar w:top="792" w:right="792" w:bottom="792" w:left="792" w:header="720" w:footer="720" w:gutter="0"/>
          <w:cols w:space="720"/>
          <w:docGrid w:linePitch="360"/>
        </w:sectPr>
      </w:pPr>
    </w:p>
    <w:p>
      <w:pPr>
        <w:pStyle w:val="Heading1"/>
      </w:pPr>
      <w:r>
        <w:rPr>
          <w:b/>
          <w:i w:val="0"/>
          <w:color w:val="071A2F"/>
          <w:sz w:val="30"/>
          <w:u w:val="none"/>
        </w:rPr>
        <w:t>5. Detailed Holdings Schedule</w:t>
      </w:r>
    </w:p>
    <w:tbl>
      <w:tblPr>
        <w:tblW w:type="auto" w:w="0"/>
        <w:jc w:val="center"/>
        <w:tblLook w:firstColumn="1" w:firstRow="1" w:lastColumn="0" w:lastRow="0" w:noHBand="0" w:noVBand="1" w:val="04A0"/>
      </w:tblPr>
      <w:tblGrid>
        <w:gridCol w:w="14544"/>
      </w:tblGrid>
      <w:tr>
        <w:tc>
          <w:tcPr>
            <w:tcW w:type="dxa" w:w="14544"/>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Use additional rows as required. Every row must include a unique instrument identifier, quantity, price, market value, asset class and approved price source/status. Holdings with missing or stale prices must be flagged and explained in the exception section.</w:t>
            </w:r>
          </w:p>
        </w:tc>
      </w:tr>
    </w:tbl>
    <w:tbl>
      <w:tblPr>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57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No.</w:t>
            </w:r>
          </w:p>
        </w:tc>
        <w:tc>
          <w:tcPr>
            <w:tcW w:type="dxa" w:w="252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 / Security</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ISIN / Code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Quantity</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Cost / Book Value</w:t>
            </w:r>
          </w:p>
        </w:tc>
        <w:tc>
          <w:tcPr>
            <w:tcW w:type="dxa" w:w="11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Price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Portfolio</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Price Source / Status</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1</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{isin_or_code_1}</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{asset_class_1}</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{cost_or_book_value_1}</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{market_value_1}</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{portfolio_pct_1}</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{price_source_status_1}</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2</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{isin_or_code_2}</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{asset_class_2}</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{cost_or_book_value_2}</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{market_value_2}</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{portfolio_pct_2}</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{price_source_status_2}</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3</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{isin_or_code_3}</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{asset_class_3}</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{cost_or_book_value_3}</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{market_value_3}</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{portfolio_pct_3}</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{price_source_status_3}</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4</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{isin_or_code_4}</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{asset_class_4}</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{cost_or_book_value_4}</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{market_value_4}</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{portfolio_pct_4}</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{price_source_status_4}</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5</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{isin_or_code_5}</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{asset_class_5}</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{cost_or_book_value_5}</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{market_value_5}</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{portfolio_pct_5}</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{price_source_status_5}</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6</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{security_name_6}</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{isin_or_code_6}</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{asset_class_6}</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{quantity_6}</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{cost_or_book_value_6}</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{price_6}</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{market_value_6}</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{portfolio_pct_6}</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{price_source_status_6}</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Total</w:t>
            </w:r>
          </w:p>
        </w:tc>
        <w:tc>
          <w:tcPr>
            <w:tcW w:type="dxa" w:w="252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22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{total_cost_or_book_value}</w:t>
            </w:r>
          </w:p>
        </w:tc>
        <w:tc>
          <w:tcPr>
            <w:tcW w:type="dxa" w:w="115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{total_market_value}</w:t>
            </w:r>
          </w:p>
        </w:tc>
        <w:tc>
          <w:tcPr>
            <w:tcW w:type="dxa" w:w="122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100.00%</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{valuation_snapshot_reference}</w:t>
            </w:r>
          </w:p>
        </w:tc>
      </w:tr>
    </w:tbl>
    <w:p>
      <w:r>
        <w:br w:type="page"/>
      </w:r>
    </w:p>
    <w:p>
      <w:pPr>
        <w:pStyle w:val="Heading2"/>
      </w:pPr>
      <w:r>
        <w:rPr>
          <w:b/>
          <w:i w:val="0"/>
          <w:color w:val="1687E8"/>
          <w:sz w:val="22"/>
          <w:u w:val="none"/>
        </w:rPr>
        <w:t>Money Market, Deposits and Fixed Income Detail</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208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Issuer / Counterparty</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Start Date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Maturity Date</w:t>
            </w:r>
          </w:p>
        </w:tc>
        <w:tc>
          <w:tcPr>
            <w:tcW w:type="dxa" w:w="10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Rate / Yield</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Face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Accrued Interest</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{instrument_1}</w:t>
            </w:r>
          </w:p>
        </w:tc>
        <w:tc>
          <w:tcPr>
            <w:tcW w:type="dxa" w:w="208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{issuer_counterparty_1}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{start_date_1}</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{maturity_date_1}</w:t>
            </w:r>
          </w:p>
        </w:tc>
        <w:tc>
          <w:tcPr>
            <w:tcW w:type="dxa" w:w="10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{rate_yield_1}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{face_value_1}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{accrued_interest_1}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{status_1}</w:t>
            </w:r>
          </w:p>
        </w:tc>
      </w:tr>
      <w:tr>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{instrument_2}</w:t>
            </w:r>
          </w:p>
        </w:tc>
        <w:tc>
          <w:tcPr>
            <w:tcW w:type="dxa" w:w="208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{issuer_counterparty_2}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{start_date_2}</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{maturity_date_2}</w:t>
            </w:r>
          </w:p>
        </w:tc>
        <w:tc>
          <w:tcPr>
            <w:tcW w:type="dxa" w:w="10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{rate_yield_2}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{face_value_2}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{market_value_2}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{accrued_interest_2}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{status_2}</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Total</w:t>
            </w:r>
          </w:p>
        </w:tc>
        <w:tc>
          <w:tcPr>
            <w:tcW w:type="dxa" w:w="208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0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{total_face_value}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{total_market_value}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{total_accrued_interest}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{summary_status}</w:t>
            </w:r>
          </w:p>
        </w:tc>
      </w:tr>
    </w:tbl>
    <w:p>
      <w:pPr>
        <w:sectPr>
          <w:pgSz w:w="15840" w:h="12240" w:orient="landscape"/>
          <w:pgMar w:top="648" w:right="648" w:bottom="648" w:left="648" w:header="720" w:footer="720" w:gutter="0"/>
          <w:cols w:space="720"/>
          <w:docGrid w:linePitch="360"/>
        </w:sectPr>
      </w:pPr>
    </w:p>
    <w:p>
      <w:pPr>
        <w:pStyle w:val="Heading1"/>
      </w:pPr>
      <w:r>
        <w:rPr>
          <w:b/>
          <w:i w:val="0"/>
          <w:color w:val="071A2F"/>
          <w:sz w:val="30"/>
          <w:u w:val="none"/>
        </w:rPr>
        <w:t>6. Cash, Settlements and Accrued Income</w:t>
      </w:r>
    </w:p>
    <w:p>
      <w:pPr>
        <w:pStyle w:val="Heading2"/>
      </w:pPr>
      <w:r>
        <w:rPr>
          <w:b/>
          <w:i w:val="0"/>
          <w:color w:val="1687E8"/>
          <w:sz w:val="22"/>
          <w:u w:val="none"/>
        </w:rPr>
        <w:t>Cash Holdings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237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Bank / Cash Account</w:t>
            </w:r>
          </w:p>
        </w:tc>
        <w:tc>
          <w:tcPr>
            <w:tcW w:type="dxa" w:w="11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Currency</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Opening Cash</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Deposits</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Withdrawals</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Closing Cash</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Reconciled</w:t>
            </w:r>
          </w:p>
        </w:tc>
      </w:tr>
      <w:tr>
        <w:tc>
          <w:tcPr>
            <w:tcW w:type="dxa" w:w="237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{bank_account_1}</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{currency_1}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{opening_cash_1}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{deposits_1}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{withdrawals_1}</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{closing_cash_1}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{yes / no}</w:t>
            </w:r>
          </w:p>
        </w:tc>
      </w:tr>
      <w:tr>
        <w:tc>
          <w:tcPr>
            <w:tcW w:type="dxa" w:w="237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{bank_account_2}</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{currency_2}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{opening_cash_2}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{deposits_2}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{withdrawals_2}</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{closing_cash_2}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{yes / no}</w:t>
            </w:r>
          </w:p>
        </w:tc>
      </w:tr>
      <w:tr>
        <w:tc>
          <w:tcPr>
            <w:tcW w:type="dxa" w:w="23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Total</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{reporting_currency}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{total_opening_cash}</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{total_deposits}</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{total_withdrawals}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{total_closing_cash}</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{reconciliation_status}</w:t>
            </w:r>
          </w:p>
        </w:tc>
      </w:tr>
    </w:tbl>
    <w:p>
      <w:pPr>
        <w:pStyle w:val="Heading2"/>
      </w:pPr>
      <w:r>
        <w:rPr>
          <w:b/>
          <w:i w:val="0"/>
          <w:color w:val="1687E8"/>
          <w:sz w:val="22"/>
          <w:u w:val="none"/>
        </w:rPr>
        <w:t>Unsettled Trades and Corporate Actions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94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Item</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Trade / Action Date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Settlement Date</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Amount</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w:t>
            </w:r>
          </w:p>
        </w:tc>
      </w:tr>
      <w:tr>
        <w:tc>
          <w:tcPr>
            <w:tcW w:type="dxa" w:w="19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Unsettled purchase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{trade_date_1}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{settlement_date_1}</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{amount_1}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{status_1}</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{comment_1}</w:t>
            </w:r>
          </w:p>
        </w:tc>
      </w:tr>
      <w:tr>
        <w:tc>
          <w:tcPr>
            <w:tcW w:type="dxa" w:w="194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Unsettled sale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{trade_date_2}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{settlement_date_2}</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{amount_2}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{status_2}</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{comment_2}</w:t>
            </w:r>
          </w:p>
        </w:tc>
      </w:tr>
      <w:tr>
        <w:tc>
          <w:tcPr>
            <w:tcW w:type="dxa" w:w="19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Dividend / coupon receivable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{event_date_3}</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{payment_date_3}</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{instrument_3}</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{amount_3}</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{status_3}</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{comment_3}</w:t>
            </w:r>
          </w:p>
        </w:tc>
      </w:tr>
      <w:tr>
        <w:tc>
          <w:tcPr>
            <w:tcW w:type="dxa" w:w="194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Other corporate action</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{event_date_4}</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{effective_date_4}</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{instrument_4}</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{amount_4}</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{status_4}</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{comment_4}</w:t>
            </w:r>
          </w:p>
        </w:tc>
      </w:tr>
    </w:tbl>
    <w:p>
      <w:pPr>
        <w:pStyle w:val="Heading1"/>
      </w:pPr>
      <w:r>
        <w:rPr>
          <w:b/>
          <w:i w:val="0"/>
          <w:color w:val="071A2F"/>
          <w:sz w:val="30"/>
          <w:u w:val="none"/>
        </w:rPr>
        <w:t>7. Concentration, Issuer and Maturity Analysis</w:t>
      </w:r>
    </w:p>
    <w:p>
      <w:pPr>
        <w:pStyle w:val="Heading2"/>
      </w:pPr>
      <w:r>
        <w:rPr>
          <w:b/>
          <w:i w:val="0"/>
          <w:color w:val="1687E8"/>
          <w:sz w:val="22"/>
          <w:u w:val="none"/>
        </w:rPr>
        <w:t>Top Holdings by Market Value</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86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Rank</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 / Issuer</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Portfolio</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Mandate Limit</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{top_holding_1}</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{asset_class_1}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{market_value_1}</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{portfolio_pct_1}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{mandate_limit_1}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r>
      <w:tr>
        <w:tc>
          <w:tcPr>
            <w:tcW w:type="dxa" w:w="86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2</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{top_holding_2}</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{asset_class_2}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{market_value_2}</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{portfolio_pct_2}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{mandate_limit_2}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3</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{top_holding_3}</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{asset_class_3}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{market_value_3}</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{portfolio_pct_3}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{mandate_limit_3}</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r>
      <w:tr>
        <w:tc>
          <w:tcPr>
            <w:tcW w:type="dxa" w:w="86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4</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{top_holding_4}</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{asset_class_4}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{market_value_4}</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{portfolio_pct_4}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{mandate_limit_4}</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5</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{top_holding_5}</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{asset_class_5}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{market_value_5}</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{portfolio_pct_5}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{mandate_limit_5}</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r>
    </w:tbl>
    <w:p>
      <w:pPr>
        <w:pStyle w:val="Heading2"/>
      </w:pPr>
      <w:r>
        <w:rPr>
          <w:b/>
          <w:i w:val="0"/>
          <w:color w:val="1687E8"/>
          <w:sz w:val="22"/>
          <w:u w:val="none"/>
        </w:rPr>
        <w:t>Maturity Profile for Fixed Income and Money Market Holdings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Maturity Bucket</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Number of Instruments</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Fixed Income / Money Market</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Commentary</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0-30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{count_0_30}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{market_value_0_30}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{pct_0_30}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31-90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{count_31_90}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{market_value_31_90}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{pct_31_90}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91-180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{count_91_180}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{market_value_91_180}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{pct_91_180}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181-365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{count_181_365}</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{market_value_181_365}</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{pct_181_365}</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Over 365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{count_over_365}</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{market_value_over_365}</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{pct_over_365}</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{commentary}</w:t>
            </w:r>
          </w:p>
        </w:tc>
      </w:tr>
    </w:tbl>
    <w:p>
      <w:pPr>
        <w:pStyle w:val="Heading1"/>
      </w:pPr>
      <w:r>
        <w:rPr>
          <w:b/>
          <w:i w:val="0"/>
          <w:color w:val="071A2F"/>
          <w:sz w:val="30"/>
          <w:u w:val="none"/>
        </w:rPr>
        <w:t>8. Pricing and Valuation Controls</w:t>
      </w:r>
    </w:p>
    <w:tbl>
      <w:tblPr>
        <w:tblW w:type="auto" w:w="0"/>
        <w:jc w:val="center"/>
        <w:tblLook w:firstColumn="1" w:firstRow="1" w:lastColumn="0" w:lastRow="0" w:noHBand="0" w:noVBand="1" w:val="04A0"/>
      </w:tblPr>
      <w:tblGrid>
        <w:gridCol w:w="10325"/>
      </w:tblGrid>
      <w:tr>
        <w:tc>
          <w:tcPr>
            <w:tcW w:type="dxa" w:w="10325"/>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The holdings report must not be approved if approved prices, approved FX rates or required reconciliation evidence are missing. Any manual price override must be separately approved and clearly disclosed in the exception table below.</w:t>
            </w:r>
          </w:p>
        </w:tc>
      </w:tr>
    </w:tbl>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Price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{price_snapshot_id}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Price Date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{approved_price_date}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Primary Price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{primary_price_source}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Secondary Price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{secondary_price_source}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Manual Price Override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{manual_price_override_count}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Stale Price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{stale_price_count}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Unpriced Instrument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{unpriced_instrument_count}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FX Rate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{approved_fx_rate_source}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FX Rate Approval Reference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{fx_rate_approval_reference}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Valuation Approval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{approved / pending / rejected}</w:t>
            </w:r>
          </w:p>
        </w:tc>
      </w:tr>
    </w:tbl>
    <w:p>
      <w:pPr>
        <w:pStyle w:val="Heading2"/>
      </w:pPr>
      <w:r>
        <w:rPr>
          <w:b/>
          <w:i w:val="0"/>
          <w:color w:val="1687E8"/>
          <w:sz w:val="22"/>
          <w:u w:val="none"/>
        </w:rPr>
        <w:t>Price and Valuation Exceptions</w:t>
      </w:r>
    </w:p>
    <w:tbl>
      <w:tblPr>
        <w:tblW w:type="auto" w:w="0"/>
        <w:jc w:val="center"/>
        <w:tblLayout w:type="autofit"/>
        <w:tblLook w:firstColumn="1" w:firstRow="1" w:lastColumn="0" w:lastRow="0" w:noHBand="0" w:noVBand="1" w:val="04A0"/>
      </w:tblPr>
      <w:tblGrid>
        <w:gridCol w:w="1721"/>
        <w:gridCol w:w="1721"/>
        <w:gridCol w:w="1721"/>
        <w:gridCol w:w="1721"/>
        <w:gridCol w:w="1721"/>
        <w:gridCol w:w="1721"/>
      </w:tblGrid>
      <w:tr>
        <w:trPr>
          <w:tblHeader w:val="true"/>
        </w:trPr>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Exception ID</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Exception Type</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Impact</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Owner</w:t>
            </w:r>
          </w:p>
        </w:tc>
        <w:tc>
          <w:tcPr>
            <w:tcW w:type="dxa" w:w="194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Resolution / Approval</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{exception_id_1}</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{instrument_1}</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{missing_price / stale_price / manual_override / FX_issue}</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{impact_amount_or_description}</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{resolution_or_approval}</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{exception_id_2}</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{instrument_2}</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{missing_price / stale_price / manual_override / FX_issue}</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{impact_amount_or_description}</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{resolution_or_approval}</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{exception_id_3}</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{instrument_3}</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{missing_price / stale_price / manual_override / FX_issue}</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{impact_amount_or_description}</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{resolution_or_approval}</w:t>
            </w:r>
          </w:p>
        </w:tc>
      </w:tr>
    </w:tbl>
    <w:p>
      <w:pPr>
        <w:pStyle w:val="Heading1"/>
      </w:pPr>
      <w:r>
        <w:rPr>
          <w:b/>
          <w:i w:val="0"/>
          <w:color w:val="071A2F"/>
          <w:sz w:val="30"/>
          <w:u w:val="none"/>
        </w:rPr>
        <w:t>9. Reconciliation and Data Quality Review</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Custodian Holdings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{reconciled / exceptions_noted / not_applicable}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Broker Statement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{reconciled / exceptions_noted / not_applicable}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Bank Cash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{reconciled / exceptions_noted / not_applicable}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Trade Blotter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{reconciled / exceptions_noted / not_applicable}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Corporate Actions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{complete / exceptions_noted / not_applicable}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Duplicate Instrument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{complete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Negative Holdings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{complete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Classification Review</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{complete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Reviewer Comment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{summary_of_data_quality_and_reconciliation_comments}</w:t>
            </w:r>
          </w:p>
        </w:tc>
      </w:tr>
    </w:tbl>
    <w:p>
      <w:pPr>
        <w:pStyle w:val="Heading1"/>
      </w:pPr>
      <w:r>
        <w:rPr>
          <w:b/>
          <w:i w:val="0"/>
          <w:color w:val="071A2F"/>
          <w:sz w:val="30"/>
          <w:u w:val="none"/>
        </w:rPr>
        <w:t>10. Mandate Compliance Flags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Compliance Area</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Limit / Rule</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Actual Position</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Action Required</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Asset class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{limit_or_rule}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{actual_position}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{action_required}</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Single issuer concentration</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{limit_or_rule}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{actual_position}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{action_required}</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Restricted securities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{limit_or_rule}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{actual_position}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{action_required}</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Liquidity / maturity profile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{limit_or_rule}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{actual_position}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{action_required}</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Currency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{limit_or_rule}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{actual_position}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{within_limit / breach}</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{action_required}</w:t>
            </w:r>
          </w:p>
        </w:tc>
      </w:tr>
    </w:tbl>
    <w:p>
      <w:pPr>
        <w:pStyle w:val="Heading1"/>
      </w:pPr>
      <w:r>
        <w:rPr>
          <w:b/>
          <w:i w:val="0"/>
          <w:color w:val="071A2F"/>
          <w:sz w:val="30"/>
          <w:u w:val="none"/>
        </w:rPr>
        <w:t>11. Supporting Documents Register</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Document</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Reference / File ID</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Owner</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Date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Approved valuation snapshot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{valuation_snapshot_file_id}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Custodian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{custodian_statement_file_id}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Broker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{broker_statement_file_id}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Bank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{bank_statement_file_id}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Price source extract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{price_source_extract_file_id}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FX approval evidence</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{fx_approval_file_id}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Exception approval evidence</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{exception_approval_file_id}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{owner}</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{date}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{attached / missing}</w:t>
            </w:r>
          </w:p>
        </w:tc>
      </w:tr>
    </w:tbl>
    <w:p>
      <w:pPr>
        <w:pStyle w:val="Heading1"/>
      </w:pPr>
      <w:r>
        <w:rPr>
          <w:b/>
          <w:i w:val="0"/>
          <w:color w:val="071A2F"/>
          <w:sz w:val="30"/>
          <w:u w:val="none"/>
        </w:rPr>
        <w:t>12. Legal, Reliance and Reporting Notes</w:t>
      </w:r>
    </w:p>
    <w:p>
      <w:r>
        <w:rPr>
          <w:b w:val="0"/>
          <w:i w:val="0"/>
          <w:sz w:val="18"/>
          <w:u w:val="none"/>
        </w:rPr>
        <w:t>This report is prepared using information believed to be reliable as at the holdings date, including approved records maintained by the asset manager, broker, custodian, bank and relevant source modules. Values may change after the reporting date due to market movements, pricing corrections, settlements, corporate actions, FX movements, fees, tax or other adjustments.</w:t>
      </w:r>
    </w:p>
    <w:p>
      <w:r>
        <w:rPr>
          <w:b w:val="0"/>
          <w:i w:val="0"/>
          <w:sz w:val="18"/>
          <w:u w:val="none"/>
        </w:rPr>
        <w:t>This document is provided for reporting purposes only. It does not constitute legal, tax, accounting or investment advice, nor does it constitute an offer, recommendation or solicitation to buy, sell or hold any financial product. The client should obtain independent professional advice where necessary.</w:t>
      </w:r>
    </w:p>
    <w:p>
      <w:r>
        <w:rPr>
          <w:b w:val="0"/>
          <w:i w:val="0"/>
          <w:sz w:val="18"/>
          <w:u w:val="none"/>
        </w:rPr>
        <w:t>Where a discrepancy exists between this report and the approved books, custodian records, mandate documents, governing scheme documents or regulatory records, the approved underlying records and governing documents shall prevail, subject to formal investigation and authorised reissue where required.</w:t>
      </w:r>
    </w:p>
    <w:p>
      <w:pPr>
        <w:pStyle w:val="Heading1"/>
      </w:pPr>
      <w:r>
        <w:rPr>
          <w:b/>
          <w:i w:val="0"/>
          <w:color w:val="071A2F"/>
          <w:sz w:val="30"/>
          <w:u w:val="none"/>
        </w:rPr>
        <w:t>13. Approval and Release</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Prepared By - Maker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{maker_name}, {maker_designation}, {date_prepared},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Investment Operations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{operations_reviewer_name}, {designation}, {review_date},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Portfolio Manager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{portfolio_manager_name}, {designation}, {review_date},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Compliance, if applicable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{compliance_reviewer_name}, {designation}, {review_date},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By - Checker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{checker_name}, {designation}, {approval_date},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Authorised for Publication By</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{authorised_officer_name}, {designation}, {release_date}, {signature}</w:t>
            </w:r>
          </w:p>
        </w:tc>
      </w:tr>
    </w:tbl>
    <w:p>
      <w:pPr>
        <w:pStyle w:val="Heading1"/>
      </w:pPr>
      <w:r>
        <w:rPr>
          <w:b/>
          <w:i w:val="0"/>
          <w:color w:val="071A2F"/>
          <w:sz w:val="30"/>
          <w:u w:val="none"/>
        </w:rPr>
        <w:t>14. Digital Signature, Portal and Audit Control</w:t>
      </w:r>
    </w:p>
    <w:tbl>
      <w:tblPr>
        <w:tblW w:type="auto" w:w="0"/>
        <w:jc w:val="center"/>
        <w:tblLayout w:type="autofit"/>
        <w:tblLook w:firstColumn="1" w:firstRow="1" w:lastColumn="0" w:lastRow="0" w:noHBand="0" w:noVBand="1" w:val="04A0"/>
      </w:tblPr>
      <w:tblGrid>
        <w:gridCol w:w="5162"/>
        <w:gridCol w:w="516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Control Field</w:t>
            </w:r>
          </w:p>
        </w:tc>
        <w:tc>
          <w:tcPr>
            <w:tcW w:type="dxa" w:w="69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Detail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Reporting Run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{reporting_run_id}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Generated Report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{generated_report_id}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Portfolio Valuation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{portfolio_valuation_id}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Holdings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{holdings_snapshot_id}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Price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{price_snapshot_id}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FX Rate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{fx_rate_snapshot_id}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Source Data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{source_data_snapshot_id}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Maker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{maker_user_id}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Checker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{checker_user_id}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Approval Date and Time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{approval_datetime}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Published to Client Portal</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{yes / no / not_applicable}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Portal Publication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{portal_publication_date}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Document Hash / Checksum</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{document_hash}</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Watermark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{confidential / approved / reissued}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Archive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{draft / locked / archived}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Reissue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{reissue_reference_if_any}</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06D"/>
        <w:sz w:val="14"/>
        <w:highlight w:val="yellow"/>
        <w:u w:val="none"/>
      </w:rPr>
      <w:t>Confidential | {client_legal_name} | {portfolio_name} | {reporting_period}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color w:val="071A2F"/>
        <w:sz w:val="16"/>
        <w:u w:val="none"/>
      </w:rPr>
      <w:t>ARCUS REPORTING TEMPLATE  |  HOLDINGS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71A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87E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71A2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