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Borders>
          <w:top w:val="single" w:sz="0" w:space="0" w:color="071527"/>
          <w:left w:val="single" w:sz="0" w:space="0" w:color="071527"/>
          <w:bottom w:val="single" w:sz="0" w:space="0" w:color="071527"/>
          <w:right w:val="single" w:sz="0" w:space="0" w:color="071527"/>
          <w:insideH w:val="single" w:sz="0" w:space="0" w:color="071527"/>
          <w:insideV w:val="single" w:sz="0" w:space="0" w:color="071527"/>
        </w:tblBorders>
      </w:tblPr>
      <w:tblGrid>
        <w:gridCol w:w="5328"/>
        <w:gridCol w:w="5328"/>
      </w:tblGrid>
      <w:tr>
        <w:tc>
          <w:tcPr>
            <w:tcW w:type="dxa" w:w="5328"/>
            <w:shd w:fill="071527"/>
          </w:tcPr>
          <w:p>
            <w:r>
              <w:rPr>
                <w:b/>
                <w:color w:val="FFFFFF"/>
                <w:sz w:val="34"/>
              </w:rPr>
              <w:t>ARCUS</w:t>
            </w:r>
            <w:r>
              <w:rPr>
                <w:color w:val="FFFFFF"/>
                <w:sz w:val="18"/>
              </w:rPr>
              <w:t xml:space="preserve">  | REPORTING CONTROL PACK</w:t>
            </w:r>
          </w:p>
        </w:tc>
        <w:tc>
          <w:tcPr>
            <w:tcW w:type="dxa" w:w="5328"/>
            <w:shd w:fill="071527"/>
          </w:tcPr>
          <w:p>
            <w:pPr>
              <w:jc w:val="right"/>
            </w:pPr>
            <w:r>
              <w:rPr>
                <w:b/>
                <w:color w:val="FFFFFF"/>
                <w:sz w:val="16"/>
                <w:highlight w:val="yellow"/>
              </w:rPr>
              <w:t>{asset_manager_logo_placeholder}</w:t>
            </w:r>
          </w:p>
        </w:tc>
      </w:tr>
    </w:tbl>
    <w:p/>
    <w:p>
      <w:pPr>
        <w:jc w:val="center"/>
      </w:pPr>
      <w:r>
        <w:rPr>
          <w:b/>
          <w:color w:val="071527"/>
          <w:sz w:val="48"/>
        </w:rPr>
        <w:t>INCOME REPORT</w:t>
      </w:r>
    </w:p>
    <w:p>
      <w:pPr>
        <w:jc w:val="center"/>
      </w:pPr>
      <w:r>
        <w:rPr>
          <w:color w:val="415466"/>
          <w:sz w:val="24"/>
        </w:rPr>
        <w:t>Client / Fund Accountant Reporting Template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Replace only the yellow highlighted placeholders. Delete all blue instruction boxes before final issue. Do not change the legal, control or approval wording unless approved by Compliance or Legal.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328"/>
        <w:gridCol w:w="5328"/>
      </w:tblGrid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Asset Manager / Investment Manager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>{asset_manager_name}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Client / Mandate / Portfolio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>{client_or_portfolio_name}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Client Account Number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>{client_account_number}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Reporting Period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>{period_start_date} to {period_end_date}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Valuation / Income Cut-off Date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>{income_cutoff_date}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Base Currency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>{base_currency}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Reporting Currency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>{reporting_currency}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Prepared For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>{recipient_name_or_department}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Document Status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>{draft_approved_published_archived}</w:t>
            </w:r>
          </w:p>
        </w:tc>
      </w:tr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Statement Version</w:t>
            </w:r>
          </w:p>
        </w:tc>
        <w:tc>
          <w:tcPr>
            <w:tcW w:type="dxa" w:w="5328"/>
            <w:shd w:fill="F5FA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6"/>
                <w:highlight w:val="yellow"/>
              </w:rPr>
              <w:t>{version_number}</w:t>
            </w:r>
          </w:p>
        </w:tc>
      </w:tr>
    </w:tbl>
    <w:p/>
    <w:p>
      <w:pPr>
        <w:pStyle w:val="Heading2"/>
        <w:spacing w:before="100" w:after="80"/>
      </w:pPr>
      <w:r>
        <w:t>Letterhead and Contact Details</w:t>
      </w:r>
    </w:p>
    <w:p>
      <w:pPr>
        <w:spacing w:after="40"/>
      </w:pPr>
      <w:r>
        <w:rPr>
          <w:b/>
          <w:color w:val="071527"/>
        </w:rPr>
        <w:t xml:space="preserve">Registered Office: </w:t>
      </w:r>
      <w:r>
        <w:rPr>
          <w:color w:val="111827"/>
          <w:highlight w:val="yellow"/>
        </w:rPr>
        <w:t>{registered_office_address}</w:t>
      </w:r>
    </w:p>
    <w:p>
      <w:pPr>
        <w:spacing w:after="40"/>
      </w:pPr>
      <w:r>
        <w:rPr>
          <w:b/>
          <w:color w:val="071527"/>
        </w:rPr>
        <w:t xml:space="preserve">Company Registration Number: </w:t>
      </w:r>
      <w:r>
        <w:rPr>
          <w:color w:val="111827"/>
          <w:highlight w:val="yellow"/>
        </w:rPr>
        <w:t>{company_registration_number}</w:t>
      </w:r>
    </w:p>
    <w:p>
      <w:pPr>
        <w:spacing w:after="40"/>
      </w:pPr>
      <w:r>
        <w:rPr>
          <w:b/>
          <w:color w:val="071527"/>
        </w:rPr>
        <w:t xml:space="preserve">SECZIM Licence Number, if applicable: </w:t>
      </w:r>
      <w:r>
        <w:rPr>
          <w:color w:val="111827"/>
          <w:highlight w:val="yellow"/>
        </w:rPr>
        <w:t>{seczim_licence_number}</w:t>
      </w:r>
    </w:p>
    <w:p>
      <w:pPr>
        <w:spacing w:after="40"/>
      </w:pPr>
      <w:r>
        <w:rPr>
          <w:b/>
          <w:color w:val="071527"/>
        </w:rPr>
        <w:t xml:space="preserve">Email / Telephone / Website: </w:t>
      </w:r>
      <w:r>
        <w:rPr>
          <w:color w:val="111827"/>
          <w:highlight w:val="yellow"/>
        </w:rPr>
        <w:t>{official_email} | {telephone_number} | {website}</w:t>
      </w:r>
    </w:p>
    <w:p>
      <w:pPr>
        <w:pStyle w:val="Heading1"/>
        <w:spacing w:before="160" w:after="80"/>
      </w:pPr>
      <w:r>
        <w:t>1. Purpose and Report Basis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State whether this report is for a discretionary portfolio, segregated mandate, CIS/unit trust, pension mandate or internal fund accounting use. Confirm the income cut-off date and whether amounts are cash received, accrued, or both.</w:t>
            </w:r>
          </w:p>
        </w:tc>
      </w:tr>
    </w:tbl>
    <w:p>
      <w:pPr>
        <w:spacing w:after="80"/>
      </w:pPr>
      <w:r>
        <w:rPr>
          <w:sz w:val="18"/>
        </w:rPr>
        <w:t xml:space="preserve">This Income Report summarises dividends, coupons, interest, distributions and other investment income recognised or received for </w:t>
      </w:r>
      <w:r>
        <w:rPr>
          <w:highlight w:val="yellow"/>
        </w:rPr>
        <w:t>{client_or_portfolio_name}</w:t>
      </w:r>
      <w:r>
        <w:rPr>
          <w:sz w:val="18"/>
        </w:rPr>
        <w:t xml:space="preserve"> for the period </w:t>
      </w:r>
      <w:r>
        <w:rPr>
          <w:highlight w:val="yellow"/>
        </w:rPr>
        <w:t>{period_start_date} to {period_end_date}</w:t>
      </w:r>
      <w:r>
        <w:rPr>
          <w:sz w:val="18"/>
        </w:rPr>
        <w:t>. It is prepared from approved portfolio holdings, income events, cash records, trade records, pricing records and FX rates maintained in the Arcus Stock Price Collector / Portfolio Valuation module and related accounting records.</w:t>
      </w:r>
    </w:p>
    <w:p>
      <w:pPr>
        <w:spacing w:after="40"/>
        <w:ind w:left="259" w:hanging="259"/>
      </w:pPr>
      <w:r>
        <w:rPr>
          <w:b/>
          <w:color w:val="1E88E5"/>
        </w:rPr>
        <w:t xml:space="preserve">• </w:t>
      </w:r>
      <w:r>
        <w:rPr>
          <w:color w:val="111827"/>
          <w:sz w:val="16"/>
        </w:rPr>
        <w:t>This report is intended to support client reporting, fund accounting, income reconciliation, fee reviews, tax support and portfolio performance reporting.</w:t>
      </w:r>
    </w:p>
    <w:p>
      <w:pPr>
        <w:spacing w:after="40"/>
        <w:ind w:left="259" w:hanging="259"/>
      </w:pPr>
      <w:r>
        <w:rPr>
          <w:b/>
          <w:color w:val="1E88E5"/>
        </w:rPr>
        <w:t xml:space="preserve">• </w:t>
      </w:r>
      <w:r>
        <w:rPr>
          <w:color w:val="111827"/>
          <w:sz w:val="16"/>
        </w:rPr>
        <w:t>Amounts are unaudited unless expressly marked otherwise.</w:t>
      </w:r>
    </w:p>
    <w:p>
      <w:pPr>
        <w:spacing w:after="40"/>
        <w:ind w:left="259" w:hanging="259"/>
      </w:pPr>
      <w:r>
        <w:rPr>
          <w:b/>
          <w:color w:val="1E88E5"/>
        </w:rPr>
        <w:t xml:space="preserve">• </w:t>
      </w:r>
      <w:r>
        <w:rPr>
          <w:color w:val="111827"/>
          <w:sz w:val="16"/>
        </w:rPr>
        <w:t>Income recognition should follow the mandate agreement, applicable accounting policy, tax treatment and approved internal procedures.</w:t>
      </w:r>
    </w:p>
    <w:p>
      <w:pPr>
        <w:spacing w:after="40"/>
        <w:ind w:left="259" w:hanging="259"/>
      </w:pPr>
      <w:r>
        <w:rPr>
          <w:b/>
          <w:color w:val="1E88E5"/>
        </w:rPr>
        <w:t xml:space="preserve">• </w:t>
      </w:r>
      <w:r>
        <w:rPr>
          <w:color w:val="111827"/>
          <w:sz w:val="16"/>
        </w:rPr>
        <w:t>The report does not constitute tax, legal, accounting or investment advice to the client.</w:t>
      </w:r>
    </w:p>
    <w:p>
      <w:pPr>
        <w:pStyle w:val="Heading1"/>
        <w:spacing w:before="160" w:after="80"/>
      </w:pPr>
      <w:r>
        <w:t>2. Income Summary Dashboard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Populate summary figures directly from the approved reporting snapshot. Do not type figures manually where a system field exists.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Income Category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Gross Income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Withholding Tax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Net Income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Accrued Not Received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Received in Cash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Dividends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{gross_dividends}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{dividend_wht}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{net_dividends}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{dividends_accrued_not_received}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{dividends_received_cash}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Coupons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{gross_coupons}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{coupon_wht}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{net_coupons}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{coupons_accrued_not_received}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{coupons_received_cash}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Interest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{gross_interest}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{interest_wht}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{net_interest}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{interest_accrued_not_received}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{interest_received_cash}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Money Market Income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{gross_mm_income}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{mm_wht}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{net_mm_income}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{mm_accrued_not_received}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{mm_received_cash}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Other Income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{gross_other_income}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{other_wht}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{net_other_income}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{other_accrued_not_received}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{other_received_cash}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Total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{total_gross_income}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{total_wht}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{total_net_income}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{total_accrued_not_received}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{total_received_cash}</w:t>
            </w:r>
          </w:p>
        </w:tc>
      </w:tr>
    </w:tbl>
    <w:p>
      <w:pPr>
        <w:pStyle w:val="Heading1"/>
        <w:spacing w:before="160" w:after="80"/>
      </w:pPr>
      <w:r>
        <w:t>3. Detailed Income Schedule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Insert one line per income event. Include declared income that has accrued but is not yet received. Status should be one of: Accrued, Received, Reversed, Pending Confirmation, Exception.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Income Date</w:t>
            </w:r>
          </w:p>
        </w:tc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Security / Instrument</w:t>
            </w:r>
          </w:p>
        </w:tc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Issuer</w:t>
            </w:r>
          </w:p>
        </w:tc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Income Type</w:t>
            </w:r>
          </w:p>
        </w:tc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Currency</w:t>
            </w:r>
          </w:p>
        </w:tc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Gross</w:t>
            </w:r>
          </w:p>
        </w:tc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Tax / WHT</w:t>
            </w:r>
          </w:p>
        </w:tc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Net</w:t>
            </w:r>
          </w:p>
        </w:tc>
        <w:tc>
          <w:tcPr>
            <w:tcW w:type="dxa" w:w="118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  <w:highlight w:val="yellow"/>
              </w:rPr>
              <w:t>{income_date_1}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{security_name_1}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{issuer_1}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{income_type_1}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{currency_1}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{gross_income_1}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{tax_wht_1}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{net_income_1}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{status_1}</w:t>
            </w:r>
          </w:p>
        </w:tc>
      </w:tr>
      <w:tr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  <w:highlight w:val="yellow"/>
              </w:rPr>
              <w:t>{income_date_2}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{security_name_2}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{issuer_2}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{income_type_2}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{currency_2}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{gross_income_2}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{tax_wht_2}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{net_income_2}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{status_2}</w:t>
            </w:r>
          </w:p>
        </w:tc>
      </w:tr>
      <w:tr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  <w:highlight w:val="yellow"/>
              </w:rPr>
              <w:t>{income_date_3}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{security_name_3}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{issuer_3}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{income_type_3}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{currency_3}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{gross_income_3}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{tax_wht_3}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{net_income_3}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{status_3}</w:t>
            </w:r>
          </w:p>
        </w:tc>
      </w:tr>
      <w:tr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  <w:highlight w:val="yellow"/>
              </w:rPr>
              <w:t>{income_date_4}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{security_name_4}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{issuer_4}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{income_type_4}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{currency_4}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{gross_income_4}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{tax_wht_4}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{net_income_4}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{status_4}</w:t>
            </w:r>
          </w:p>
        </w:tc>
      </w:tr>
      <w:tr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  <w:highlight w:val="yellow"/>
              </w:rPr>
              <w:t>{income_date_5}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{security_name_5}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{issuer_5}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{income_type_5}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{currency_5}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{gross_income_5}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{tax_wht_5}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{net_income_5}</w:t>
            </w:r>
          </w:p>
        </w:tc>
        <w:tc>
          <w:tcPr>
            <w:tcW w:type="dxa" w:w="118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{status_5}</w:t>
            </w:r>
          </w:p>
        </w:tc>
      </w:tr>
      <w:tr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Total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{total_gross_income}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{total_tax_wht}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{total_net_income}</w:t>
            </w:r>
          </w:p>
        </w:tc>
        <w:tc>
          <w:tcPr>
            <w:tcW w:type="dxa" w:w="118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</w:r>
          </w:p>
        </w:tc>
      </w:tr>
    </w:tbl>
    <w:p>
      <w:pPr>
        <w:pStyle w:val="Heading1"/>
        <w:spacing w:before="160" w:after="80"/>
      </w:pPr>
      <w:r>
        <w:t>4. Income by Asset Class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The table should agree to the total income dashboard. Add rows for additional asset classes only where the mandate includes them.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Asset Class</w:t>
            </w:r>
          </w:p>
        </w:tc>
        <w:tc>
          <w:tcPr>
            <w:tcW w:type="dxa" w:w="152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Opening Market Value</w:t>
            </w:r>
          </w:p>
        </w:tc>
        <w:tc>
          <w:tcPr>
            <w:tcW w:type="dxa" w:w="152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Average Holding</w:t>
            </w:r>
          </w:p>
        </w:tc>
        <w:tc>
          <w:tcPr>
            <w:tcW w:type="dxa" w:w="152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Gross Income</w:t>
            </w:r>
          </w:p>
        </w:tc>
        <w:tc>
          <w:tcPr>
            <w:tcW w:type="dxa" w:w="152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Net Income</w:t>
            </w:r>
          </w:p>
        </w:tc>
        <w:tc>
          <w:tcPr>
            <w:tcW w:type="dxa" w:w="152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Income Yield</w:t>
            </w:r>
          </w:p>
        </w:tc>
        <w:tc>
          <w:tcPr>
            <w:tcW w:type="dxa" w:w="152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Commentary</w:t>
            </w:r>
          </w:p>
        </w:tc>
      </w:tr>
      <w:tr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Listed Equities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{listed_equities_opening_mv}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{listed_equities_average_holding}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{listed_equities_gross_income}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{listed_equities_net_income}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{listed_equities_income_yield}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{listed_equities_commentary}</w:t>
            </w:r>
          </w:p>
        </w:tc>
      </w:tr>
      <w:tr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Bonds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{bonds_opening_mv}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{bonds_average_holding}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{bonds_gross_income}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{bonds_net_income}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{bonds_income_yield}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{bonds_commentary}</w:t>
            </w:r>
          </w:p>
        </w:tc>
      </w:tr>
      <w:tr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Money Market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{money_market_opening_mv}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{money_market_average_holding}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{money_market_gross_income}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{money_market_net_income}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{money_market_income_yield}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{money_market_commentary}</w:t>
            </w:r>
          </w:p>
        </w:tc>
      </w:tr>
      <w:tr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Cash / Deposits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{cash_opening_mv}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{cash_average_holding}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{cash_gross_income}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{cash_net_income}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{cash_income_yield}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{cash_commentary}</w:t>
            </w:r>
          </w:p>
        </w:tc>
      </w:tr>
      <w:tr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Other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{other_opening_mv}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{other_average_holding}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{other_gross_income}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{other_net_income}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{other_income_yield}</w:t>
            </w:r>
          </w:p>
        </w:tc>
        <w:tc>
          <w:tcPr>
            <w:tcW w:type="dxa" w:w="152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{other_commentary}</w:t>
            </w:r>
          </w:p>
        </w:tc>
      </w:tr>
      <w:tr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Total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{total_opening_mv}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{total_average_holding}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{total_gross_income}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{total_net_income}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{total_income_yield}</w:t>
            </w:r>
          </w:p>
        </w:tc>
        <w:tc>
          <w:tcPr>
            <w:tcW w:type="dxa" w:w="152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{summary_commentary}</w:t>
            </w:r>
          </w:p>
        </w:tc>
      </w:tr>
    </w:tbl>
    <w:p>
      <w:pPr>
        <w:pStyle w:val="Heading1"/>
        <w:spacing w:before="160" w:after="80"/>
      </w:pPr>
      <w:r>
        <w:t>5. Income by Currency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Use approved FX rates only. The consolidated figures must agree to the income summary dashboard and the accounting ledger reconciliation.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Currency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Gross Income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Tax / WHT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Net Income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FX Rate Basis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Consolidated Reporting Currency Value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USD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{usd_gross_income}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{usd_tax_wht}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{usd_net_income}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{usd_fx_rate_basis}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{usd_consolidated_value}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ZWG / ZiG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{zig_gross_income}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{zig_tax_wht}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{zig_net_income}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{zig_fx_rate_basis}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{zig_consolidated_value}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Other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{other_currency_gross_income}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{other_currency_tax_wht}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{other_currency_net_income}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{other_currency_fx_rate_basis}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{other_currency_consolidated_value}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Total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{total_gross_income}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{total_tax_wht}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{total_net_income}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{approved_fx_rate_basis}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{total_consolidated_value}</w:t>
            </w:r>
          </w:p>
        </w:tc>
      </w:tr>
    </w:tbl>
    <w:p>
      <w:pPr>
        <w:pStyle w:val="Heading1"/>
        <w:spacing w:before="160" w:after="80"/>
      </w:pPr>
      <w:r>
        <w:t>6. Accrued versus Received Reconciliation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This section should reconcile income recognised in the portfolio valuation records to income received in bank/cash accounts and posted in accounting records.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Reconciliation Item</w:t>
            </w:r>
          </w:p>
        </w:tc>
        <w:tc>
          <w:tcPr>
            <w:tcW w:type="dxa" w:w="266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Amount</w:t>
            </w:r>
          </w:p>
        </w:tc>
        <w:tc>
          <w:tcPr>
            <w:tcW w:type="dxa" w:w="266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Source Record</w:t>
            </w:r>
          </w:p>
        </w:tc>
        <w:tc>
          <w:tcPr>
            <w:tcW w:type="dxa" w:w="2664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Status / Explanation</w:t>
            </w:r>
          </w:p>
        </w:tc>
      </w:tr>
      <w:tr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Opening income receivable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{opening_income_receivable}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{source_opening_income_receivable}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{opening_income_status}</w:t>
            </w:r>
          </w:p>
        </w:tc>
      </w:tr>
      <w:tr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Income accrued during period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{income_accrued_during_period}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{source_income_events}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{accrual_status}</w:t>
            </w:r>
          </w:p>
        </w:tc>
      </w:tr>
      <w:tr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Income received during period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{income_received_during_period}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{source_cashbook_or_bank}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{receipt_status}</w:t>
            </w:r>
          </w:p>
        </w:tc>
      </w:tr>
      <w:tr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Income reversed / adjusted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{income_reversed_adjusted}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{source_adjustment_log}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{adjustment_explanation}</w:t>
            </w:r>
          </w:p>
        </w:tc>
      </w:tr>
      <w:tr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Closing income receivable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{closing_income_receivable}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{source_receivables_schedule}</w:t>
            </w:r>
          </w:p>
        </w:tc>
        <w:tc>
          <w:tcPr>
            <w:tcW w:type="dxa" w:w="2664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{closing_income_receivable_status}</w:t>
            </w:r>
          </w:p>
        </w:tc>
      </w:tr>
      <w:tr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Unreconciled difference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{unreconciled_difference}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{source_reconciliation_report}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{difference_explanation}</w:t>
            </w:r>
          </w:p>
        </w:tc>
      </w:tr>
    </w:tbl>
    <w:p>
      <w:pPr>
        <w:pStyle w:val="Heading1"/>
        <w:spacing w:before="160" w:after="80"/>
      </w:pPr>
      <w:r>
        <w:t>7. Tax and Withholding Support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This schedule is a support schedule only. It should not be presented as final tax advice or a filed tax return. Attach certificates and broker/custodian confirmations where available.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Tax / WHT Category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Gross Income Base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Tax Rate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Tax / WHT Amount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Certificate / Reference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Dividend withholding tax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{dividend_wht_base}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{dividend_wht_rate}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{dividend_wht_amount}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{dividend_wht_certificate_ref}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{dividend_wht_status}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Interest withholding tax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{interest_wht_base}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{interest_wht_rate}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{interest_wht_amount}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{interest_wht_certificate_ref}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{interest_wht_status}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Coupon withholding tax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{coupon_wht_base}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{coupon_wht_rate}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{coupon_wht_amount}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{coupon_wht_certificate_ref}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{coupon_wht_status}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Foreign withholding tax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{foreign_wht_base}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{foreign_wht_rate}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{foreign_wht_amount}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{foreign_wht_certificate_ref}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{foreign_wht_status}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Other taxes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{other_tax_base}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{other_tax_rate}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{other_tax_amount}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{other_tax_reference}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{other_tax_status}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Total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{total_tax_base}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{total_tax_wht}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{tax_support_pack_ref}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{overall_tax_status}</w:t>
            </w:r>
          </w:p>
        </w:tc>
      </w:tr>
    </w:tbl>
    <w:p>
      <w:pPr>
        <w:pStyle w:val="Heading1"/>
        <w:spacing w:before="160" w:after="80"/>
      </w:pPr>
      <w:r>
        <w:t>8. Cash and Accounting Posting Controls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Confirm that income received agrees to bank/cash records, custodian statements and accounting ledger entries. Any difference must be recorded as an exception before approval.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Control Check</w:t>
            </w:r>
          </w:p>
        </w:tc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Exception?</w:t>
            </w:r>
          </w:p>
        </w:tc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Reviewer Comment</w:t>
            </w:r>
          </w:p>
        </w:tc>
      </w:tr>
      <w:tr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Income events agree to approved holdings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{expected_holdings_control}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{actual_holdings_control}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{yes_no_1}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{reviewer_comment_1}</w:t>
            </w:r>
          </w:p>
        </w:tc>
      </w:tr>
      <w:tr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Cash receipts agree to bank/custodian records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{expected_cash_control}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{actual_cash_control}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{yes_no_2}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{reviewer_comment_2}</w:t>
            </w:r>
          </w:p>
        </w:tc>
      </w:tr>
      <w:tr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Income posted to ledger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{expected_ledger_control}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{actual_ledger_control}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{yes_no_3}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{reviewer_comment_3}</w:t>
            </w:r>
          </w:p>
        </w:tc>
      </w:tr>
      <w:tr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Tax/WHT certificates attached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{expected_tax_certificates}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{actual_tax_certificates}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{yes_no_4}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{reviewer_comment_4}</w:t>
            </w:r>
          </w:p>
        </w:tc>
      </w:tr>
      <w:tr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FX rates approved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{expected_fx_control}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{actual_fx_control}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{yes_no_5}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{reviewer_comment_5}</w:t>
            </w:r>
          </w:p>
        </w:tc>
      </w:tr>
      <w:tr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3"/>
              </w:rPr>
              <w:t>No duplicate income events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{expected_duplicate_control}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{actual_duplicate_control}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{yes_no_6}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{reviewer_comment_6}</w:t>
            </w:r>
          </w:p>
        </w:tc>
      </w:tr>
    </w:tbl>
    <w:p>
      <w:pPr>
        <w:pStyle w:val="Heading1"/>
        <w:spacing w:before="160" w:after="80"/>
      </w:pPr>
      <w:r>
        <w:t>9. Exceptions and Outstanding Items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Record only unresolved matters or judgemental items. Closed exceptions should remain in the audit log but do not need to be repeated in the issued client-facing report unless material.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Exception Ref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Financial Impact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Target Resolution Date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{exception_ref_1}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{exception_description_1}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{exception_financial_impact_1}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{exception_owner_1}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{target_resolution_date_1}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{exception_status_1}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{exception_ref_2}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{exception_description_2}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{exception_financial_impact_2}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{exception_owner_2}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{target_resolution_date_2}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{exception_status_2}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{exception_ref_3}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{exception_description_3}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{exception_financial_impact_3}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{exception_owner_3}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{target_resolution_date_3}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{exception_status_3}</w:t>
            </w:r>
          </w:p>
        </w:tc>
      </w:tr>
    </w:tbl>
    <w:p>
      <w:pPr>
        <w:pStyle w:val="Heading1"/>
        <w:spacing w:before="160" w:after="80"/>
      </w:pPr>
      <w:r>
        <w:t>10. Supporting Documents Register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Attach or link supporting documents in Arcus before approval. The report should not be approved if material source evidence is missing.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Document Type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Document Name / Reference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Uploaded By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Upload Date</w:t>
            </w:r>
          </w:p>
        </w:tc>
        <w:tc>
          <w:tcPr>
            <w:tcW w:type="dxa" w:w="1776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Verified?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  <w:t>Custodian income statement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{custodian_income_statement_ref}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{custodian_source}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{uploaded_by_1}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{upload_date_1}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{yes_no_1}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  <w:t>Broker dividend/coupon notices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{broker_income_notice_ref}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{broker_source}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{uploaded_by_2}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{upload_date_2}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{yes_no_2}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  <w:t>Bank statement / cashbook extract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{bank_cashbook_ref}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{bank_source}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{uploaded_by_3}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{upload_date_3}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{yes_no_3}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  <w:t>Withholding tax certificates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{wht_certificate_ref}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{tax_source}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{uploaded_by_4}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{upload_date_4}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{yes_no_4}</w:t>
            </w:r>
          </w:p>
        </w:tc>
      </w:tr>
      <w:tr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  <w:t>FX approval file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{fx_approval_file_ref}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{fx_source}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{uploaded_by_5}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{upload_date_5}</w:t>
            </w:r>
          </w:p>
        </w:tc>
        <w:tc>
          <w:tcPr>
            <w:tcW w:type="dxa" w:w="1776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{yes_no_5}</w:t>
            </w:r>
          </w:p>
        </w:tc>
      </w:tr>
      <w:tr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</w:rPr>
              <w:t>Ledger extract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{ledger_extract_ref}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{accounting_source}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{uploaded_by_6}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{upload_date_6}</w:t>
            </w:r>
          </w:p>
        </w:tc>
        <w:tc>
          <w:tcPr>
            <w:tcW w:type="dxa" w:w="1776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3"/>
                <w:highlight w:val="yellow"/>
              </w:rPr>
              <w:t>{yes_no_6}</w:t>
            </w:r>
          </w:p>
        </w:tc>
      </w:tr>
    </w:tbl>
    <w:p>
      <w:pPr>
        <w:pStyle w:val="Heading1"/>
        <w:spacing w:before="160" w:after="80"/>
      </w:pPr>
      <w:r>
        <w:t>11. Legal, Reliance and Distribution Notice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Keep this wording unless the client mandate, regulator, legal adviser or compliance officer requires different wording.</w:t>
            </w:r>
          </w:p>
        </w:tc>
      </w:tr>
    </w:tbl>
    <w:p>
      <w:pPr>
        <w:spacing w:after="60"/>
      </w:pPr>
      <w:r>
        <w:rPr>
          <w:sz w:val="17"/>
        </w:rPr>
        <w:t xml:space="preserve">This report is confidential and is issued solely to </w:t>
      </w:r>
      <w:r>
        <w:rPr>
          <w:highlight w:val="yellow"/>
        </w:rPr>
        <w:t>{client_or_authorised_recipient}</w:t>
      </w:r>
      <w:r>
        <w:rPr>
          <w:sz w:val="17"/>
        </w:rPr>
        <w:t xml:space="preserve"> for the purposes of portfolio reporting, accounting support and income review. It may not be copied, distributed or relied upon by any third party without the prior written consent of </w:t>
      </w:r>
      <w:r>
        <w:rPr>
          <w:highlight w:val="yellow"/>
        </w:rPr>
        <w:t>{asset_manager_name}</w:t>
      </w:r>
      <w:r>
        <w:rPr>
          <w:sz w:val="17"/>
        </w:rPr>
        <w:t>, except where disclosure is required by law, regulation, mandate documents, auditors, trustees, custodians, tax advisers or other authorised professional advisers.</w:t>
      </w:r>
    </w:p>
    <w:p>
      <w:pPr>
        <w:spacing w:after="40"/>
        <w:ind w:left="259" w:hanging="259"/>
      </w:pPr>
      <w:r>
        <w:rPr>
          <w:b/>
          <w:color w:val="1E88E5"/>
        </w:rPr>
        <w:t xml:space="preserve">• </w:t>
      </w:r>
      <w:r>
        <w:rPr>
          <w:color w:val="111827"/>
          <w:sz w:val="16"/>
        </w:rPr>
        <w:t>The report is generated from approved source records and is subject to reconciliation, correction and reissue controls.</w:t>
      </w:r>
    </w:p>
    <w:p>
      <w:pPr>
        <w:spacing w:after="40"/>
        <w:ind w:left="259" w:hanging="259"/>
      </w:pPr>
      <w:r>
        <w:rPr>
          <w:b/>
          <w:color w:val="1E88E5"/>
        </w:rPr>
        <w:t xml:space="preserve">• </w:t>
      </w:r>
      <w:r>
        <w:rPr>
          <w:color w:val="111827"/>
          <w:sz w:val="16"/>
        </w:rPr>
        <w:t>The client remains responsible for obtaining independent tax and legal advice regarding the treatment of income, withholding tax, credits and deductions.</w:t>
      </w:r>
    </w:p>
    <w:p>
      <w:pPr>
        <w:spacing w:after="40"/>
        <w:ind w:left="259" w:hanging="259"/>
      </w:pPr>
      <w:r>
        <w:rPr>
          <w:b/>
          <w:color w:val="1E88E5"/>
        </w:rPr>
        <w:t xml:space="preserve">• </w:t>
      </w:r>
      <w:r>
        <w:rPr>
          <w:color w:val="111827"/>
          <w:sz w:val="16"/>
        </w:rPr>
        <w:t>Where a conflict exists between this report and the approved mandate agreement, custodian statement, accounting ledger or governing documents, the approved source documents shall prevail.</w:t>
      </w:r>
    </w:p>
    <w:p>
      <w:pPr>
        <w:pStyle w:val="Heading1"/>
        <w:spacing w:before="160" w:after="80"/>
      </w:pPr>
      <w:r>
        <w:t>12. Approval and Certification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Maker and checker must be different users. Approval should be blocked if material income events, cash receipts, tax certificates, FX rates or reconciliation items are incomplete.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Role</w:t>
            </w:r>
          </w:p>
        </w:tc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Name</w:t>
            </w:r>
          </w:p>
        </w:tc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Designation</w:t>
            </w:r>
          </w:p>
        </w:tc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2131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Signature / Digital Approval</w:t>
            </w:r>
          </w:p>
        </w:tc>
      </w:tr>
      <w:tr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Prepared By - Maker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{maker_name}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{maker_designation}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{maker_date}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{maker_signature_or_digital_approval}</w:t>
            </w:r>
          </w:p>
        </w:tc>
      </w:tr>
      <w:tr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Reviewed By - Checker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{checker_name}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{checker_designation}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{checker_date}</w:t>
            </w:r>
          </w:p>
        </w:tc>
        <w:tc>
          <w:tcPr>
            <w:tcW w:type="dxa" w:w="2131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{checker_signature_or_digital_approval}</w:t>
            </w:r>
          </w:p>
        </w:tc>
      </w:tr>
      <w:tr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Approved for Release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{authorised_officer_name}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{authorised_officer_designation}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{release_date}</w:t>
            </w:r>
          </w:p>
        </w:tc>
        <w:tc>
          <w:tcPr>
            <w:tcW w:type="dxa" w:w="2131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{authorised_signature_or_digital_approval}</w:t>
            </w:r>
          </w:p>
        </w:tc>
      </w:tr>
    </w:tbl>
    <w:p>
      <w:pPr>
        <w:pStyle w:val="Heading1"/>
        <w:spacing w:before="160" w:after="80"/>
      </w:pPr>
      <w:r>
        <w:t>13. Arcus Audit Trail and System Controls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328"/>
        <w:gridCol w:w="5328"/>
      </w:tblGrid>
      <w:tr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Control Field</w:t>
            </w:r>
          </w:p>
        </w:tc>
        <w:tc>
          <w:tcPr>
            <w:tcW w:type="dxa" w:w="5328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System Value</w:t>
            </w:r>
          </w:p>
        </w:tc>
      </w:tr>
      <w:tr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Report Run ID</w:t>
            </w:r>
          </w:p>
        </w:tc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{reporting_run_id}</w:t>
            </w:r>
          </w:p>
        </w:tc>
      </w:tr>
      <w:tr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Generated Report ID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{generated_report_id}</w:t>
            </w:r>
          </w:p>
        </w:tc>
      </w:tr>
      <w:tr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Source Module</w:t>
            </w:r>
          </w:p>
        </w:tc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Stock Price Collector / Portfolio Valuation + Accounting</w:t>
            </w:r>
          </w:p>
        </w:tc>
      </w:tr>
      <w:tr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Reporting Snapshot ID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{reporting_snapshot_id}</w:t>
            </w:r>
          </w:p>
        </w:tc>
      </w:tr>
      <w:tr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Generated By</w:t>
            </w:r>
          </w:p>
        </w:tc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{generated_by_user}</w:t>
            </w:r>
          </w:p>
        </w:tc>
      </w:tr>
      <w:tr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Generated Date and Time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{generated_datetime}</w:t>
            </w:r>
          </w:p>
        </w:tc>
      </w:tr>
      <w:tr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Approved By</w:t>
            </w:r>
          </w:p>
        </w:tc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{approved_by_user}</w:t>
            </w:r>
          </w:p>
        </w:tc>
      </w:tr>
      <w:tr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Approval Date and Time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{approval_datetime}</w:t>
            </w:r>
          </w:p>
        </w:tc>
      </w:tr>
      <w:tr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Document Hash / Checksum</w:t>
            </w:r>
          </w:p>
        </w:tc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{document_hash}</w:t>
            </w:r>
          </w:p>
        </w:tc>
      </w:tr>
      <w:tr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Portal Publication Status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{portal_publication_status}</w:t>
            </w:r>
          </w:p>
        </w:tc>
      </w:tr>
      <w:tr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Archive Status</w:t>
            </w:r>
          </w:p>
        </w:tc>
        <w:tc>
          <w:tcPr>
            <w:tcW w:type="dxa" w:w="5328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{archive_status}</w:t>
            </w:r>
          </w:p>
        </w:tc>
      </w:tr>
      <w:tr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Reissue Reference, if any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  <w:highlight w:val="yellow"/>
              </w:rPr>
              <w:t>{reissue_reference}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t>Appendix A: Suggested Arcus Field Mapping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B7D8F7"/>
          <w:left w:val="single" w:sz="6" w:space="0" w:color="B7D8F7"/>
          <w:bottom w:val="single" w:sz="6" w:space="0" w:color="B7D8F7"/>
          <w:right w:val="single" w:sz="6" w:space="0" w:color="B7D8F7"/>
          <w:insideH w:val="single" w:sz="6" w:space="0" w:color="B7D8F7"/>
          <w:insideV w:val="single" w:sz="6" w:space="0" w:color="B7D8F7"/>
        </w:tblBorders>
      </w:tblPr>
      <w:tblGrid>
        <w:gridCol w:w="10656"/>
      </w:tblGrid>
      <w:tr>
        <w:tc>
          <w:tcPr>
            <w:tcW w:type="dxa" w:w="10656"/>
            <w:shd w:fill="EAF4FF"/>
          </w:tcPr>
          <w:p>
            <w:pPr>
              <w:spacing w:after="0"/>
            </w:pPr>
            <w:r>
              <w:rPr>
                <w:b/>
                <w:color w:val="1E88E5"/>
                <w:sz w:val="16"/>
              </w:rPr>
              <w:t xml:space="preserve">EDITOR INSTRUCTION: </w:t>
            </w:r>
            <w:r>
              <w:rPr>
                <w:color w:val="071527"/>
                <w:sz w:val="16"/>
              </w:rPr>
              <w:t>Developer / configuration note: use this appendix to map template placeholders to system tables or report DTOs. Remove from client-facing versions where not required.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Template Area</w:t>
            </w:r>
          </w:p>
        </w:tc>
        <w:tc>
          <w:tcPr>
            <w:tcW w:type="dxa" w:w="355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Suggested Source Table / Object</w:t>
            </w:r>
          </w:p>
        </w:tc>
        <w:tc>
          <w:tcPr>
            <w:tcW w:type="dxa" w:w="3552"/>
            <w:shd w:fill="07152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4"/>
              </w:rPr>
              <w:t>Example Fields</w:t>
            </w:r>
          </w:p>
        </w:tc>
      </w:tr>
      <w:tr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Portfolio / client metadata</w:t>
            </w:r>
          </w:p>
        </w:tc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client_accounts, asset_portfolios</w:t>
            </w:r>
          </w:p>
        </w:tc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client_id, portfolio_id, mandate_type, base_currency</w:t>
            </w:r>
          </w:p>
        </w:tc>
      </w:tr>
      <w:tr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Income events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income_events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income_date, income_type, security_id, gross_amount, tax_amount, net_amount, status</w:t>
            </w:r>
          </w:p>
        </w:tc>
      </w:tr>
      <w:tr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Holdings validation</w:t>
            </w:r>
          </w:p>
        </w:tc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portfolio_holdings, portfolio_positions</w:t>
            </w:r>
          </w:p>
        </w:tc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quantity, ex_date_holding, market_value, asset_class</w:t>
            </w:r>
          </w:p>
        </w:tc>
      </w:tr>
      <w:tr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Cash receipts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cash_balances, bank/cashbook records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receipt_date, bank_reference, received_amount, currency</w:t>
            </w:r>
          </w:p>
        </w:tc>
      </w:tr>
      <w:tr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Securities and issuers</w:t>
            </w:r>
          </w:p>
        </w:tc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financial_securities</w:t>
            </w:r>
          </w:p>
        </w:tc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ticker, isin, issuer_name, asset_class, coupon_rate</w:t>
            </w:r>
          </w:p>
        </w:tc>
      </w:tr>
      <w:tr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FX rates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fx_rates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currency_pair, rate, approval_status, approval_date</w:t>
            </w:r>
          </w:p>
        </w:tc>
      </w:tr>
      <w:tr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Accounting posting</w:t>
            </w:r>
          </w:p>
        </w:tc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ledger / accounting integration</w:t>
            </w:r>
          </w:p>
        </w:tc>
        <w:tc>
          <w:tcPr>
            <w:tcW w:type="dxa" w:w="3552"/>
            <w:shd w:fill="F3F6F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income_account, tax_account, receivable_account, journal_ref</w:t>
            </w:r>
          </w:p>
        </w:tc>
      </w:tr>
      <w:tr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11827"/>
                <w:sz w:val="14"/>
              </w:rPr>
              <w:t>Approvals and audit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report_approvals, audit_logs, document_hashes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111827"/>
                <w:sz w:val="14"/>
              </w:rPr>
              <w:t>maker_id, checker_id, approval_time, checksum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15466"/>
        <w:sz w:val="14"/>
      </w:rPr>
      <w:t xml:space="preserve">Confidential Client Reporting Template | Generated from approved source data |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71527"/>
        <w:sz w:val="16"/>
      </w:rPr>
      <w:t>■  ARCUS REPORTING TEMPLATE</w:t>
    </w:r>
    <w:r>
      <w:rPr>
        <w:sz w:val="16"/>
      </w:rPr>
      <w:t xml:space="preserve">      Income Report | Asset Manager Reporting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715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E88E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715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715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Arcus Income Report Template</dc:title>
  <dc:subject>Asset Manager Income Report Template</dc:subject>
  <dc:creator>Arcus Reporting Template Generator</dc:creator>
  <cp:keywords/>
  <dc:description>Yellow highlights are editable placeholders; blue boxes are editor instructions.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