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04"/>
        <w:gridCol w:w="8064"/>
      </w:tblGrid>
      <w:tr>
        <w:tc>
          <w:tcPr>
            <w:tcW w:type="dxa" w:w="5328"/>
            <w:shd w:fill="071527"/>
            <w:tcBorders>
              <w:top w:sz="6" w:val="single" w:color="B8C7D9"/>
              <w:left w:sz="6" w:val="single" w:color="B8C7D9"/>
              <w:bottom w:sz="6" w:val="single" w:color="B8C7D9"/>
              <w:right w:sz="6" w:val="single" w:color="B8C7D9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LOGO</w:t>
              <w:br/>
              <w:t>PLACEHOLDER</w:t>
            </w:r>
          </w:p>
        </w:tc>
        <w:tc>
          <w:tcPr>
            <w:tcW w:type="dxa" w:w="5328"/>
            <w:shd w:fill="F4F7FB"/>
            <w:tcBorders>
              <w:top w:sz="6" w:val="single" w:color="B8C7D9"/>
              <w:left w:sz="6" w:val="single" w:color="B8C7D9"/>
              <w:bottom w:sz="6" w:val="single" w:color="B8C7D9"/>
              <w:right w:sz="6" w:val="single" w:color="B8C7D9"/>
            </w:tcBorders>
          </w:tcPr>
          <w:p>
            <w:r>
              <w:rPr>
                <w:rFonts w:ascii="Arial" w:hAnsi="Arial"/>
                <w:b/>
                <w:color w:val="0B1220"/>
                <w:sz w:val="24"/>
                <w:highlight w:val="yellow"/>
              </w:rPr>
              <w:t>{{ASSET_MANAGER_OR_LICENSED_ENTITY_NAME}}</w:t>
            </w:r>
            <w:r>
              <w:br/>
            </w:r>
            <w:r>
              <w:rPr>
                <w:rFonts w:ascii="Arial" w:hAnsi="Arial"/>
                <w:b/>
                <w:i w:val="0"/>
                <w:color w:val="0B1220"/>
                <w:sz w:val="16"/>
              </w:rPr>
              <w:t xml:space="preserve">Registered Office: </w:t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{{REGISTERED_OFFICE_ADDRESS}}</w:t>
            </w:r>
            <w:r>
              <w:br/>
            </w:r>
            <w:r>
              <w:rPr>
                <w:rFonts w:ascii="Arial" w:hAnsi="Arial"/>
                <w:b/>
                <w:i w:val="0"/>
                <w:color w:val="0B1220"/>
                <w:sz w:val="16"/>
              </w:rPr>
              <w:t xml:space="preserve">SECZIM Licence No.: </w:t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{{SECZIM_LICENCE_NUMBER}}</w:t>
            </w:r>
            <w:r>
              <w:t xml:space="preserve"> | </w:t>
            </w:r>
            <w:r>
              <w:rPr>
                <w:rFonts w:ascii="Arial" w:hAnsi="Arial"/>
                <w:b/>
                <w:i w:val="0"/>
                <w:color w:val="0B1220"/>
                <w:sz w:val="16"/>
              </w:rPr>
              <w:t xml:space="preserve">Company Reg. No.: </w:t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{{COMPANY_REGISTRATION_NUMBER}}</w:t>
            </w:r>
            <w:r>
              <w:br/>
            </w:r>
            <w:r>
              <w:rPr>
                <w:rFonts w:ascii="Arial" w:hAnsi="Arial"/>
                <w:b/>
                <w:i w:val="0"/>
                <w:color w:val="0B1220"/>
                <w:sz w:val="16"/>
              </w:rPr>
              <w:t xml:space="preserve">Email: </w:t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{{OFFICIAL_EMAIL}}</w:t>
            </w:r>
            <w:r>
              <w:t xml:space="preserve"> | </w:t>
            </w:r>
            <w:r>
              <w:rPr>
                <w:rFonts w:ascii="Arial" w:hAnsi="Arial"/>
                <w:b/>
                <w:i w:val="0"/>
                <w:color w:val="0B1220"/>
                <w:sz w:val="16"/>
              </w:rPr>
              <w:t xml:space="preserve">Telephone: </w:t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{{TELEPHONE_NUMBER}}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071527"/>
          <w:sz w:val="44"/>
        </w:rPr>
        <w:t>SECZIM PRUDENTIAL RETURN PACK</w:t>
      </w:r>
    </w:p>
    <w:p>
      <w:pPr>
        <w:jc w:val="center"/>
      </w:pPr>
      <w:r>
        <w:rPr>
          <w:rFonts w:ascii="Arial" w:hAnsi="Arial"/>
          <w:b w:val="0"/>
          <w:i w:val="0"/>
          <w:color w:val="526173"/>
          <w:sz w:val="22"/>
        </w:rPr>
        <w:t>Licensed Securities Investment / Asset Management Firm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Editable Placeholder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Editable Placeholder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Reporting Period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{{REPORTING_PERIOD}}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Quarter End Date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{{QUARTER_END_DATE}}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Submission Deadline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{{SUBMISSION_DEADLINE}}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Prepared For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{{COMPLIANCE_OFFICER_OR_BOARD}}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Regulatory Category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{{REGULATORY_CATEGORY}}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Document Status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{{DRAFT_APPROVED_SUBMITTED_ARCHIVED}}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Report Run ID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{{REPORTING_RUN_ID}}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Version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{{VERSION_NUMBER}}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4FF"/>
            <w:tcBorders>
              <w:top w:sz="6" w:val="single" w:color="8ABFF0"/>
              <w:left w:sz="6" w:val="single" w:color="8ABFF0"/>
              <w:bottom w:sz="6" w:val="single" w:color="8ABFF0"/>
              <w:right w:sz="6" w:val="single" w:color="8ABFF0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1E88E5"/>
                <w:sz w:val="16"/>
              </w:rPr>
              <w:t xml:space="preserve">EDITOR NOTE: </w:t>
            </w:r>
            <w:r>
              <w:rPr>
                <w:rFonts w:ascii="Arial" w:hAnsi="Arial"/>
                <w:color w:val="0B1220"/>
                <w:sz w:val="16"/>
              </w:rPr>
              <w:t>Replace only yellow highlighted placeholders. Blue instruction boxes are guidance notes and should be removed before the final approved return pack is issued or uploaded to the compliance archive.</w:t>
            </w:r>
          </w:p>
        </w:tc>
      </w:tr>
    </w:tbl>
    <w:p>
      <w:pPr>
        <w:spacing w:after="0"/>
      </w:pPr>
    </w:p>
    <w:p>
      <w:pPr>
        <w:spacing w:after="100" w:line="252" w:lineRule="auto"/>
      </w:pPr>
      <w:r>
        <w:rPr>
          <w:rFonts w:ascii="Arial" w:hAnsi="Arial"/>
          <w:b w:val="0"/>
          <w:i w:val="0"/>
          <w:color w:val="0B1220"/>
          <w:sz w:val="18"/>
        </w:rPr>
        <w:t>This Prudential Return Pack is a structured support document for preparing, reviewing, approving and evidencing the quarterly prudential financial return of a licensed securities investment / asset management firm. It should be completed using approved accounting, portfolio valuation, client asset and compliance records only.</w:t>
      </w:r>
    </w:p>
    <w:p>
      <w:pPr>
        <w:spacing w:after="100" w:line="252" w:lineRule="auto"/>
      </w:pPr>
      <w:r>
        <w:rPr>
          <w:rFonts w:ascii="Arial" w:hAnsi="Arial"/>
          <w:b/>
          <w:i w:val="0"/>
          <w:color w:val="0B1220"/>
          <w:sz w:val="18"/>
        </w:rPr>
        <w:t xml:space="preserve">Important: </w:t>
      </w:r>
      <w:r>
        <w:rPr>
          <w:rFonts w:ascii="Arial" w:hAnsi="Arial"/>
          <w:b w:val="0"/>
          <w:i w:val="0"/>
          <w:color w:val="0B1220"/>
          <w:sz w:val="18"/>
        </w:rPr>
        <w:t>This template is not an automatic electronic filing to SECZIM. It is a controlled support pack and evidence file for internal approval, regulatory submission tracking and audit retention.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Template Element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How to Treat It</w:t>
            </w:r>
          </w:p>
        </w:tc>
      </w:tr>
      <w:tr>
        <w:tc>
          <w:tcPr>
            <w:tcW w:type="dxa" w:w="5328"/>
            <w:shd w:fill="F4F7FB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Yellow highlighted {{PLACEHOLDERS}}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6"/>
              </w:rPr>
              <w:t>Editable fields to be populated from Arcus or approved manual input.</w:t>
            </w:r>
          </w:p>
        </w:tc>
      </w:tr>
      <w:tr>
        <w:tc>
          <w:tcPr>
            <w:tcW w:type="dxa" w:w="5328"/>
            <w:shd w:fill="EAF4FF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1E88E5"/>
                <w:sz w:val="16"/>
              </w:rPr>
              <w:t>Blue instruction boxes</w:t>
            </w:r>
          </w:p>
        </w:tc>
        <w:tc>
          <w:tcPr>
            <w:tcW w:type="dxa" w:w="5328"/>
            <w:shd w:fill="EAF4FF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</w:rPr>
              <w:t>Guidance for preparers/reviewers. Delete before issuing the final pack.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b/>
          <w:color w:val="071527"/>
          <w:sz w:val="30"/>
        </w:rPr>
        <w:t>1. Purpose, Scope and Regulatory Applicability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4FF"/>
            <w:tcBorders>
              <w:top w:sz="6" w:val="single" w:color="8ABFF0"/>
              <w:left w:sz="6" w:val="single" w:color="8ABFF0"/>
              <w:bottom w:sz="6" w:val="single" w:color="8ABFF0"/>
              <w:right w:sz="6" w:val="single" w:color="8ABFF0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1E88E5"/>
                <w:sz w:val="16"/>
              </w:rPr>
              <w:t xml:space="preserve">EDITOR NOTE: </w:t>
            </w:r>
            <w:r>
              <w:rPr>
                <w:rFonts w:ascii="Arial" w:hAnsi="Arial"/>
                <w:color w:val="0B1220"/>
                <w:sz w:val="16"/>
              </w:rPr>
              <w:t>Confirm whether the entity is licensed as a securities investment manager, asset/fund manager, CIS operator or other securities market intermediary. Adjust the scope of schedules to the licence and latest SECZIM return template applicable to the entity.</w:t>
            </w:r>
          </w:p>
        </w:tc>
      </w:tr>
    </w:tbl>
    <w:p>
      <w:pPr>
        <w:spacing w:after="0"/>
      </w:pPr>
    </w:p>
    <w:p>
      <w:pPr>
        <w:spacing w:after="100" w:line="252" w:lineRule="auto"/>
      </w:pPr>
      <w:r>
        <w:rPr>
          <w:rFonts w:ascii="Arial" w:hAnsi="Arial"/>
          <w:b w:val="0"/>
          <w:i w:val="0"/>
          <w:color w:val="0B1220"/>
          <w:sz w:val="18"/>
        </w:rPr>
        <w:t xml:space="preserve">This pack supports the quarterly prudential return process for </w:t>
      </w:r>
      <w:r>
        <w:rPr>
          <w:rFonts w:ascii="Arial" w:hAnsi="Arial"/>
          <w:b w:val="0"/>
          <w:color w:val="0B1220"/>
          <w:sz w:val="18"/>
          <w:highlight w:val="yellow"/>
        </w:rPr>
        <w:t>{{LICENSED_ENTITY_NAME}}</w:t>
      </w:r>
      <w:r>
        <w:rPr>
          <w:rFonts w:ascii="Arial" w:hAnsi="Arial"/>
          <w:b w:val="0"/>
          <w:i w:val="0"/>
          <w:color w:val="0B1220"/>
          <w:sz w:val="18"/>
        </w:rPr>
        <w:t>. It consolidates the financial return, management accounts, AUM/FUM movement, liquidity position, exposure schedules, receivables and payables ageing, capital adequacy cross-reference and supporting evidence required for compliance review and authorised officer approval.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Applicability / Requirement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Source Module / Evidence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Prudential financial return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Quarterly financial/prudential return support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{{ACCOUNTING_MODULE_AND_APPROVED_LEDGER}}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{{COMPLETE_PENDING_EXCEPTION}}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Management accounts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Statement of financial position, profit or loss and supporting ledgers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{{MANAGEMENT_ACCOUNTS_FILE_REF}}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{{COMPLETE_PENDING_EXCEPTION}}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AUM / FUM movement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Opening FUM, inflows, outflows, market movement and closing FUM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{{STOCK_PRICE_COLLECTOR_VALUATION_MODULE}}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{{COMPLETE_PENDING_EXCEPTION}}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Capital adequacy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Cross-reference to capital adequacy calculation pack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{{CAPITAL_ADEQUACY_PACK_ID}}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{{COMPLETE_PENDING_EXCEPTION}}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AML/CFT/CPF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Cross-reference to AML/CFT/CPF support pack where applicable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{{AML_CFT_CPF_PACK_ID}}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{{COMPLETE_PENDING_EXCEPTION}}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Submission tracking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Submission reference, receipt and regulator queries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{{REGULATORY_RETURNS_REGISTER}}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{{OPEN_SUBMITTED_CLOSED}}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2. Entity and Return Control Information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Editable Placeholder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Editable Placeholder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Licensed Entity Name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{{LICENSED_ENTITY_NAME}}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SECZIM Licence Number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{{SECZIM_LICENCE_NUMBER}}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Return Type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{{PRUDENTIAL_FINANCIAL_RETURN}}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Quarter / Period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{{REPORTING_QUARTER}}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Financial Year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{{FINANCIAL_YEAR}}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Base Currency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{{BASE_CURRENCY}}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Consolidation Currency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{{CONSOLIDATION_CURRENCY}}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Reporting Template Version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{{SECZIM_TEMPLATE_VERSION}}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Prepared By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{{PREPARER_NAME}}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Reviewed By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{{COMPLIANCE_REVIEWER_NAME}}</w:t>
            </w:r>
          </w:p>
        </w:tc>
      </w:tr>
      <w:tr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Approved By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{{AUTHORISED_OFFICER_NAME}}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color w:val="0B1220"/>
                <w:sz w:val="16"/>
              </w:rPr>
              <w:t>Report Run ID</w:t>
            </w:r>
          </w:p>
        </w:tc>
        <w:tc>
          <w:tcPr>
            <w:tcW w:type="dxa" w:w="266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color w:val="0B1220"/>
                <w:sz w:val="16"/>
                <w:highlight w:val="yellow"/>
              </w:rPr>
              <w:t>{{REPORTING_RUN_ID}}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3. Return Pack Completion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4FF"/>
            <w:tcBorders>
              <w:top w:sz="6" w:val="single" w:color="8ABFF0"/>
              <w:left w:sz="6" w:val="single" w:color="8ABFF0"/>
              <w:bottom w:sz="6" w:val="single" w:color="8ABFF0"/>
              <w:right w:sz="6" w:val="single" w:color="8ABFF0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1E88E5"/>
                <w:sz w:val="16"/>
              </w:rPr>
              <w:t xml:space="preserve">EDITOR NOTE: </w:t>
            </w:r>
            <w:r>
              <w:rPr>
                <w:rFonts w:ascii="Arial" w:hAnsi="Arial"/>
                <w:color w:val="0B1220"/>
                <w:sz w:val="16"/>
              </w:rPr>
              <w:t>Each checklist line should be marked Complete, Not Applicable or Exception. Do not approve the pack while mandatory schedules are incomplete unless the exception has been formally authorised and documented.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No.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Required Schedule / Evidence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Source / File Ref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Reviewer Comment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1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Prudential financial return summary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2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Statement of financial position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3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Statement of profit or loss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4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Trial balance / general ledger extract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5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Bank and cash balance support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6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Receivables ageing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7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Payables schedule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8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Client assets / AUM / FUM schedule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9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Liquidity schedule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10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Investment exposure schedules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11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Capital adequacy cross-reference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50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12</w:t>
            </w:r>
          </w:p>
        </w:tc>
        <w:tc>
          <w:tcPr>
            <w:tcW w:type="dxa" w:w="345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Management declaration and approvals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84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29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  <w:tc>
          <w:tcPr>
            <w:tcW w:type="dxa" w:w="2160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b/>
          <w:color w:val="071527"/>
          <w:sz w:val="30"/>
        </w:rPr>
        <w:t>4. Prudential Financial Return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4FF"/>
            <w:tcBorders>
              <w:top w:sz="6" w:val="single" w:color="8ABFF0"/>
              <w:left w:sz="6" w:val="single" w:color="8ABFF0"/>
              <w:bottom w:sz="6" w:val="single" w:color="8ABFF0"/>
              <w:right w:sz="6" w:val="single" w:color="8ABFF0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1E88E5"/>
                <w:sz w:val="16"/>
              </w:rPr>
              <w:t xml:space="preserve">EDITOR NOTE: </w:t>
            </w:r>
            <w:r>
              <w:rPr>
                <w:rFonts w:ascii="Arial" w:hAnsi="Arial"/>
                <w:color w:val="0B1220"/>
                <w:sz w:val="16"/>
              </w:rPr>
              <w:t>Populate this summary from the approved financial return, management accounts and accounting ledger. Figures should agree to the signed management accounts and capital adequacy pack where applicable.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Line Item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Current Quarter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Previous Quarter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Movement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Movement %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Comment / Driver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Total assets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{{TOTAL_ASSETS_CURRENT}}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{{TOTAL_ASSETS_PRIOR}}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{{TOTAL_ASSETS_MOVEMENT}}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{{TOTAL_ASSETS_MOVEMENT_PERCENT}}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Total liabilities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{{TOTAL_LIABILITIES_CURRENT}}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{{TOTAL_LIABILITIES_PRIOR}}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{{TOTAL_LIABILITIES_MOVEMENT}}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{{TOTAL_LIABILITIES_MOVEMENT_PERCENT}}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Net assets / equity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{{NET_ASSETS_CURRENT}}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{{NET_ASSETS_PRIOR}}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{{NET_ASSETS_MOVEMENT}}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{{NET_ASSETS_MOVEMENT_PERCENT}}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Revenue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{{REVENUE_CURRENT}}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{{REVENUE_PRIOR}}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{{REVENUE_MOVEMENT}}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{{REVENUE_MOVEMENT_PERCENT}}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Operating expenses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{{OPERATING_EXPENSES_CURRENT}}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{{OPERATING_EXPENSES_PRIOR}}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{{OPERATING_EXPENSES_MOVEMENT}}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{{OPERATING_EXPENSES_MOVEMENT_PERCENT}}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Profit / loss before tax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{{PBT_CURRENT}}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{{PBT_PRIOR}}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{{PBT_MOVEMENT}}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{{PBT_MOVEMENT_PERCENT}}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Closing AUM / FUM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{{CLOSING_AUM_FUM_CURRENT}}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{{CLOSING_AUM_FUM_PRIOR}}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{{AUM_FUM_MOVEMENT}}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{{AUM_FUM_MOVEMENT_PERCENT}}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Capital adequacy ratio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{{CAR_CURRENT}}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{{CAR_MOVEMENT}}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{{CAR_MOVEMENT_PERCENT}}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5. Statement of Financial Position Support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Sub-Category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Amount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Ledger / Schedule Ref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Review Status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Cash and bank balances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{{CASH_AND_BANK}}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Receivables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{{RECEIVABLES}}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Investments held by manager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{{MANAGER_INVESTMENTS}}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Property and equipment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{{PROPERTY_EQUIPMENT}}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Other 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{{OTHER_ASSETS}}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Liabilities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Trade and other payables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{{PAYABLES}}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Liabilities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Tax liabilities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{{TAX_LIABILITIES}}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Liabilities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Borrowings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{{BORROWINGS}}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Equity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Share capital and reserves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{{EQUITY_AND_RESERVES}}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Control Total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Net assets / equity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{{NET_ASSETS_EQUITY}}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{{TB_REF}}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{{REVIEW_STATUS}}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6. Statement of Profit or Loss Support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Line Item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Amount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Budget / Prior Period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Variance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Ledger Ref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Comment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Management fees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{{MANAGEMENT_FEES}}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Advisory / performance fees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{{ADVISORY_PERFORMANCE_FEES}}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Other income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{{OTHER_INCOME}}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Staff costs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{{STAFF_COSTS}}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Professional fees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{{PROFESSIONAL_FEES}}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Compliance and licence fees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{{COMPLIANCE_LICENCE_FEES}}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Technology and administration costs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{{TECH_ADMIN_COSTS}}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Tax expense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{{TAX_EXPENSE}}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Profit / loss after tax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{{PAT}}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{{BUDGET_OR_PRIOR}}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{{VARIANCE}}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{{LEDGER_REF}}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b/>
          <w:color w:val="071527"/>
          <w:sz w:val="30"/>
        </w:rPr>
        <w:t>7. Client Assets / AUM / FUM Schedule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4FF"/>
            <w:tcBorders>
              <w:top w:sz="6" w:val="single" w:color="8ABFF0"/>
              <w:left w:sz="6" w:val="single" w:color="8ABFF0"/>
              <w:bottom w:sz="6" w:val="single" w:color="8ABFF0"/>
              <w:right w:sz="6" w:val="single" w:color="8ABFF0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1E88E5"/>
                <w:sz w:val="16"/>
              </w:rPr>
              <w:t xml:space="preserve">EDITOR NOTE: </w:t>
            </w:r>
            <w:r>
              <w:rPr>
                <w:rFonts w:ascii="Arial" w:hAnsi="Arial"/>
                <w:color w:val="0B1220"/>
                <w:sz w:val="16"/>
              </w:rPr>
              <w:t>This schedule should reconcile to the AUM / FUM Movement Report. Do not include proprietary assets as client assets unless the approved regulatory template specifically requires that presentation.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Portfolio / Product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Opening FUM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Inflows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Outflows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Market / FX Movement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Fees / Charges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Closing FUM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Custodian / Broker Ref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{{PORTFOLIO_OR_PRODUCT_1}}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{{OPENING_FUM}}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{{INFLOWS}}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{{OUTFLOWS}}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{{MARKET_FX_MOVEMENT}}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{{FEES_CHARGES}}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{{CLOSING_FUM}}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{{CUSTODIAN_REF}}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{{PORTFOLIO_OR_PRODUCT_2}}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{{OPENING_FUM}}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{{INFLOWS}}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{{OUTFLOWS}}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{{MARKET_FX_MOVEMENT}}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{{FEES_CHARGES}}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{{CLOSING_FUM}}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{{CUSTODIAN_REF}}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{{PORTFOLIO_OR_PRODUCT_3}}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{{OPENING_FUM}}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{{INFLOWS}}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{{OUTFLOWS}}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{{MARKET_FX_MOVEMENT}}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{{FEES_CHARGES}}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{{CLOSING_FUM}}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{{CUSTODIAN_REF}}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TOTAL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{{TOTAL_OPENING_FUM}}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{{TOTAL_INFLOWS}}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{{TOTAL_OUTFLOWS}}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{{TOTAL_MARKET_FX_MOVEMENT}}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{{TOTAL_FEES_CHARGES}}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{{TOTAL_CLOSING_FUM}}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{{RECON_REF}}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8. Liquidity Schedule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Liquidity Bucket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Amount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% of Total 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Eligible / Excluded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Basis / Comment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Cash and demand deposits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{{CASH_DEMAND_DEPOSITS}}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{{PERCENT_TOTAL_ASSETS}}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{{ELIGIBLE_EXCLUDED}}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Money market instruments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{{MONEY_MARKET_AMOUNT}}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{{PERCENT_TOTAL_ASSETS}}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{{ELIGIBLE_EXCLUDED}}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Listed securities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{{LISTED_SECURITIES_AMOUNT}}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{{PERCENT_TOTAL_ASSETS}}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{{ELIGIBLE_EXCLUDED}}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Receivables within approved ageing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{{ELIGIBLE_RECEIVABLES}}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{{PERCENT_TOTAL_ASSETS}}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{{ELIGIBLE_EXCLUDED}}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Illiquid / restricted assets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{{ILLIQUID_RESTRICTED_ASSETS}}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{{PERCENT_TOTAL_ASSETS}}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{{ELIGIBLE_EXCLUDED}}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Total liquid resources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{{TOTAL_LIQUID_RESOURCES}}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{{PERCENT_TOTAL_ASSETS}}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{{ELIGIBLE_EXCLUDED}}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9. Receivables and Payables Ageing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0-30 Days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31-60 Days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61-90 Days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&gt;90 Days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Total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Provision / Impairment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Comment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Management fee receivables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{{PROVISION}}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{{COMMENT}}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Advisory / performance fee receivables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{{PROVISION}}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{{COMMENT}}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Other receivables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{{PROVISION}}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{{COMMENT}}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Trade payables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{{N_A}}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{{COMMENT}}</w:t>
            </w:r>
          </w:p>
        </w:tc>
      </w:tr>
      <w:tr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Tax and statutory payables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{{AMOUNT}}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{{TOTAL}}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{{N_A}}</w:t>
            </w:r>
          </w:p>
        </w:tc>
        <w:tc>
          <w:tcPr>
            <w:tcW w:type="dxa" w:w="133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{{COMMENT}}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b/>
          <w:color w:val="071527"/>
          <w:sz w:val="30"/>
        </w:rPr>
        <w:t>10. Investment Exposure Schedules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4FF"/>
            <w:tcBorders>
              <w:top w:sz="6" w:val="single" w:color="8ABFF0"/>
              <w:left w:sz="6" w:val="single" w:color="8ABFF0"/>
              <w:bottom w:sz="6" w:val="single" w:color="8ABFF0"/>
              <w:right w:sz="6" w:val="single" w:color="8ABFF0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1E88E5"/>
                <w:sz w:val="16"/>
              </w:rPr>
              <w:t xml:space="preserve">EDITOR NOTE: </w:t>
            </w:r>
            <w:r>
              <w:rPr>
                <w:rFonts w:ascii="Arial" w:hAnsi="Arial"/>
                <w:color w:val="0B1220"/>
                <w:sz w:val="16"/>
              </w:rPr>
              <w:t>Exposure schedules should use approved valuation data from the Stock Price Collector / Portfolio Valuation module and must reconcile to the holdings report and AUM/FUM movement report for the same reporting date.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rPr>
          <w:tblHeader w:val="true"/>
        </w:trP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Exposure Category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Market Value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% of FUM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Number of Instruments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Largest Issuer Exposure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Limit / Threshold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Breach / Exception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Listed equities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{{LISTED_EQUITIES_VALUE}}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{{PERCENT_FUM}}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{{COUNT}}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{{LARGEST_ISSUER}}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{{LIMIT}}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{{BREACH_EXCEPTION}}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Unquoted equities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{{UNQUOTED_EQUITIES_VALUE}}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{{PERCENT_FUM}}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{{COUNT}}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{{LARGEST_ISSUER}}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{{LIMIT}}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{{BREACH_EXCEPTION}}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Money market instruments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{{MONEY_MARKET_VALUE}}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{{PERCENT_FUM}}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{{COUNT}}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{{LARGEST_ISSUER}}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{{LIMIT}}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{{BREACH_EXCEPTION}}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Bonds / fixed income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{{BONDS_VALUE}}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{{PERCENT_FUM}}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{{COUNT}}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{{LARGEST_ISSUER}}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{{LIMIT}}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{{BREACH_EXCEPTION}}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Property / REIT exposure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{{PROPERTY_REIT_VALUE}}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{{PERCENT_FUM}}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{{COUNT}}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{{LARGEST_ISSUER}}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{{LIMIT}}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{{BREACH_EXCEPTION}}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Other investments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{{OTHER_INVESTMENTS_VALUE}}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{{PERCENT_FUM}}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{{COUNT}}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{{LARGEST_ISSUER}}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{{LIMIT}}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{{BREACH_EXCEPTION}}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3"/>
              </w:rPr>
              <w:t>Cash / deposits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{{CASH_DEPOSITS_VALUE}}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{{PERCENT_FUM}}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{{COUNT}}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{{LARGEST_BANK}}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{{LIMIT}}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3"/>
              </w:rPr>
            </w:r>
            <w:r>
              <w:rPr>
                <w:rFonts w:ascii="Arial" w:hAnsi="Arial"/>
                <w:b w:val="0"/>
                <w:color w:val="0B1220"/>
                <w:sz w:val="13"/>
                <w:highlight w:val="yellow"/>
              </w:rPr>
              <w:t>{{BREACH_EXCEPTION}}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11. Capital Adequacy Cross-Reference</w:t>
      </w:r>
    </w:p>
    <w:p>
      <w:pPr>
        <w:spacing w:after="100" w:line="252" w:lineRule="auto"/>
      </w:pPr>
      <w:r>
        <w:rPr>
          <w:rFonts w:ascii="Arial" w:hAnsi="Arial"/>
          <w:b w:val="0"/>
          <w:i w:val="0"/>
          <w:color w:val="0B1220"/>
          <w:sz w:val="18"/>
        </w:rPr>
        <w:t>The prudential return pack should be read together with the Capital Adequacy Pack for the same quarter. The figures below are included as a control summary and must agree to the approved capital adequacy schedule before submission.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Capital Adequacy Control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Amount / Ratio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Source Ref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Reviewer Comment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Adjusted liquid capital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{{ADJUSTED_LIQUID_CAPITAL}}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{{CAPITAL_ADEQUACY_PACK_REF}}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{{MATCHED_EXCEPTION}}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Total capital requirement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{{TOTAL_CAPITAL_REQUIREMENT}}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{{CAPITAL_ADEQUACY_PACK_REF}}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{{MATCHED_EXCEPTION}}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Capital adequacy ratio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{{CAPITAL_ADEQUACY_RATIO}}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{{CAPITAL_ADEQUACY_PACK_REF}}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{{MATCHED_EXCEPTION}}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Regulatory minimum / threshold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{{REGULATORY_MINIMUM_THRESHOLD}}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{{POLICY_OR_DIRECTIVE_REF}}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{{MATCHED_EXCEPTION}}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Buffer / shortfall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{{CAPITAL_BUFFER_OR_SHORTFALL}}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{{CAPITAL_ADEQUACY_PACK_REF}}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{{MATCHED_EXCEPTION}}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{{COMMENT}}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12. Compliance Exceptions and Management Explanations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rPr>
          <w:tblHeader w:val="true"/>
        </w:trP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Exception ID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Financial / Regulatory Impact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Responsible Officer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Target Resolution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{{EXCEPTION_ID_1}}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{{AREA}}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{{DESCRIPTION}}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{{IMPACT}}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{{TARGET_DATE}}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{{EXCEPTION_ID_2}}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{{AREA}}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{{DESCRIPTION}}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{{IMPACT}}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{{TARGET_DATE}}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{{EXCEPTION_ID_3}}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{{AREA}}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{{DESCRIPTION}}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{{IMPACT}}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{{OWNER}}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{{TARGET_DATE}}</w:t>
            </w:r>
          </w:p>
        </w:tc>
        <w:tc>
          <w:tcPr>
            <w:tcW w:type="dxa" w:w="1522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b/>
          <w:color w:val="071527"/>
          <w:sz w:val="30"/>
        </w:rPr>
        <w:t>13. Supporting Documents Register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4FF"/>
            <w:tcBorders>
              <w:top w:sz="6" w:val="single" w:color="8ABFF0"/>
              <w:left w:sz="6" w:val="single" w:color="8ABFF0"/>
              <w:bottom w:sz="6" w:val="single" w:color="8ABFF0"/>
              <w:right w:sz="6" w:val="single" w:color="8ABFF0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1E88E5"/>
                <w:sz w:val="16"/>
              </w:rPr>
              <w:t xml:space="preserve">EDITOR NOTE: </w:t>
            </w:r>
            <w:r>
              <w:rPr>
                <w:rFonts w:ascii="Arial" w:hAnsi="Arial"/>
                <w:color w:val="0B1220"/>
                <w:sz w:val="16"/>
              </w:rPr>
              <w:t>Attach or link every document used to support the return. The pack should not be approved if required evidence is missing, unsigned, stale or not reconciled to approved source data.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Document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File / System Ref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Prepared By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Reviewed By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Approved trial balance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financial return figures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Management accounts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financial statements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Bank statements / bank confirmations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cash and liquidity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AUM / FUM movement report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client assets schedule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Holdings report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investment exposure schedules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Capital adequacy pack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CAR summary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Receivables/payables ageing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working capital schedules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Compliance exception register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Supports exceptions and action plan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  <w:tr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Submission receipt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4"/>
              </w:rPr>
              <w:t>Evidence of regulatory submission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{{FILE_REF}}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{{NAME}}</w:t>
            </w:r>
          </w:p>
        </w:tc>
        <w:tc>
          <w:tcPr>
            <w:tcW w:type="dxa" w:w="1776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4"/>
              </w:rPr>
            </w:r>
            <w:r>
              <w:rPr>
                <w:rFonts w:ascii="Arial" w:hAnsi="Arial"/>
                <w:b w:val="0"/>
                <w:color w:val="0B1220"/>
                <w:sz w:val="14"/>
                <w:highlight w:val="yellow"/>
              </w:rPr>
              <w:t>{{STATUS}}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14. Management Declaration and Approval</w:t>
      </w:r>
    </w:p>
    <w:p>
      <w:pPr>
        <w:spacing w:after="100" w:line="252" w:lineRule="auto"/>
      </w:pPr>
      <w:r>
        <w:rPr>
          <w:rFonts w:ascii="Arial" w:hAnsi="Arial"/>
          <w:b w:val="0"/>
          <w:i w:val="0"/>
          <w:color w:val="0B1220"/>
          <w:sz w:val="18"/>
        </w:rPr>
        <w:t>The undersigned confirm that this pack has been prepared from approved accounting records, portfolio valuation records, AUM/FUM schedules and supporting evidence available as at the reporting date. Any exceptions, estimates, reclassifications or limitations have been disclosed in this pack.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Signature / Digital Approval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Prepared by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{{PREPARER_NAME}}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{{PREPARER_DESIGNATION}}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{{PREPARATION_DATE}}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{{SIGNATURE_OR_DIGITAL_APPROVAL}}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Finance review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{{FINANCE_REVIEWER_NAME}}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{{FINANCE_REVIEWER_DESIGNATION}}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{{REVIEW_DATE}}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{{SIGNATURE_OR_DIGITAL_APPROVAL}}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Compliance review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{{COMPLIANCE_OFFICER_NAME}}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{{COMPLIANCE_OFFICER_DESIGNATION}}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{{REVIEW_DATE}}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{{SIGNATURE_OR_DIGITAL_APPROVAL}}</w:t>
            </w:r>
          </w:p>
        </w:tc>
      </w:tr>
      <w:tr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Authorised officer approval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{{AUTHORISED_OFFICER_NAME}}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{{AUTHORISED_OFFICER_DESIGNATION}}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{{APPROVAL_DATE}}</w:t>
            </w:r>
          </w:p>
        </w:tc>
        <w:tc>
          <w:tcPr>
            <w:tcW w:type="dxa" w:w="2131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{{SIGNATURE_OR_DIGITAL_APPROVAL}}</w:t>
            </w:r>
          </w:p>
        </w:tc>
      </w:tr>
    </w:tbl>
    <w:p>
      <w:pPr>
        <w:pStyle w:val="Heading1"/>
        <w:spacing w:before="240" w:after="120"/>
      </w:pPr>
      <w:r>
        <w:rPr>
          <w:b/>
          <w:color w:val="071527"/>
          <w:sz w:val="30"/>
        </w:rPr>
        <w:t>15. Submission Log and Audit Trail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Control Field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07152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Report Run ID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{{REPORTING_RUN_ID}}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Generated Report ID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{{GENERATED_REPORT_ID}}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Source Data Snapshot ID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{{SOURCE_DATA_SNAPSHOT_ID}}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Generated By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{{GENERATED_BY_USER}}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Generated Date / Time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{{GENERATED_DATETIME}}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Checker Approval Date / Time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{{CHECKER_APPROVAL_DATETIME}}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Submission Method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{{EMAIL_PORTAL_MANUAL_DELIVERY_OTHER}}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Submission Reference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{{SECZIM_SUBMISSION_REFERENCE}}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Submission Receipt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{{SUBMISSION_RECEIPT_FILE_REF}}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SECZIM Query Reference, if any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{{SECZIM_QUERY_REFERENCE}}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Closure / Acceptance Date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{{CLOSURE_ACCEPTANCE_DATE}}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Document Hash / Checksum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{{DOCUMENT_HASH}}</w:t>
            </w:r>
          </w:p>
        </w:tc>
      </w:tr>
      <w:tr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i w:val="0"/>
                <w:color w:val="0B1220"/>
                <w:sz w:val="15"/>
              </w:rPr>
              <w:t>Archive Status</w:t>
            </w:r>
          </w:p>
        </w:tc>
        <w:tc>
          <w:tcPr>
            <w:tcW w:type="dxa" w:w="5328"/>
            <w:vAlign w:val="center"/>
            <w:tcBorders>
              <w:top w:sz="4" w:val="single" w:color="B8C7D9"/>
              <w:left w:sz="4" w:val="single" w:color="B8C7D9"/>
              <w:bottom w:sz="4" w:val="single" w:color="B8C7D9"/>
              <w:right w:sz="4" w:val="single" w:color="B8C7D9"/>
            </w:tcBorders>
            <w:shd w:fill="F4F7FB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</w:r>
            <w:r>
              <w:rPr>
                <w:rFonts w:ascii="Arial" w:hAnsi="Arial"/>
                <w:b w:val="0"/>
                <w:color w:val="0B1220"/>
                <w:sz w:val="15"/>
                <w:highlight w:val="yellow"/>
              </w:rPr>
              <w:t>{{DRAFT_LOCKED_ARCHIVED}}</w:t>
            </w:r>
          </w:p>
        </w:tc>
      </w:tr>
    </w:tbl>
    <w:p>
      <w:pPr>
        <w:spacing w:after="100" w:line="252" w:lineRule="auto"/>
      </w:pPr>
      <w:r>
        <w:rPr>
          <w:rFonts w:ascii="Arial" w:hAnsi="Arial"/>
          <w:b/>
          <w:i w:val="0"/>
          <w:color w:val="0B1220"/>
          <w:sz w:val="16"/>
        </w:rPr>
        <w:t xml:space="preserve">Footer wording for final issue: </w:t>
      </w:r>
      <w:r>
        <w:rPr>
          <w:rFonts w:ascii="Arial" w:hAnsi="Arial"/>
          <w:b w:val="0"/>
          <w:i/>
          <w:color w:val="526173"/>
          <w:sz w:val="16"/>
        </w:rPr>
        <w:t>Confidential Regulatory Support Pack | {{LICENSED_ENTITY_NAME}} | {{REPORTING_PERIOD}} | Generated from approved Arcus source data | Valid only with approval record and checksum.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792" w:bottom="792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26173"/>
        <w:sz w:val="14"/>
      </w:rPr>
      <w:t>Confidential | For authorised internal, board, compliance and SECZIM-facing use | Generated from approved Arcus source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720"/>
          <w:shd w:fill="1E88E5"/>
          <w:tcBorders>
            <w:top w:sz="0" w:val="nil" w:color="FFFFFF"/>
            <w:bottom w:sz="0" w:val="nil" w:color="FFFFFF"/>
            <w:left w:sz="0" w:val="nil" w:color="FFFFFF"/>
            <w:right w:sz="0" w:val="nil" w:color="FFFFFF"/>
            <w:insideH w:sz="0" w:val="nil" w:color="FFFFFF"/>
            <w:insideV w:sz="0" w:val="nil" w:color="FFFFFF"/>
          </w:tcBorders>
        </w:tcPr>
        <w:p>
          <w:r/>
          <w:r>
            <w:rPr>
              <w:b w:val="0"/>
              <w:color w:val="0B1220"/>
              <w:sz w:val="16"/>
            </w:rPr>
          </w:r>
        </w:p>
      </w:tc>
      <w:tc>
        <w:tcPr>
          <w:tcW w:type="dxa" w:w="5328"/>
          <w:tcBorders>
            <w:top w:sz="0" w:val="nil" w:color="FFFFFF"/>
            <w:bottom w:sz="0" w:val="nil" w:color="FFFFFF"/>
            <w:left w:sz="0" w:val="nil" w:color="FFFFFF"/>
            <w:right w:sz="0" w:val="nil" w:color="FFFFFF"/>
            <w:insideH w:sz="0" w:val="nil" w:color="FFFFFF"/>
            <w:insideV w:sz="0" w:val="nil" w:color="FFFFFF"/>
          </w:tcBorders>
        </w:tcPr>
        <w:p>
          <w:pPr>
            <w:jc w:val="left"/>
          </w:pPr>
          <w:r>
            <w:rPr>
              <w:rFonts w:ascii="Arial" w:hAnsi="Arial"/>
              <w:b/>
              <w:i w:val="0"/>
              <w:color w:val="071527"/>
              <w:sz w:val="16"/>
            </w:rPr>
            <w:t>ARCUS REPORTING TEMPLATE</w:t>
          </w:r>
        </w:p>
      </w:tc>
      <w:tc>
        <w:tcPr>
          <w:tcW w:type="dxa" w:w="4320"/>
          <w:tcBorders>
            <w:top w:sz="0" w:val="nil" w:color="FFFFFF"/>
            <w:bottom w:sz="0" w:val="nil" w:color="FFFFFF"/>
            <w:left w:sz="0" w:val="nil" w:color="FFFFFF"/>
            <w:right w:sz="0" w:val="nil" w:color="FFFFFF"/>
            <w:insideH w:sz="0" w:val="nil" w:color="FFFFFF"/>
            <w:insideV w:sz="0" w:val="nil" w:color="FFFFFF"/>
          </w:tcBorders>
        </w:tcPr>
        <w:p>
          <w:pPr>
            <w:jc w:val="right"/>
          </w:pPr>
          <w:r>
            <w:rPr>
              <w:rFonts w:ascii="Arial" w:hAnsi="Arial"/>
              <w:b w:val="0"/>
              <w:i w:val="0"/>
              <w:color w:val="526173"/>
              <w:sz w:val="16"/>
            </w:rPr>
            <w:t>SECZIM Prudential Return Pack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B12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