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intrust-week-2-business-insights"/>
    <w:p>
      <w:pPr>
        <w:pStyle w:val="Heading1"/>
      </w:pPr>
      <w:r>
        <w:t xml:space="preserve">FinTrust Week 2 — Business Insights</w:t>
      </w:r>
    </w:p>
    <w:p>
      <w:pPr>
        <w:pStyle w:val="FirstParagraph"/>
      </w:pPr>
      <w:r>
        <w:rPr>
          <w:bCs/>
          <w:b/>
        </w:rPr>
        <w:t xml:space="preserve">Format:</w:t>
      </w:r>
      <w:r>
        <w:t xml:space="preserve"> </w:t>
      </w:r>
      <w:r>
        <w:t xml:space="preserve">Finding → Evidence → Business Meaning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Data Quality Assessment (Part A), SQL Analysis (Part B), Python EDA (Part C), Power BI Dashboard (Part D)</w:t>
      </w:r>
    </w:p>
    <w:p>
      <w:r>
        <w:pict>
          <v:rect style="width:0;height:1.5pt" o:hralign="center" o:hrstd="t" o:hr="t"/>
        </w:pict>
      </w:r>
    </w:p>
    <w:bookmarkStart w:id="20" w:name="X8617c0c54cd26669851c059c268a48377ea2461"/>
    <w:p>
      <w:pPr>
        <w:pStyle w:val="Heading3"/>
      </w:pPr>
      <w:r>
        <w:t xml:space="preserve">Finding 1 — International transaction status is the strongest risk indicator in the data, far stronger than customer segment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International transactions are flagged for risk review at</w:t>
      </w:r>
      <w:r>
        <w:t xml:space="preserve"> </w:t>
      </w:r>
      <w:r>
        <w:rPr>
          <w:bCs/>
          <w:b/>
        </w:rPr>
        <w:t xml:space="preserve">36.9%</w:t>
      </w:r>
      <w:r>
        <w:t xml:space="preserve">, versus</w:t>
      </w:r>
      <w:r>
        <w:t xml:space="preserve"> </w:t>
      </w:r>
      <w:r>
        <w:rPr>
          <w:bCs/>
          <w:b/>
        </w:rPr>
        <w:t xml:space="preserve">18.9%</w:t>
      </w:r>
      <w:r>
        <w:t xml:space="preserve"> </w:t>
      </w:r>
      <w:r>
        <w:t xml:space="preserve">for domestic transactions — despite international transactions being only 4% of total volume (480 of</w:t>
      </w:r>
      <w:r>
        <w:t xml:space="preserve"> </w:t>
      </w:r>
      <w:r>
        <w:t xml:space="preserve">12,000). By contrast, risk-review rate across customer segments ranges only 19.3%–20.3%, a near-flat</w:t>
      </w:r>
      <w:r>
        <w:t xml:space="preserve"> </w:t>
      </w:r>
      <w:r>
        <w:t xml:space="preserve">1-point spread. (Confirmed independently in SQL Q4/Q6 and the EDA notebook Chart 5.)</w:t>
      </w:r>
    </w:p>
    <w:p>
      <w:pPr>
        <w:pStyle w:val="BodyText"/>
      </w:pPr>
      <w:r>
        <w:rPr>
          <w:bCs/>
          <w:b/>
        </w:rPr>
        <w:t xml:space="preserve">Business meaning:</w:t>
      </w:r>
      <w:r>
        <w:t xml:space="preserve"> </w:t>
      </w:r>
      <w:r>
        <w:t xml:space="preserve">FinTrust’s current risk-review process, if it weights customer segment or</w:t>
      </w:r>
      <w:r>
        <w:t xml:space="preserve"> </w:t>
      </w:r>
      <w:r>
        <w:t xml:space="preserve">profile characteristics, is likely looking in the wrong place. The transaction’s own</w:t>
      </w:r>
      <w:r>
        <w:t xml:space="preserve"> </w:t>
      </w:r>
      <w:r>
        <w:t xml:space="preserve">characteristics — specifically international status — carry far more signal than who the customer</w:t>
      </w:r>
      <w:r>
        <w:t xml:space="preserve"> </w:t>
      </w:r>
      <w:r>
        <w:t xml:space="preserve">is. Any future risk-scoring or fraud-detection model should treat international transaction status</w:t>
      </w:r>
      <w:r>
        <w:t xml:space="preserve"> </w:t>
      </w:r>
      <w:r>
        <w:t xml:space="preserve">as a primary feature, not a secondary one. This also suggests transaction-level monitoring rules may</w:t>
      </w:r>
      <w:r>
        <w:t xml:space="preserve"> </w:t>
      </w:r>
      <w:r>
        <w:t xml:space="preserve">be more cost-effective than customer-level profiling for catching flagged activity.</w:t>
      </w:r>
    </w:p>
    <w:p>
      <w:r>
        <w:pict>
          <v:rect style="width:0;height:1.5pt" o:hralign="center" o:hrstd="t" o:hr="t"/>
        </w:pict>
      </w:r>
    </w:p>
    <w:bookmarkEnd w:id="20"/>
    <w:bookmarkStart w:id="21" w:name="X9e323f5375b8530a251cbdc1d6ceafe3fe721df"/>
    <w:p>
      <w:pPr>
        <w:pStyle w:val="Heading3"/>
      </w:pPr>
      <w:r>
        <w:t xml:space="preserve">Finding 2 — 866 transactions were made by accounts labeled</w:t>
      </w:r>
      <w:r>
        <w:t xml:space="preserve"> </w:t>
      </w:r>
      <w:r>
        <w:t xml:space="preserve">“</w:t>
      </w:r>
      <w:r>
        <w:t xml:space="preserve">Dormant,</w:t>
      </w:r>
      <w:r>
        <w:t xml:space="preserve">”</w:t>
      </w:r>
      <w:r>
        <w:t xml:space="preserve"> </w:t>
      </w:r>
      <w:r>
        <w:t xml:space="preserve">indicating a status-tracking gap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Grouping transactions by</w:t>
      </w:r>
      <w:r>
        <w:t xml:space="preserve"> </w:t>
      </w:r>
      <w:r>
        <w:rPr>
          <w:rStyle w:val="VerbatimChar"/>
        </w:rPr>
        <w:t xml:space="preserve">Account_Status</w:t>
      </w:r>
      <w:r>
        <w:t xml:space="preserve"> </w:t>
      </w:r>
      <w:r>
        <w:t xml:space="preserve">shows 866 transactions associated with</w:t>
      </w:r>
      <w:r>
        <w:t xml:space="preserve"> </w:t>
      </w:r>
      <w:r>
        <w:t xml:space="preserve">customers marked Dormant, and 224 with customers marked Restricted — accounts that, by definition,</w:t>
      </w:r>
      <w:r>
        <w:t xml:space="preserve"> </w:t>
      </w:r>
      <w:r>
        <w:t xml:space="preserve">should show little or no activity (SQL Q7).</w:t>
      </w:r>
    </w:p>
    <w:p>
      <w:pPr>
        <w:pStyle w:val="BodyText"/>
      </w:pPr>
      <w:r>
        <w:rPr>
          <w:bCs/>
          <w:b/>
        </w:rPr>
        <w:t xml:space="preserve">Business meaning:</w:t>
      </w:r>
      <w:r>
        <w:t xml:space="preserve"> </w:t>
      </w:r>
      <w:r>
        <w:t xml:space="preserve">This points to</w:t>
      </w:r>
      <w:r>
        <w:t xml:space="preserve"> </w:t>
      </w:r>
      <w:r>
        <w:rPr>
          <w:rStyle w:val="VerbatimChar"/>
        </w:rPr>
        <w:t xml:space="preserve">Account_Status</w:t>
      </w:r>
      <w:r>
        <w:t xml:space="preserve"> </w:t>
      </w:r>
      <w:r>
        <w:t xml:space="preserve">not being updated in real time relative to</w:t>
      </w:r>
      <w:r>
        <w:t xml:space="preserve"> </w:t>
      </w:r>
      <w:r>
        <w:t xml:space="preserve">actual transaction activity — a genuine operational data-quality issue, not just an analytics</w:t>
      </w:r>
      <w:r>
        <w:t xml:space="preserve"> </w:t>
      </w:r>
      <w:r>
        <w:t xml:space="preserve">footnote. If FinTrust uses Account_Status to trigger dormant-account fees, reactivation offers, or</w:t>
      </w:r>
      <w:r>
        <w:t xml:space="preserve"> </w:t>
      </w:r>
      <w:r>
        <w:t xml:space="preserve">compliance holds, those triggers may currently be firing on inaccurate information. This is worth</w:t>
      </w:r>
      <w:r>
        <w:t xml:space="preserve"> </w:t>
      </w:r>
      <w:r>
        <w:t xml:space="preserve">escalating to whoever owns the account-status update process, since it affects both customer</w:t>
      </w:r>
      <w:r>
        <w:t xml:space="preserve"> </w:t>
      </w:r>
      <w:r>
        <w:t xml:space="preserve">experience (e.g. a</w:t>
      </w:r>
      <w:r>
        <w:t xml:space="preserve"> </w:t>
      </w:r>
      <w:r>
        <w:t xml:space="preserve">“</w:t>
      </w:r>
      <w:r>
        <w:t xml:space="preserve">Restricted</w:t>
      </w:r>
      <w:r>
        <w:t xml:space="preserve">”</w:t>
      </w:r>
      <w:r>
        <w:t xml:space="preserve"> </w:t>
      </w:r>
      <w:r>
        <w:t xml:space="preserve">customer who can still transact) and financial reporting accuracy.</w:t>
      </w:r>
    </w:p>
    <w:p>
      <w:r>
        <w:pict>
          <v:rect style="width:0;height:1.5pt" o:hralign="center" o:hrstd="t" o:hr="t"/>
        </w:pict>
      </w:r>
    </w:p>
    <w:bookmarkEnd w:id="21"/>
    <w:bookmarkStart w:id="22" w:name="X2d1ab42887fad4cca0987f48c3e47db7a6c809f"/>
    <w:p>
      <w:pPr>
        <w:pStyle w:val="Heading3"/>
      </w:pPr>
      <w:r>
        <w:t xml:space="preserve">Finding 3 — Transaction values are heavily skewed; the average transaction size overstates what a typical customer does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Mean transaction amount is NGN 46,706, but the median is only NGN 10,306 — the mean is more</w:t>
      </w:r>
      <w:r>
        <w:t xml:space="preserve"> </w:t>
      </w:r>
      <w:r>
        <w:t xml:space="preserve">than 4.5x the median. The maximum single transaction is NGN 693,454, and 12.3% of all transactions sit</w:t>
      </w:r>
      <w:r>
        <w:t xml:space="preserve"> </w:t>
      </w:r>
      <w:r>
        <w:t xml:space="preserve">above the statistical outlier fence (Part A; EDA Chart 3).</w:t>
      </w:r>
    </w:p>
    <w:p>
      <w:pPr>
        <w:pStyle w:val="BodyText"/>
      </w:pPr>
      <w:r>
        <w:rPr>
          <w:bCs/>
          <w:b/>
        </w:rPr>
        <w:t xml:space="preserve">Business meaning:</w:t>
      </w:r>
      <w:r>
        <w:t xml:space="preserve"> </w:t>
      </w:r>
      <w:r>
        <w:t xml:space="preserve">Any FinTrust reporting, KPI target-setting, or customer segmentation that</w:t>
      </w:r>
      <w:r>
        <w:t xml:space="preserve"> </w:t>
      </w:r>
      <w:r>
        <w:t xml:space="preserve">relies on</w:t>
      </w:r>
      <w:r>
        <w:t xml:space="preserve"> </w:t>
      </w:r>
      <w:r>
        <w:t xml:space="preserve">“</w:t>
      </w:r>
      <w:r>
        <w:t xml:space="preserve">average transaction value</w:t>
      </w:r>
      <w:r>
        <w:t xml:space="preserve">”</w:t>
      </w:r>
      <w:r>
        <w:t xml:space="preserve"> </w:t>
      </w:r>
      <w:r>
        <w:t xml:space="preserve">is being pulled upward by a relatively small number of large</w:t>
      </w:r>
      <w:r>
        <w:t xml:space="preserve"> </w:t>
      </w:r>
      <w:r>
        <w:t xml:space="preserve">transactions. Using the median (or reporting both figures side by side) would give management a more</w:t>
      </w:r>
      <w:r>
        <w:t xml:space="preserve"> </w:t>
      </w:r>
      <w:r>
        <w:t xml:space="preserve">accurate read on typical customer behavior — important if average transaction value is used to set</w:t>
      </w:r>
      <w:r>
        <w:t xml:space="preserve"> </w:t>
      </w:r>
      <w:r>
        <w:t xml:space="preserve">staffing, fraud thresholds, or marketing targets that assume a</w:t>
      </w:r>
      <w:r>
        <w:t xml:space="preserve"> </w:t>
      </w:r>
      <w:r>
        <w:t xml:space="preserve">“</w:t>
      </w:r>
      <w:r>
        <w:t xml:space="preserve">typical</w:t>
      </w:r>
      <w:r>
        <w:t xml:space="preserve">”</w:t>
      </w:r>
      <w:r>
        <w:t xml:space="preserve"> </w:t>
      </w:r>
      <w:r>
        <w:t xml:space="preserve">customer looks like the</w:t>
      </w:r>
      <w:r>
        <w:t xml:space="preserve"> </w:t>
      </w:r>
      <w:r>
        <w:t xml:space="preserve">mean.</w:t>
      </w:r>
    </w:p>
    <w:p>
      <w:r>
        <w:pict>
          <v:rect style="width:0;height:1.5pt" o:hralign="center" o:hrstd="t" o:hr="t"/>
        </w:pict>
      </w:r>
    </w:p>
    <w:bookmarkEnd w:id="22"/>
    <w:bookmarkStart w:id="23" w:name="X2316505e98f0b95b6700e741e2ef1e0b5631f47"/>
    <w:p>
      <w:pPr>
        <w:pStyle w:val="Heading3"/>
      </w:pPr>
      <w:r>
        <w:t xml:space="preserve">Finding 4 — Mobile App is FinTrust’s highest-volume channel but has the lowest success rate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Mobile App processes 5,102 transactions — more than the next two channels (POS 2,393,</w:t>
      </w:r>
      <w:r>
        <w:t xml:space="preserve"> </w:t>
      </w:r>
      <w:r>
        <w:t xml:space="preserve">Web 1,869) combined — yet has the lowest success rate of any channel at 89.7%, compared to 91.7% on</w:t>
      </w:r>
      <w:r>
        <w:t xml:space="preserve"> </w:t>
      </w:r>
      <w:r>
        <w:t xml:space="preserve">ATM (SQL Q3).</w:t>
      </w:r>
    </w:p>
    <w:p>
      <w:pPr>
        <w:pStyle w:val="BodyText"/>
      </w:pPr>
      <w:r>
        <w:rPr>
          <w:bCs/>
          <w:b/>
        </w:rPr>
        <w:t xml:space="preserve">Business meaning:</w:t>
      </w:r>
      <w:r>
        <w:t xml:space="preserve"> </w:t>
      </w:r>
      <w:r>
        <w:t xml:space="preserve">A roughly 2-point success-rate gap sounds small, but applied to Mobile App’s</w:t>
      </w:r>
      <w:r>
        <w:t xml:space="preserve"> </w:t>
      </w:r>
      <w:r>
        <w:t xml:space="preserve">volume it represents over 100 more failed transactions than if it matched ATM’s rate. Because Mobile</w:t>
      </w:r>
      <w:r>
        <w:t xml:space="preserve"> </w:t>
      </w:r>
      <w:r>
        <w:t xml:space="preserve">App is also FinTrust’s primary growth channel, even small reliability issues here compound at scale.</w:t>
      </w:r>
      <w:r>
        <w:t xml:space="preserve"> </w:t>
      </w:r>
      <w:r>
        <w:t xml:space="preserve">This channel should be the first candidate for a technical root-cause investigation (connectivity,</w:t>
      </w:r>
      <w:r>
        <w:t xml:space="preserve"> </w:t>
      </w:r>
      <w:r>
        <w:t xml:space="preserve">session timeouts, in-app payment flow) rather than ATM or POS, which are lower-volume and already</w:t>
      </w:r>
      <w:r>
        <w:t xml:space="preserve"> </w:t>
      </w:r>
      <w:r>
        <w:t xml:space="preserve">performing better.</w:t>
      </w:r>
    </w:p>
    <w:p>
      <w:r>
        <w:pict>
          <v:rect style="width:0;height:1.5pt" o:hralign="center" o:hrstd="t" o:hr="t"/>
        </w:pict>
      </w:r>
    </w:p>
    <w:bookmarkEnd w:id="23"/>
    <w:bookmarkStart w:id="24" w:name="X832699c27f8d50a3d20391c583451bf05d80c01"/>
    <w:p>
      <w:pPr>
        <w:pStyle w:val="Heading3"/>
      </w:pPr>
      <w:r>
        <w:t xml:space="preserve">Finding 5 —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segment labels don’t fully capture FinTrust’s actual highest-value customers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Of the top 10 customers ranked by total transaction value, 6 are labeled</w:t>
      </w:r>
      <w:r>
        <w:t xml:space="preserve"> </w:t>
      </w:r>
      <w:r>
        <w:t xml:space="preserve">“</w:t>
      </w:r>
      <w:r>
        <w:t xml:space="preserve">Everyday,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(SQL Q5) — including the single highest-spending customer (NGN 1,713,943 total), who is</w:t>
      </w:r>
      <w:r>
        <w:t xml:space="preserve"> </w:t>
      </w:r>
      <w:r>
        <w:t xml:space="preserve">in the Everyday segment.</w:t>
      </w:r>
    </w:p>
    <w:p>
      <w:pPr>
        <w:pStyle w:val="BodyText"/>
      </w:pPr>
      <w:r>
        <w:rPr>
          <w:bCs/>
          <w:b/>
        </w:rPr>
        <w:t xml:space="preserve">Business meaning:</w:t>
      </w:r>
      <w:r>
        <w:t xml:space="preserve"> </w:t>
      </w:r>
      <w:r>
        <w:t xml:space="preserve">FinTrust’s assigned customer segments appear to reflect something other than</w:t>
      </w:r>
      <w:r>
        <w:t xml:space="preserve"> </w:t>
      </w:r>
      <w:r>
        <w:t xml:space="preserve">pure transaction value (possibly income band or product type at onboarding), meaning segment-based</w:t>
      </w:r>
      <w:r>
        <w:t xml:space="preserve"> </w:t>
      </w:r>
      <w:r>
        <w:t xml:space="preserve">targeting for premium services, dedicated relationship management, or loyalty perks may be missing</w:t>
      </w:r>
      <w:r>
        <w:t xml:space="preserve"> </w:t>
      </w:r>
      <w:r>
        <w:t xml:space="preserve">genuinely high-value customers who happen to carry an</w:t>
      </w:r>
      <w:r>
        <w:t xml:space="preserve"> </w:t>
      </w:r>
      <w:r>
        <w:t xml:space="preserve">“</w:t>
      </w:r>
      <w:r>
        <w:t xml:space="preserve">Everyday</w:t>
      </w:r>
      <w:r>
        <w:t xml:space="preserve">”</w:t>
      </w:r>
      <w:r>
        <w:t xml:space="preserve"> </w:t>
      </w:r>
      <w:r>
        <w:t xml:space="preserve">label. A behavior-based</w:t>
      </w:r>
      <w:r>
        <w:t xml:space="preserve"> </w:t>
      </w:r>
      <w:r>
        <w:t xml:space="preserve">segmentation — built from actual transaction history rather than a static assigned label — would</w:t>
      </w:r>
      <w:r>
        <w:t xml:space="preserve"> </w:t>
      </w:r>
      <w:r>
        <w:t xml:space="preserve">likely identify a different (and more actionable) set of customers for premium engagement.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of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status is the strongest risk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in SQL + EDA (2 independent methods)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Dormant/Restricted accounts still transacting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1,090 transactions affected (SQL)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values heavily right-skewed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Mean/median gap + IQR outlier check (Part A + EDA)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App: highest volume, lowest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Q3, cross-checked against total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labels miss true high-value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Top-10 customer ranking (SQL Q5)</w:t>
            </w:r>
          </w:p>
        </w:tc>
      </w:tr>
    </w:tbl>
    <w:p>
      <w:pPr>
        <w:pStyle w:val="BodyText"/>
      </w:pPr>
      <w:r>
        <w:rPr>
          <w:bCs/>
          <w:b/>
        </w:rPr>
        <w:t xml:space="preserve">Limitation carried across all findings:</w:t>
      </w:r>
      <w:r>
        <w:t xml:space="preserve"> </w:t>
      </w:r>
      <w:r>
        <w:rPr>
          <w:rStyle w:val="VerbatimChar"/>
        </w:rPr>
        <w:t xml:space="preserve">Risk_Review_Flag</w:t>
      </w:r>
      <w:r>
        <w:t xml:space="preserve"> </w:t>
      </w:r>
      <w:r>
        <w:t xml:space="preserve">is a synthetic, educational label.</w:t>
      </w:r>
      <w:r>
        <w:t xml:space="preserve"> </w:t>
      </w:r>
      <w:r>
        <w:t xml:space="preserve">None of the findings above should be read as evidence of real fraud, and no finding in this document</w:t>
      </w:r>
      <w:r>
        <w:t xml:space="preserve"> </w:t>
      </w:r>
      <w:r>
        <w:t xml:space="preserve">should inform an actual banking risk or credit decision.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2026-09-26T08:48:38Z</dcterms:created>
  <dcterms:modified xsi:type="dcterms:W3CDTF">2026-09-26T08:48:38Z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