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76" w:lineRule="auto"/>
        <w:jc w:val="left"/>
      </w:pPr>
      <w:r>
        <w:rPr>
          <w:rFonts w:ascii="Calibri" w:hAnsi="Calibri"/>
          <w:b/>
          <w:i w:val="0"/>
          <w:color w:val="1F8A5B"/>
          <w:sz w:val="18"/>
        </w:rPr>
        <w:t>NOTE DE COMPARAISON</w:t>
      </w:r>
    </w:p>
    <w:p>
      <w:pPr>
        <w:keepNext w:val="0"/>
        <w:spacing w:before="0" w:after="140" w:line="276" w:lineRule="auto"/>
        <w:jc w:val="left"/>
      </w:pPr>
      <w:r>
        <w:rPr>
          <w:rFonts w:ascii="Calibri" w:hAnsi="Calibri"/>
          <w:b/>
          <w:i w:val="0"/>
          <w:color w:val="102A43"/>
          <w:sz w:val="50"/>
        </w:rPr>
        <w:t>Formule actuelle de la plateforme</w:t>
        <w:br/>
        <w:t>vs. formule transmise</w:t>
      </w:r>
    </w:p>
    <w:p>
      <w:pPr>
        <w:keepNext w:val="0"/>
        <w:spacing w:before="0" w:after="280" w:line="276" w:lineRule="auto"/>
        <w:jc w:val="left"/>
      </w:pPr>
      <w:r>
        <w:rPr>
          <w:rFonts w:ascii="Calibri" w:hAnsi="Calibri"/>
          <w:b w:val="0"/>
          <w:i w:val="0"/>
          <w:color w:val="60758A"/>
          <w:sz w:val="26"/>
        </w:rPr>
        <w:t>Calcul des transferts VTC — aller simple et aller-retour</w:t>
      </w:r>
    </w:p>
    <w:p>
      <w:pPr>
        <w:spacing w:before="0" w:after="40" w:line="276" w:lineRule="auto"/>
        <w:jc w:val="left"/>
      </w:pPr>
      <w:r>
        <w:rPr>
          <w:rFonts w:ascii="Calibri" w:hAnsi="Calibri"/>
          <w:b/>
          <w:i w:val="0"/>
          <w:color w:val="60758A"/>
          <w:sz w:val="19"/>
        </w:rPr>
        <w:t xml:space="preserve">Objet : </w:t>
      </w:r>
      <w:r>
        <w:rPr>
          <w:rFonts w:ascii="Calibri" w:hAnsi="Calibri"/>
          <w:b w:val="0"/>
          <w:i w:val="0"/>
          <w:color w:val="172B4D"/>
          <w:sz w:val="19"/>
        </w:rPr>
        <w:t>vérifier les écarts de calcul et les risques d’implémentation</w:t>
      </w:r>
    </w:p>
    <w:p>
      <w:pPr>
        <w:spacing w:before="0" w:after="280" w:line="276" w:lineRule="auto"/>
        <w:jc w:val="left"/>
      </w:pPr>
      <w:r>
        <w:rPr>
          <w:rFonts w:ascii="Calibri" w:hAnsi="Calibri"/>
          <w:b/>
          <w:i w:val="0"/>
          <w:color w:val="60758A"/>
          <w:sz w:val="19"/>
        </w:rPr>
        <w:t xml:space="preserve">Périmètre : </w:t>
      </w:r>
      <w:r>
        <w:rPr>
          <w:rFonts w:ascii="Calibri" w:hAnsi="Calibri"/>
          <w:b w:val="0"/>
          <w:i w:val="0"/>
          <w:color w:val="172B4D"/>
          <w:sz w:val="19"/>
        </w:rPr>
        <w:t>calculateur public /api/pricing/estimate et enregistrement d’une réservation</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9F7F0"/>
          </w:tcPr>
          <w:p>
            <w:pPr>
              <w:spacing w:before="40" w:after="40" w:line="276" w:lineRule="auto"/>
            </w:pPr>
            <w:r>
              <w:rPr>
                <w:rFonts w:ascii="Calibri" w:hAnsi="Calibri"/>
                <w:b/>
                <w:i w:val="0"/>
                <w:color w:val="1F8A5B"/>
                <w:sz w:val="18"/>
              </w:rPr>
              <w:t xml:space="preserve">CONCLUSION  </w:t>
            </w:r>
            <w:r>
              <w:rPr>
                <w:rFonts w:ascii="Calibri" w:hAnsi="Calibri"/>
                <w:b/>
                <w:i w:val="0"/>
                <w:color w:val="102A43"/>
                <w:sz w:val="21"/>
              </w:rPr>
              <w:t>La formule transmise est identique au calculateur public pour un aller simple, et donne bien 139,38 € TTC hors péage pour Cluses → Annecy. Les écarts importants proviennent surtout de l’implémentation lors de l’enregistrement de la réservation.</w:t>
            </w:r>
          </w:p>
        </w:tc>
      </w:tr>
    </w:tbl>
    <w:p>
      <w:pPr>
        <w:keepNext w:val="0"/>
        <w:spacing w:before="0" w:after="60" w:line="276" w:lineRule="auto"/>
        <w:jc w:val="left"/>
      </w:pPr>
      <w:r>
        <w:rPr>
          <w:rFonts w:ascii="Calibri" w:hAnsi="Calibri"/>
          <w:b w:val="0"/>
          <w:i w:val="0"/>
          <w:color w:val="172B4D"/>
          <w:sz w:val="2"/>
        </w:rPr>
      </w:r>
    </w:p>
    <w:p>
      <w:pPr>
        <w:pStyle w:val="Heading1"/>
        <w:keepNext/>
      </w:pPr>
      <w:r>
        <w:rPr>
          <w:rFonts w:ascii="Calibri" w:hAnsi="Calibri"/>
          <w:b/>
          <w:i w:val="0"/>
          <w:color w:val="1F6FEB"/>
          <w:sz w:val="32"/>
        </w:rPr>
        <w:t>Résultat en un coup d’œil</w:t>
      </w:r>
    </w:p>
    <w:tbl>
      <w:tblPr>
        <w:tblStyle w:val="TableGrid"/>
        <w:tblW w:type="dxa" w:w="9360"/>
        <w:tblLayout w:type="fixed"/>
        <w:tblLook w:firstColumn="1" w:firstRow="1" w:lastColumn="0" w:lastRow="0" w:noHBand="0" w:noVBand="1" w:val="04A0"/>
        <w:jc w:val="center"/>
        <w:tblInd w:w="120" w:type="dxa"/>
      </w:tblPr>
      <w:tblGrid>
        <w:gridCol w:w="1800"/>
        <w:gridCol w:w="3000"/>
        <w:gridCol w:w="2800"/>
        <w:gridCol w:w="1760"/>
      </w:tblGrid>
      <w:tr>
        <w:tc>
          <w:tcPr>
            <w:tcW w:type="dxa" w:w="180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Point comparé</w:t>
            </w:r>
          </w:p>
        </w:tc>
        <w:tc>
          <w:tcPr>
            <w:tcW w:type="dxa" w:w="300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Plateforme affichée</w:t>
            </w:r>
          </w:p>
        </w:tc>
        <w:tc>
          <w:tcPr>
            <w:tcW w:type="dxa" w:w="280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Formule transmise</w:t>
            </w:r>
          </w:p>
        </w:tc>
        <w:tc>
          <w:tcPr>
            <w:tcW w:type="dxa" w:w="176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Verdict</w:t>
            </w:r>
          </w:p>
        </w:tc>
      </w:tr>
      <w:tr>
        <w:tc>
          <w:tcPr>
            <w:tcW w:type="dxa" w:w="180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A/S</w:t>
            </w:r>
          </w:p>
        </w:tc>
        <w:tc>
          <w:tcPr>
            <w:tcW w:type="dxa" w:w="30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CA aller + TP + CA retour + péage ×1</w:t>
            </w:r>
          </w:p>
        </w:tc>
        <w:tc>
          <w:tcPr>
            <w:tcW w:type="dxa" w:w="28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Même formule</w:t>
            </w:r>
          </w:p>
        </w:tc>
        <w:tc>
          <w:tcPr>
            <w:tcW w:type="dxa" w:w="176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Identique</w:t>
            </w:r>
          </w:p>
        </w:tc>
      </w:tr>
      <w:tr>
        <w:tc>
          <w:tcPr>
            <w:tcW w:type="dxa" w:w="1800"/>
            <w:shd w:fill="F4F7FA"/>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Départ Cluses</w:t>
            </w:r>
          </w:p>
        </w:tc>
        <w:tc>
          <w:tcPr>
            <w:tcW w:type="dxa" w:w="3000"/>
            <w:shd w:fill="F4F7FA"/>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CA aller = 0</w:t>
            </w:r>
          </w:p>
        </w:tc>
        <w:tc>
          <w:tcPr>
            <w:tcW w:type="dxa" w:w="2800"/>
            <w:shd w:fill="F4F7FA"/>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CA aller omis car nul</w:t>
            </w:r>
          </w:p>
        </w:tc>
        <w:tc>
          <w:tcPr>
            <w:tcW w:type="dxa" w:w="1760"/>
            <w:shd w:fill="F4F7FA"/>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Identique</w:t>
            </w:r>
          </w:p>
        </w:tc>
      </w:tr>
      <w:tr>
        <w:tc>
          <w:tcPr>
            <w:tcW w:type="dxa" w:w="180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A/R</w:t>
            </w:r>
          </w:p>
        </w:tc>
        <w:tc>
          <w:tcPr>
            <w:tcW w:type="dxa" w:w="30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CA aller + 2×TP + CA retour + 2×péage + attente</w:t>
            </w:r>
          </w:p>
        </w:tc>
        <w:tc>
          <w:tcPr>
            <w:tcW w:type="dxa" w:w="28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Même formule</w:t>
            </w:r>
          </w:p>
        </w:tc>
        <w:tc>
          <w:tcPr>
            <w:tcW w:type="dxa" w:w="176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Identique</w:t>
            </w:r>
          </w:p>
        </w:tc>
      </w:tr>
      <w:tr>
        <w:tc>
          <w:tcPr>
            <w:tcW w:type="dxa" w:w="1800"/>
            <w:shd w:fill="F4F7FA"/>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Attente</w:t>
            </w:r>
          </w:p>
        </w:tc>
        <w:tc>
          <w:tcPr>
            <w:tcW w:type="dxa" w:w="3000"/>
            <w:shd w:fill="F4F7FA"/>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15 min gratuites, puis 1,20/1,80 €/min</w:t>
            </w:r>
          </w:p>
        </w:tc>
        <w:tc>
          <w:tcPr>
            <w:tcW w:type="dxa" w:w="2800"/>
            <w:shd w:fill="F4F7FA"/>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Même règle</w:t>
            </w:r>
          </w:p>
        </w:tc>
        <w:tc>
          <w:tcPr>
            <w:tcW w:type="dxa" w:w="1760"/>
            <w:shd w:fill="F4F7FA"/>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Identique</w:t>
            </w:r>
          </w:p>
        </w:tc>
      </w:tr>
      <w:tr>
        <w:tc>
          <w:tcPr>
            <w:tcW w:type="dxa" w:w="180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Sauvegarde</w:t>
            </w:r>
          </w:p>
        </w:tc>
        <w:tc>
          <w:tcPr>
            <w:tcW w:type="dxa" w:w="30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Recalcul séparé sans péage ni attente</w:t>
            </w:r>
          </w:p>
        </w:tc>
        <w:tc>
          <w:tcPr>
            <w:tcW w:type="dxa" w:w="28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Non prévu</w:t>
            </w:r>
          </w:p>
        </w:tc>
        <w:tc>
          <w:tcPr>
            <w:tcW w:type="dxa" w:w="176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Écart critique</w:t>
            </w:r>
          </w:p>
        </w:tc>
      </w:tr>
    </w:tbl>
    <w:p>
      <w:pPr>
        <w:keepNext w:val="0"/>
        <w:spacing w:before="0" w:after="80" w:line="276" w:lineRule="auto"/>
        <w:jc w:val="left"/>
      </w:pPr>
      <w:r>
        <w:rPr>
          <w:rFonts w:ascii="Calibri" w:hAnsi="Calibri"/>
          <w:b w:val="0"/>
          <w:i w:val="0"/>
          <w:color w:val="172B4D"/>
          <w:sz w:val="2"/>
        </w:rPr>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FF5D6"/>
          </w:tcPr>
          <w:p>
            <w:pPr>
              <w:spacing w:before="40" w:after="40" w:line="276" w:lineRule="auto"/>
            </w:pPr>
            <w:r>
              <w:rPr>
                <w:rFonts w:ascii="Calibri" w:hAnsi="Calibri"/>
                <w:b/>
                <w:i w:val="0"/>
                <w:color w:val="A66B00"/>
                <w:sz w:val="18"/>
              </w:rPr>
              <w:t xml:space="preserve">DÉCISION RECOMMANDÉE  </w:t>
            </w:r>
            <w:r>
              <w:rPr>
                <w:rFonts w:ascii="Calibri" w:hAnsi="Calibri"/>
                <w:b/>
                <w:i w:val="0"/>
                <w:color w:val="102A43"/>
                <w:sz w:val="21"/>
              </w:rPr>
              <w:t>Conserver la formule transmise comme formule de référence, mais utiliser une seule fonction de calcul côté serveur pour l’estimation, la réservation, le devis et la facture.</w:t>
            </w:r>
          </w:p>
        </w:tc>
      </w:tr>
    </w:tbl>
    <w:p>
      <w:pPr>
        <w:keepNext w:val="0"/>
        <w:spacing w:before="0" w:after="60" w:line="276" w:lineRule="auto"/>
        <w:jc w:val="left"/>
      </w:pPr>
      <w:r>
        <w:rPr>
          <w:rFonts w:ascii="Calibri" w:hAnsi="Calibri"/>
          <w:b w:val="0"/>
          <w:i w:val="0"/>
          <w:color w:val="172B4D"/>
          <w:sz w:val="2"/>
        </w:rPr>
      </w:r>
    </w:p>
    <w:p>
      <w:r>
        <w:br w:type="page"/>
      </w:r>
    </w:p>
    <w:p>
      <w:pPr>
        <w:pStyle w:val="Heading1"/>
        <w:keepNext/>
        <w:spacing w:before="0"/>
      </w:pPr>
      <w:r>
        <w:rPr>
          <w:rFonts w:ascii="Calibri" w:hAnsi="Calibri"/>
          <w:b/>
          <w:i w:val="0"/>
          <w:color w:val="1F6FEB"/>
          <w:sz w:val="32"/>
        </w:rPr>
        <w:t>1. Les deux formules, mises à plat</w:t>
      </w:r>
    </w:p>
    <w:p>
      <w:pPr>
        <w:keepNext w:val="0"/>
        <w:spacing w:before="0" w:after="200" w:line="276" w:lineRule="auto"/>
        <w:jc w:val="left"/>
      </w:pPr>
      <w:r>
        <w:rPr>
          <w:rFonts w:ascii="Calibri" w:hAnsi="Calibri"/>
          <w:b w:val="0"/>
          <w:i w:val="0"/>
          <w:color w:val="60758A"/>
          <w:sz w:val="20"/>
        </w:rPr>
        <w:t>Les distances sont calculées depuis le dépôt fixe : 4 rue des Artisans, 74300 Cluses.</w:t>
      </w:r>
    </w:p>
    <w:p>
      <w:pPr>
        <w:pStyle w:val="Heading2"/>
        <w:keepNext/>
      </w:pPr>
      <w:r>
        <w:rPr>
          <w:rFonts w:ascii="Calibri" w:hAnsi="Calibri"/>
          <w:b/>
          <w:i w:val="0"/>
          <w:color w:val="1F6FEB"/>
          <w:sz w:val="26"/>
        </w:rPr>
        <w:t>Formule actuellement affichée par la plateforme</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102A43"/>
          </w:tcPr>
          <w:p>
            <w:pPr>
              <w:spacing w:after="0"/>
            </w:pPr>
            <w:r>
              <w:rPr>
                <w:rFonts w:ascii="Calibri" w:hAnsi="Calibri"/>
                <w:b/>
                <w:i w:val="0"/>
                <w:color w:val="A8C7FA"/>
                <w:sz w:val="18"/>
              </w:rPr>
              <w:t>ALLER SIMPLE</w:t>
              <w:br/>
            </w:r>
            <w:r>
              <w:rPr>
                <w:rFonts w:ascii="Consolas" w:hAnsi="Consolas"/>
                <w:b/>
                <w:i w:val="0"/>
                <w:color w:val="FFFFFF"/>
                <w:sz w:val="23"/>
              </w:rPr>
              <w:t>Prix TTC = (CA aller × tarif CA) + (TP × tarif TP)</w:t>
              <w:br/>
              <w:t xml:space="preserve">          + (CA retour × tarif CA) + péage client</w:t>
            </w:r>
          </w:p>
        </w:tc>
      </w:tr>
      <w:tr>
        <w:tc>
          <w:tcPr>
            <w:tcW w:type="dxa" w:w="9360"/>
            <w:vAlign w:val="center"/>
            <w:tcMar>
              <w:top w:w="100" w:type="dxa"/>
              <w:start w:w="120" w:type="dxa"/>
              <w:bottom w:w="100" w:type="dxa"/>
              <w:end w:w="120" w:type="dxa"/>
            </w:tcMar>
            <w:shd w:fill="F4F7FA"/>
          </w:tcPr>
          <w:p>
            <w:pPr>
              <w:spacing w:after="0"/>
            </w:pPr>
            <w:r>
              <w:rPr>
                <w:rFonts w:ascii="Calibri" w:hAnsi="Calibri"/>
                <w:b w:val="0"/>
                <w:i w:val="0"/>
                <w:color w:val="60758A"/>
                <w:sz w:val="19"/>
              </w:rPr>
              <w:t>CA retour est toujours inclus. Le péage du trajet client est compté une seule fois.</w:t>
            </w:r>
          </w:p>
        </w:tc>
      </w:tr>
    </w:tbl>
    <w:p>
      <w:pPr>
        <w:keepNext w:val="0"/>
        <w:spacing w:before="0" w:after="60" w:line="276" w:lineRule="auto"/>
        <w:jc w:val="left"/>
      </w:pPr>
      <w:r>
        <w:rPr>
          <w:rFonts w:ascii="Calibri" w:hAnsi="Calibri"/>
          <w:b w:val="0"/>
          <w:i w:val="0"/>
          <w:color w:val="172B4D"/>
          <w:sz w:val="2"/>
        </w:rPr>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102A43"/>
          </w:tcPr>
          <w:p>
            <w:pPr>
              <w:spacing w:after="0"/>
            </w:pPr>
            <w:r>
              <w:rPr>
                <w:rFonts w:ascii="Calibri" w:hAnsi="Calibri"/>
                <w:b/>
                <w:i w:val="0"/>
                <w:color w:val="A8C7FA"/>
                <w:sz w:val="18"/>
              </w:rPr>
              <w:t>ALLER-RETOUR</w:t>
              <w:br/>
            </w:r>
            <w:r>
              <w:rPr>
                <w:rFonts w:ascii="Consolas" w:hAnsi="Consolas"/>
                <w:b/>
                <w:i w:val="0"/>
                <w:color w:val="FFFFFF"/>
                <w:sz w:val="23"/>
              </w:rPr>
              <w:t>Prix TTC = (CA aller × tarif CA) + (2 × TP × tarif TP)</w:t>
              <w:br/>
              <w:t xml:space="preserve">          + (CA retour × tarif CA) + (2 × péage)</w:t>
              <w:br/>
              <w:t xml:space="preserve">          + attente facturable</w:t>
            </w:r>
          </w:p>
        </w:tc>
      </w:tr>
      <w:tr>
        <w:tc>
          <w:tcPr>
            <w:tcW w:type="dxa" w:w="9360"/>
            <w:vAlign w:val="center"/>
            <w:tcMar>
              <w:top w:w="100" w:type="dxa"/>
              <w:start w:w="120" w:type="dxa"/>
              <w:bottom w:w="100" w:type="dxa"/>
              <w:end w:w="120" w:type="dxa"/>
            </w:tcMar>
            <w:shd w:fill="F4F7FA"/>
          </w:tcPr>
          <w:p>
            <w:pPr>
              <w:spacing w:after="0"/>
            </w:pPr>
            <w:r>
              <w:rPr>
                <w:rFonts w:ascii="Calibri" w:hAnsi="Calibri"/>
                <w:b w:val="0"/>
                <w:i w:val="0"/>
                <w:color w:val="60758A"/>
                <w:sz w:val="19"/>
              </w:rPr>
              <w:t>Pour un A/R, CA retour est fixé égal à CA aller, car le client revient au point de prise en charge.</w:t>
            </w:r>
          </w:p>
        </w:tc>
      </w:tr>
    </w:tbl>
    <w:p>
      <w:pPr>
        <w:keepNext w:val="0"/>
        <w:spacing w:before="0" w:after="60" w:line="276" w:lineRule="auto"/>
        <w:jc w:val="left"/>
      </w:pPr>
      <w:r>
        <w:rPr>
          <w:rFonts w:ascii="Calibri" w:hAnsi="Calibri"/>
          <w:b w:val="0"/>
          <w:i w:val="0"/>
          <w:color w:val="172B4D"/>
          <w:sz w:val="2"/>
        </w:rPr>
      </w:r>
    </w:p>
    <w:p>
      <w:pPr>
        <w:pStyle w:val="Heading2"/>
        <w:keepNext/>
      </w:pPr>
      <w:r>
        <w:rPr>
          <w:rFonts w:ascii="Calibri" w:hAnsi="Calibri"/>
          <w:b/>
          <w:i w:val="0"/>
          <w:color w:val="1F6FEB"/>
          <w:sz w:val="26"/>
        </w:rPr>
        <w:t>Formule transmise</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102A43"/>
          </w:tcPr>
          <w:p>
            <w:pPr>
              <w:spacing w:after="0"/>
            </w:pPr>
            <w:r>
              <w:rPr>
                <w:rFonts w:ascii="Calibri" w:hAnsi="Calibri"/>
                <w:b/>
                <w:i w:val="0"/>
                <w:color w:val="A8C7FA"/>
                <w:sz w:val="18"/>
              </w:rPr>
              <w:t>ALLER SIMPLE</w:t>
              <w:br/>
            </w:r>
            <w:r>
              <w:rPr>
                <w:rFonts w:ascii="Consolas" w:hAnsi="Consolas"/>
                <w:b/>
                <w:i w:val="0"/>
                <w:color w:val="FFFFFF"/>
                <w:sz w:val="23"/>
              </w:rPr>
              <w:t>Prix total = CA aller + trajet client (TP)</w:t>
              <w:br/>
              <w:t xml:space="preserve">           + CA retour + péage client</w:t>
            </w:r>
          </w:p>
        </w:tc>
      </w:tr>
      <w:tr>
        <w:tc>
          <w:tcPr>
            <w:tcW w:type="dxa" w:w="9360"/>
            <w:vAlign w:val="center"/>
            <w:tcMar>
              <w:top w:w="100" w:type="dxa"/>
              <w:start w:w="120" w:type="dxa"/>
              <w:bottom w:w="100" w:type="dxa"/>
              <w:end w:w="120" w:type="dxa"/>
            </w:tcMar>
            <w:shd w:fill="F4F7FA"/>
          </w:tcPr>
          <w:p>
            <w:pPr>
              <w:spacing w:after="0"/>
            </w:pPr>
            <w:r>
              <w:rPr>
                <w:rFonts w:ascii="Calibri" w:hAnsi="Calibri"/>
                <w:b w:val="0"/>
                <w:i w:val="0"/>
                <w:color w:val="60758A"/>
                <w:sz w:val="19"/>
              </w:rPr>
              <w:t>Chaque composant CA/TP est bien distance × tarif. Péage facturé une seule fois.</w:t>
            </w:r>
          </w:p>
        </w:tc>
      </w:tr>
    </w:tbl>
    <w:p>
      <w:pPr>
        <w:keepNext w:val="0"/>
        <w:spacing w:before="0" w:after="60" w:line="276" w:lineRule="auto"/>
        <w:jc w:val="left"/>
      </w:pPr>
      <w:r>
        <w:rPr>
          <w:rFonts w:ascii="Calibri" w:hAnsi="Calibri"/>
          <w:b w:val="0"/>
          <w:i w:val="0"/>
          <w:color w:val="172B4D"/>
          <w:sz w:val="2"/>
        </w:rPr>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102A43"/>
          </w:tcPr>
          <w:p>
            <w:pPr>
              <w:spacing w:after="0"/>
            </w:pPr>
            <w:r>
              <w:rPr>
                <w:rFonts w:ascii="Calibri" w:hAnsi="Calibri"/>
                <w:b/>
                <w:i w:val="0"/>
                <w:color w:val="A8C7FA"/>
                <w:sz w:val="18"/>
              </w:rPr>
              <w:t>PRISE EN CHARGE DIRECTEMENT À CLUSES</w:t>
              <w:br/>
            </w:r>
            <w:r>
              <w:rPr>
                <w:rFonts w:ascii="Consolas" w:hAnsi="Consolas"/>
                <w:b/>
                <w:i w:val="0"/>
                <w:color w:val="FFFFFF"/>
                <w:sz w:val="23"/>
              </w:rPr>
              <w:t>Prix = (distance client × tarif TP)</w:t>
              <w:br/>
              <w:t xml:space="preserve">     + (distance retour × tarif CA) + péage</w:t>
            </w:r>
          </w:p>
        </w:tc>
      </w:tr>
      <w:tr>
        <w:tc>
          <w:tcPr>
            <w:tcW w:type="dxa" w:w="9360"/>
            <w:vAlign w:val="center"/>
            <w:tcMar>
              <w:top w:w="100" w:type="dxa"/>
              <w:start w:w="120" w:type="dxa"/>
              <w:bottom w:w="100" w:type="dxa"/>
              <w:end w:w="120" w:type="dxa"/>
            </w:tcMar>
            <w:shd w:fill="F4F7FA"/>
          </w:tcPr>
          <w:p>
            <w:pPr>
              <w:spacing w:after="0"/>
            </w:pPr>
            <w:r>
              <w:rPr>
                <w:rFonts w:ascii="Calibri" w:hAnsi="Calibri"/>
                <w:b w:val="0"/>
                <w:i w:val="0"/>
                <w:color w:val="60758A"/>
                <w:sz w:val="19"/>
              </w:rPr>
              <w:t>Cette écriture ne supprime pas CA aller : elle constate simplement que sa distance est égale à zéro.</w:t>
            </w:r>
          </w:p>
        </w:tc>
      </w:tr>
    </w:tbl>
    <w:p>
      <w:pPr>
        <w:keepNext w:val="0"/>
        <w:spacing w:before="0" w:after="60" w:line="276" w:lineRule="auto"/>
        <w:jc w:val="left"/>
      </w:pPr>
      <w:r>
        <w:rPr>
          <w:rFonts w:ascii="Calibri" w:hAnsi="Calibri"/>
          <w:b w:val="0"/>
          <w:i w:val="0"/>
          <w:color w:val="172B4D"/>
          <w:sz w:val="2"/>
        </w:rPr>
      </w:r>
    </w:p>
    <w:p>
      <w:pPr>
        <w:pStyle w:val="Heading2"/>
        <w:keepNext/>
      </w:pPr>
      <w:r>
        <w:rPr>
          <w:rFonts w:ascii="Calibri" w:hAnsi="Calibri"/>
          <w:b/>
          <w:i w:val="0"/>
          <w:color w:val="1F6FEB"/>
          <w:sz w:val="26"/>
        </w:rPr>
        <w:t>Constat mathématique</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9F7F0"/>
          </w:tcPr>
          <w:p>
            <w:pPr>
              <w:spacing w:before="40" w:after="40" w:line="276" w:lineRule="auto"/>
            </w:pPr>
            <w:r>
              <w:rPr>
                <w:rFonts w:ascii="Calibri" w:hAnsi="Calibri"/>
                <w:b/>
                <w:i w:val="0"/>
                <w:color w:val="1F8A5B"/>
                <w:sz w:val="18"/>
              </w:rPr>
              <w:t xml:space="preserve">ÉQUIVALENCE  </w:t>
            </w:r>
            <w:r>
              <w:rPr>
                <w:rFonts w:ascii="Calibri" w:hAnsi="Calibri"/>
                <w:b/>
                <w:i w:val="0"/>
                <w:color w:val="102A43"/>
                <w:sz w:val="21"/>
              </w:rPr>
              <w:t>Pour un aller simple, les deux écritures produisent exactement le même résultat lorsque les mêmes distances, paliers et péages sont utilisés.</w:t>
            </w:r>
          </w:p>
        </w:tc>
      </w:tr>
    </w:tbl>
    <w:p>
      <w:pPr>
        <w:keepNext w:val="0"/>
        <w:spacing w:before="0" w:after="60" w:line="276" w:lineRule="auto"/>
        <w:jc w:val="left"/>
      </w:pPr>
      <w:r>
        <w:rPr>
          <w:rFonts w:ascii="Calibri" w:hAnsi="Calibri"/>
          <w:b w:val="0"/>
          <w:i w:val="0"/>
          <w:color w:val="172B4D"/>
          <w:sz w:val="2"/>
        </w:rPr>
      </w:r>
    </w:p>
    <w:p>
      <w:r>
        <w:br w:type="page"/>
      </w:r>
    </w:p>
    <w:p>
      <w:pPr>
        <w:pStyle w:val="Heading1"/>
        <w:keepNext/>
        <w:spacing w:before="0"/>
      </w:pPr>
      <w:r>
        <w:rPr>
          <w:rFonts w:ascii="Calibri" w:hAnsi="Calibri"/>
          <w:b/>
          <w:i w:val="0"/>
          <w:color w:val="1F6FEB"/>
          <w:sz w:val="32"/>
        </w:rPr>
        <w:t>2. Tarifs et exemple de contrôle</w:t>
      </w:r>
    </w:p>
    <w:p>
      <w:pPr>
        <w:pStyle w:val="Heading2"/>
        <w:keepNext/>
      </w:pPr>
      <w:r>
        <w:rPr>
          <w:rFonts w:ascii="Calibri" w:hAnsi="Calibri"/>
          <w:b/>
          <w:i w:val="0"/>
          <w:color w:val="1F6FEB"/>
          <w:sz w:val="26"/>
        </w:rPr>
        <w:t>Grille utilisée dans les deux formules</w:t>
      </w:r>
    </w:p>
    <w:tbl>
      <w:tblPr>
        <w:tblStyle w:val="TableGrid"/>
        <w:tblW w:type="dxa" w:w="9360"/>
        <w:tblLayout w:type="fixed"/>
        <w:tblLook w:firstColumn="1" w:firstRow="1" w:lastColumn="0" w:lastRow="0" w:noHBand="0" w:noVBand="1" w:val="04A0"/>
        <w:jc w:val="center"/>
        <w:tblInd w:w="120" w:type="dxa"/>
      </w:tblPr>
      <w:tblGrid>
        <w:gridCol w:w="3820"/>
        <w:gridCol w:w="2200"/>
        <w:gridCol w:w="3340"/>
      </w:tblGrid>
      <w:tr>
        <w:tc>
          <w:tcPr>
            <w:tcW w:type="dxa" w:w="382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Élément</w:t>
            </w:r>
          </w:p>
        </w:tc>
        <w:tc>
          <w:tcPr>
            <w:tcW w:type="dxa" w:w="220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Jour</w:t>
            </w:r>
          </w:p>
        </w:tc>
        <w:tc>
          <w:tcPr>
            <w:tcW w:type="dxa" w:w="334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Nuit / dimanche / jour férié</w:t>
            </w:r>
          </w:p>
        </w:tc>
      </w:tr>
      <w:tr>
        <w:tc>
          <w:tcPr>
            <w:tcW w:type="dxa" w:w="382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Trajet client (TP)</w:t>
            </w:r>
          </w:p>
        </w:tc>
        <w:tc>
          <w:tcPr>
            <w:tcW w:type="dxa" w:w="220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1,32 €/km</w:t>
            </w:r>
          </w:p>
        </w:tc>
        <w:tc>
          <w:tcPr>
            <w:tcW w:type="dxa" w:w="334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1,90 €/km</w:t>
            </w:r>
          </w:p>
        </w:tc>
      </w:tr>
      <w:tr>
        <w:tc>
          <w:tcPr>
            <w:tcW w:type="dxa" w:w="3820"/>
            <w:shd w:fill="F4F7FA"/>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CA — palier &gt;25–50 km</w:t>
            </w:r>
          </w:p>
        </w:tc>
        <w:tc>
          <w:tcPr>
            <w:tcW w:type="dxa" w:w="2200"/>
            <w:shd w:fill="F4F7FA"/>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1,32 €/km</w:t>
            </w:r>
          </w:p>
        </w:tc>
        <w:tc>
          <w:tcPr>
            <w:tcW w:type="dxa" w:w="3340"/>
            <w:shd w:fill="F4F7FA"/>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1,70 €/km</w:t>
            </w:r>
          </w:p>
        </w:tc>
      </w:tr>
      <w:tr>
        <w:tc>
          <w:tcPr>
            <w:tcW w:type="dxa" w:w="382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CA — palier &gt;50–75 km</w:t>
            </w:r>
          </w:p>
        </w:tc>
        <w:tc>
          <w:tcPr>
            <w:tcW w:type="dxa" w:w="220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1,10 €/km</w:t>
            </w:r>
          </w:p>
        </w:tc>
        <w:tc>
          <w:tcPr>
            <w:tcW w:type="dxa" w:w="334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1,40 €/km</w:t>
            </w:r>
          </w:p>
        </w:tc>
      </w:tr>
      <w:tr>
        <w:tc>
          <w:tcPr>
            <w:tcW w:type="dxa" w:w="3820"/>
            <w:shd w:fill="F4F7FA"/>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CA — palier &gt;75–100 km</w:t>
            </w:r>
          </w:p>
        </w:tc>
        <w:tc>
          <w:tcPr>
            <w:tcW w:type="dxa" w:w="2200"/>
            <w:shd w:fill="F4F7FA"/>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0,90 €/km</w:t>
            </w:r>
          </w:p>
        </w:tc>
        <w:tc>
          <w:tcPr>
            <w:tcW w:type="dxa" w:w="3340"/>
            <w:shd w:fill="F4F7FA"/>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1,10 €/km</w:t>
            </w:r>
          </w:p>
        </w:tc>
      </w:tr>
      <w:tr>
        <w:tc>
          <w:tcPr>
            <w:tcW w:type="dxa" w:w="382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CA — palier &gt;100 km</w:t>
            </w:r>
          </w:p>
        </w:tc>
        <w:tc>
          <w:tcPr>
            <w:tcW w:type="dxa" w:w="220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0,70 €/km</w:t>
            </w:r>
          </w:p>
        </w:tc>
        <w:tc>
          <w:tcPr>
            <w:tcW w:type="dxa" w:w="334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0,70 €/km</w:t>
            </w:r>
          </w:p>
        </w:tc>
      </w:tr>
      <w:tr>
        <w:tc>
          <w:tcPr>
            <w:tcW w:type="dxa" w:w="3820"/>
            <w:shd w:fill="F4F7FA"/>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Forfait ≤25 km</w:t>
            </w:r>
          </w:p>
        </w:tc>
        <w:tc>
          <w:tcPr>
            <w:tcW w:type="dxa" w:w="2200"/>
            <w:shd w:fill="F4F7FA"/>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33,00 € TTC</w:t>
            </w:r>
          </w:p>
        </w:tc>
        <w:tc>
          <w:tcPr>
            <w:tcW w:type="dxa" w:w="3340"/>
            <w:shd w:fill="F4F7FA"/>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47,50 € TTC</w:t>
            </w:r>
          </w:p>
        </w:tc>
      </w:tr>
      <w:tr>
        <w:tc>
          <w:tcPr>
            <w:tcW w:type="dxa" w:w="382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Attente A/R après 15 min</w:t>
            </w:r>
          </w:p>
        </w:tc>
        <w:tc>
          <w:tcPr>
            <w:tcW w:type="dxa" w:w="220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1,20 €/min</w:t>
            </w:r>
          </w:p>
        </w:tc>
        <w:tc>
          <w:tcPr>
            <w:tcW w:type="dxa" w:w="334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1,80 €/min</w:t>
            </w:r>
          </w:p>
        </w:tc>
      </w:tr>
    </w:tbl>
    <w:p>
      <w:pPr>
        <w:keepNext w:val="0"/>
        <w:spacing w:before="0" w:after="80" w:line="276" w:lineRule="auto"/>
        <w:jc w:val="left"/>
      </w:pPr>
      <w:r>
        <w:rPr>
          <w:rFonts w:ascii="Calibri" w:hAnsi="Calibri"/>
          <w:b w:val="0"/>
          <w:i w:val="0"/>
          <w:color w:val="172B4D"/>
          <w:sz w:val="2"/>
        </w:rPr>
      </w:r>
    </w:p>
    <w:p>
      <w:pPr>
        <w:keepNext w:val="0"/>
        <w:spacing w:before="0" w:after="200" w:line="276" w:lineRule="auto"/>
        <w:jc w:val="left"/>
      </w:pPr>
      <w:r>
        <w:rPr>
          <w:rFonts w:ascii="Calibri" w:hAnsi="Calibri"/>
          <w:b w:val="0"/>
          <w:i w:val="0"/>
          <w:color w:val="60758A"/>
          <w:sz w:val="19"/>
        </w:rPr>
        <w:t>Plage jour : 07:00–19:59, hors dimanche et jours fériés français. Plage nuit : 20:00–06:59, dimanche et jours fériés 24 h/24.</w:t>
      </w:r>
    </w:p>
    <w:p>
      <w:pPr>
        <w:pStyle w:val="Heading2"/>
        <w:keepNext/>
      </w:pPr>
      <w:r>
        <w:rPr>
          <w:rFonts w:ascii="Calibri" w:hAnsi="Calibri"/>
          <w:b/>
          <w:i w:val="0"/>
          <w:color w:val="1F6FEB"/>
          <w:sz w:val="26"/>
        </w:rPr>
        <w:t>Exemple commun : Cluses → Annecy</w:t>
      </w:r>
    </w:p>
    <w:p>
      <w:pPr>
        <w:keepNext w:val="0"/>
        <w:spacing w:before="0" w:after="140" w:line="276" w:lineRule="auto"/>
        <w:jc w:val="left"/>
      </w:pPr>
      <w:r>
        <w:rPr>
          <w:rFonts w:ascii="Calibri" w:hAnsi="Calibri"/>
          <w:b w:val="0"/>
          <w:i w:val="0"/>
          <w:color w:val="60758A"/>
          <w:sz w:val="20"/>
        </w:rPr>
        <w:t>Hypothèses : prise en charge à Cluses, 69 km, tarif jour, aller simple, hors péage.</w:t>
      </w:r>
    </w:p>
    <w:tbl>
      <w:tblPr>
        <w:tblStyle w:val="TableGrid"/>
        <w:tblW w:type="dxa" w:w="9360"/>
        <w:tblLayout w:type="fixed"/>
        <w:tblLook w:firstColumn="1" w:firstRow="1" w:lastColumn="0" w:lastRow="0" w:noHBand="0" w:noVBand="1" w:val="04A0"/>
        <w:jc w:val="center"/>
        <w:tblInd w:w="120" w:type="dxa"/>
      </w:tblPr>
      <w:tblGrid>
        <w:gridCol w:w="2500"/>
        <w:gridCol w:w="4300"/>
        <w:gridCol w:w="2560"/>
      </w:tblGrid>
      <w:tr>
        <w:tc>
          <w:tcPr>
            <w:tcW w:type="dxa" w:w="250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Composant</w:t>
            </w:r>
          </w:p>
        </w:tc>
        <w:tc>
          <w:tcPr>
            <w:tcW w:type="dxa" w:w="430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Calcul</w:t>
            </w:r>
          </w:p>
        </w:tc>
        <w:tc>
          <w:tcPr>
            <w:tcW w:type="dxa" w:w="256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Montant</w:t>
            </w:r>
          </w:p>
        </w:tc>
      </w:tr>
      <w:tr>
        <w:tc>
          <w:tcPr>
            <w:tcW w:type="dxa" w:w="250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CA aller</w:t>
            </w:r>
          </w:p>
        </w:tc>
        <w:tc>
          <w:tcPr>
            <w:tcW w:type="dxa" w:w="43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0 km × tarif CA</w:t>
            </w:r>
          </w:p>
        </w:tc>
        <w:tc>
          <w:tcPr>
            <w:tcW w:type="dxa" w:w="2560"/>
            <w:shd w:fill="FFFFFF"/>
            <w:vAlign w:val="center"/>
            <w:tcMar>
              <w:top w:w="100" w:type="dxa"/>
              <w:start w:w="120" w:type="dxa"/>
              <w:bottom w:w="100" w:type="dxa"/>
              <w:end w:w="120" w:type="dxa"/>
            </w:tcMar>
          </w:tcPr>
          <w:p>
            <w:pPr>
              <w:spacing w:after="0" w:line="259" w:lineRule="auto"/>
              <w:jc w:val="right"/>
            </w:pPr>
            <w:r>
              <w:rPr>
                <w:rFonts w:ascii="Calibri" w:hAnsi="Calibri"/>
                <w:b w:val="0"/>
                <w:i w:val="0"/>
                <w:color w:val="172B4D"/>
                <w:sz w:val="18"/>
              </w:rPr>
              <w:t>0,00 €</w:t>
            </w:r>
          </w:p>
        </w:tc>
      </w:tr>
      <w:tr>
        <w:tc>
          <w:tcPr>
            <w:tcW w:type="dxa" w:w="2500"/>
            <w:shd w:fill="F4F7FA"/>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Trajet client (TP)</w:t>
            </w:r>
          </w:p>
        </w:tc>
        <w:tc>
          <w:tcPr>
            <w:tcW w:type="dxa" w:w="4300"/>
            <w:shd w:fill="F4F7FA"/>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69 km × 1,32 €/km</w:t>
            </w:r>
          </w:p>
        </w:tc>
        <w:tc>
          <w:tcPr>
            <w:tcW w:type="dxa" w:w="2560"/>
            <w:shd w:fill="F4F7FA"/>
            <w:vAlign w:val="center"/>
            <w:tcMar>
              <w:top w:w="100" w:type="dxa"/>
              <w:start w:w="120" w:type="dxa"/>
              <w:bottom w:w="100" w:type="dxa"/>
              <w:end w:w="120" w:type="dxa"/>
            </w:tcMar>
          </w:tcPr>
          <w:p>
            <w:pPr>
              <w:spacing w:after="0" w:line="259" w:lineRule="auto"/>
              <w:jc w:val="right"/>
            </w:pPr>
            <w:r>
              <w:rPr>
                <w:rFonts w:ascii="Calibri" w:hAnsi="Calibri"/>
                <w:b w:val="0"/>
                <w:i w:val="0"/>
                <w:color w:val="172B4D"/>
                <w:sz w:val="18"/>
              </w:rPr>
              <w:t>91,08 €</w:t>
            </w:r>
          </w:p>
        </w:tc>
      </w:tr>
      <w:tr>
        <w:tc>
          <w:tcPr>
            <w:tcW w:type="dxa" w:w="250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CA retour</w:t>
            </w:r>
          </w:p>
        </w:tc>
        <w:tc>
          <w:tcPr>
            <w:tcW w:type="dxa" w:w="43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69 km × 0,70 €/km</w:t>
            </w:r>
          </w:p>
        </w:tc>
        <w:tc>
          <w:tcPr>
            <w:tcW w:type="dxa" w:w="2560"/>
            <w:shd w:fill="FFFFFF"/>
            <w:vAlign w:val="center"/>
            <w:tcMar>
              <w:top w:w="100" w:type="dxa"/>
              <w:start w:w="120" w:type="dxa"/>
              <w:bottom w:w="100" w:type="dxa"/>
              <w:end w:w="120" w:type="dxa"/>
            </w:tcMar>
          </w:tcPr>
          <w:p>
            <w:pPr>
              <w:spacing w:after="0" w:line="259" w:lineRule="auto"/>
              <w:jc w:val="right"/>
            </w:pPr>
            <w:r>
              <w:rPr>
                <w:rFonts w:ascii="Calibri" w:hAnsi="Calibri"/>
                <w:b w:val="0"/>
                <w:i w:val="0"/>
                <w:color w:val="172B4D"/>
                <w:sz w:val="18"/>
              </w:rPr>
              <w:t>48,30 €</w:t>
            </w:r>
          </w:p>
        </w:tc>
      </w:tr>
      <w:tr>
        <w:tc>
          <w:tcPr>
            <w:tcW w:type="dxa" w:w="2500"/>
            <w:shd w:fill="F4F7FA"/>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Péage</w:t>
            </w:r>
          </w:p>
        </w:tc>
        <w:tc>
          <w:tcPr>
            <w:tcW w:type="dxa" w:w="4300"/>
            <w:shd w:fill="F4F7FA"/>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Hors exemple</w:t>
            </w:r>
          </w:p>
        </w:tc>
        <w:tc>
          <w:tcPr>
            <w:tcW w:type="dxa" w:w="2560"/>
            <w:shd w:fill="F4F7FA"/>
            <w:vAlign w:val="center"/>
            <w:tcMar>
              <w:top w:w="100" w:type="dxa"/>
              <w:start w:w="120" w:type="dxa"/>
              <w:bottom w:w="100" w:type="dxa"/>
              <w:end w:w="120" w:type="dxa"/>
            </w:tcMar>
          </w:tcPr>
          <w:p>
            <w:pPr>
              <w:spacing w:after="0" w:line="259" w:lineRule="auto"/>
              <w:jc w:val="right"/>
            </w:pPr>
            <w:r>
              <w:rPr>
                <w:rFonts w:ascii="Calibri" w:hAnsi="Calibri"/>
                <w:b w:val="0"/>
                <w:i w:val="0"/>
                <w:color w:val="172B4D"/>
                <w:sz w:val="18"/>
              </w:rPr>
              <w:t>0,00 €</w:t>
            </w:r>
          </w:p>
        </w:tc>
      </w:tr>
      <w:tr>
        <w:tc>
          <w:tcPr>
            <w:tcW w:type="dxa" w:w="250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TOTAL TTC</w:t>
            </w:r>
          </w:p>
        </w:tc>
        <w:tc>
          <w:tcPr>
            <w:tcW w:type="dxa" w:w="43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91,08 € + 48,30 €</w:t>
            </w:r>
          </w:p>
        </w:tc>
        <w:tc>
          <w:tcPr>
            <w:tcW w:type="dxa" w:w="2560"/>
            <w:shd w:fill="FFFFFF"/>
            <w:vAlign w:val="center"/>
            <w:tcMar>
              <w:top w:w="100" w:type="dxa"/>
              <w:start w:w="120" w:type="dxa"/>
              <w:bottom w:w="100" w:type="dxa"/>
              <w:end w:w="120" w:type="dxa"/>
            </w:tcMar>
          </w:tcPr>
          <w:p>
            <w:pPr>
              <w:spacing w:after="0" w:line="259" w:lineRule="auto"/>
              <w:jc w:val="right"/>
            </w:pPr>
            <w:r>
              <w:rPr>
                <w:rFonts w:ascii="Calibri" w:hAnsi="Calibri"/>
                <w:b w:val="0"/>
                <w:i w:val="0"/>
                <w:color w:val="172B4D"/>
                <w:sz w:val="18"/>
              </w:rPr>
              <w:t>139,38 €</w:t>
            </w:r>
          </w:p>
        </w:tc>
      </w:tr>
    </w:tbl>
    <w:p>
      <w:pPr>
        <w:keepNext w:val="0"/>
        <w:spacing w:before="0" w:after="80" w:line="276" w:lineRule="auto"/>
        <w:jc w:val="left"/>
      </w:pPr>
      <w:r>
        <w:rPr>
          <w:rFonts w:ascii="Calibri" w:hAnsi="Calibri"/>
          <w:b w:val="0"/>
          <w:i w:val="0"/>
          <w:color w:val="172B4D"/>
          <w:sz w:val="2"/>
        </w:rPr>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9F7F0"/>
          </w:tcPr>
          <w:p>
            <w:pPr>
              <w:spacing w:before="40" w:after="40" w:line="276" w:lineRule="auto"/>
            </w:pPr>
            <w:r>
              <w:rPr>
                <w:rFonts w:ascii="Calibri" w:hAnsi="Calibri"/>
                <w:b/>
                <w:i w:val="0"/>
                <w:color w:val="1F8A5B"/>
                <w:sz w:val="18"/>
              </w:rPr>
              <w:t xml:space="preserve">RÉSULTAT  </w:t>
            </w:r>
            <w:r>
              <w:rPr>
                <w:rFonts w:ascii="Calibri" w:hAnsi="Calibri"/>
                <w:b/>
                <w:i w:val="0"/>
                <w:color w:val="102A43"/>
                <w:sz w:val="21"/>
              </w:rPr>
              <w:t>Plateforme affichée : 139,38 € TTC. Formule transmise : 139,38 € TTC. Écart : 0,00 €.</w:t>
            </w:r>
          </w:p>
        </w:tc>
      </w:tr>
    </w:tbl>
    <w:p>
      <w:pPr>
        <w:keepNext w:val="0"/>
        <w:spacing w:before="0" w:after="60" w:line="276" w:lineRule="auto"/>
        <w:jc w:val="left"/>
      </w:pPr>
      <w:r>
        <w:rPr>
          <w:rFonts w:ascii="Calibri" w:hAnsi="Calibri"/>
          <w:b w:val="0"/>
          <w:i w:val="0"/>
          <w:color w:val="172B4D"/>
          <w:sz w:val="2"/>
        </w:rPr>
      </w:r>
    </w:p>
    <w:p>
      <w:pPr>
        <w:keepNext w:val="0"/>
        <w:spacing w:before="0" w:after="0" w:line="276" w:lineRule="auto"/>
        <w:jc w:val="left"/>
      </w:pPr>
      <w:r>
        <w:rPr>
          <w:rFonts w:ascii="Calibri" w:hAnsi="Calibri"/>
          <w:b/>
          <w:i w:val="0"/>
          <w:color w:val="102A43"/>
          <w:sz w:val="20"/>
        </w:rPr>
        <w:t>La formule ne contient ni prise en charge fixe de 10 €, ni prix de trajet à la minute, ni coefficient de retour à vide, ni supplément automatique J+1.</w:t>
      </w:r>
    </w:p>
    <w:p>
      <w:r>
        <w:br w:type="page"/>
      </w:r>
    </w:p>
    <w:p>
      <w:pPr>
        <w:pStyle w:val="Heading1"/>
        <w:keepNext/>
        <w:spacing w:before="0"/>
      </w:pPr>
      <w:r>
        <w:rPr>
          <w:rFonts w:ascii="Calibri" w:hAnsi="Calibri"/>
          <w:b/>
          <w:i w:val="0"/>
          <w:color w:val="1F6FEB"/>
          <w:sz w:val="32"/>
        </w:rPr>
        <w:t>3. Différences réelles et risques actuels</w:t>
      </w:r>
    </w:p>
    <w:p>
      <w:pPr>
        <w:keepNext w:val="0"/>
        <w:spacing w:before="0" w:after="200" w:line="276" w:lineRule="auto"/>
        <w:jc w:val="left"/>
      </w:pPr>
      <w:r>
        <w:rPr>
          <w:rFonts w:ascii="Calibri" w:hAnsi="Calibri"/>
          <w:b w:val="0"/>
          <w:i w:val="0"/>
          <w:color w:val="60758A"/>
          <w:sz w:val="20"/>
        </w:rPr>
        <w:t>Les différences ci-dessous ne viennent pas de la formule commerciale transmise. Elles viennent des chemins de calcul distincts présents dans la plateforme.</w:t>
      </w:r>
    </w:p>
    <w:tbl>
      <w:tblPr>
        <w:tblStyle w:val="TableGrid"/>
        <w:tblW w:type="dxa" w:w="9360"/>
        <w:tblLayout w:type="fixed"/>
        <w:tblLook w:firstColumn="1" w:firstRow="1" w:lastColumn="0" w:lastRow="0" w:noHBand="0" w:noVBand="1" w:val="04A0"/>
        <w:jc w:val="center"/>
        <w:tblInd w:w="120" w:type="dxa"/>
      </w:tblPr>
      <w:tblGrid>
        <w:gridCol w:w="1700"/>
        <w:gridCol w:w="3300"/>
        <w:gridCol w:w="3000"/>
        <w:gridCol w:w="1360"/>
      </w:tblGrid>
      <w:tr>
        <w:tc>
          <w:tcPr>
            <w:tcW w:type="dxa" w:w="170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Sujet</w:t>
            </w:r>
          </w:p>
        </w:tc>
        <w:tc>
          <w:tcPr>
            <w:tcW w:type="dxa" w:w="330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Comportement constaté</w:t>
            </w:r>
          </w:p>
        </w:tc>
        <w:tc>
          <w:tcPr>
            <w:tcW w:type="dxa" w:w="300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Conséquence</w:t>
            </w:r>
          </w:p>
        </w:tc>
        <w:tc>
          <w:tcPr>
            <w:tcW w:type="dxa" w:w="1360"/>
            <w:vAlign w:val="center"/>
            <w:tcMar>
              <w:top w:w="100" w:type="dxa"/>
              <w:start w:w="120" w:type="dxa"/>
              <w:bottom w:w="100" w:type="dxa"/>
              <w:end w:w="120" w:type="dxa"/>
            </w:tcMar>
            <w:shd w:fill="102A43"/>
          </w:tcPr>
          <w:p>
            <w:pPr>
              <w:spacing w:after="0"/>
              <w:jc w:val="center"/>
            </w:pPr>
            <w:r>
              <w:rPr>
                <w:rFonts w:ascii="Calibri" w:hAnsi="Calibri"/>
                <w:b/>
                <w:i w:val="0"/>
                <w:color w:val="FFFFFF"/>
                <w:sz w:val="18"/>
              </w:rPr>
              <w:t>Priorité</w:t>
            </w:r>
          </w:p>
        </w:tc>
      </w:tr>
      <w:tr>
        <w:tc>
          <w:tcPr>
            <w:tcW w:type="dxa" w:w="170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Enregistrement</w:t>
            </w:r>
          </w:p>
        </w:tc>
        <w:tc>
          <w:tcPr>
            <w:tcW w:type="dxa" w:w="33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Le serveur recalcule sans péage ni attente.</w:t>
            </w:r>
          </w:p>
        </w:tc>
        <w:tc>
          <w:tcPr>
            <w:tcW w:type="dxa" w:w="30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Prix enregistré potentiellement inférieur au prix affiché.</w:t>
            </w:r>
          </w:p>
        </w:tc>
        <w:tc>
          <w:tcPr>
            <w:tcW w:type="dxa" w:w="136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Critique</w:t>
            </w:r>
          </w:p>
        </w:tc>
      </w:tr>
      <w:tr>
        <w:tc>
          <w:tcPr>
            <w:tcW w:type="dxa" w:w="1700"/>
            <w:shd w:fill="F4F7FA"/>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Deux moteurs</w:t>
            </w:r>
          </w:p>
        </w:tc>
        <w:tc>
          <w:tcPr>
            <w:tcW w:type="dxa" w:w="3300"/>
            <w:shd w:fill="F4F7FA"/>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L’estimateur utilise des constantes ; la sauvegarde peut utiliser la base.</w:t>
            </w:r>
          </w:p>
        </w:tc>
        <w:tc>
          <w:tcPr>
            <w:tcW w:type="dxa" w:w="3000"/>
            <w:shd w:fill="F4F7FA"/>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Deux tarifs différents pour une même course.</w:t>
            </w:r>
          </w:p>
        </w:tc>
        <w:tc>
          <w:tcPr>
            <w:tcW w:type="dxa" w:w="1360"/>
            <w:shd w:fill="F4F7FA"/>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Critique</w:t>
            </w:r>
          </w:p>
        </w:tc>
      </w:tr>
      <w:tr>
        <w:tc>
          <w:tcPr>
            <w:tcW w:type="dxa" w:w="170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Attente affichée</w:t>
            </w:r>
          </w:p>
        </w:tc>
        <w:tc>
          <w:tcPr>
            <w:tcW w:type="dxa" w:w="33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L’écran annonce 10 min gratuites ; le moteur en déduit 15.</w:t>
            </w:r>
          </w:p>
        </w:tc>
        <w:tc>
          <w:tcPr>
            <w:tcW w:type="dxa" w:w="30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Information client incohérente.</w:t>
            </w:r>
          </w:p>
        </w:tc>
        <w:tc>
          <w:tcPr>
            <w:tcW w:type="dxa" w:w="136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Haute</w:t>
            </w:r>
          </w:p>
        </w:tc>
      </w:tr>
      <w:tr>
        <w:tc>
          <w:tcPr>
            <w:tcW w:type="dxa" w:w="1700"/>
            <w:shd w:fill="F4F7FA"/>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Palier A/R</w:t>
            </w:r>
          </w:p>
        </w:tc>
        <w:tc>
          <w:tcPr>
            <w:tcW w:type="dxa" w:w="3300"/>
            <w:shd w:fill="F4F7FA"/>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Le palier CA est choisi avec CA aller + 1×TP + CA retour.</w:t>
            </w:r>
          </w:p>
        </w:tc>
        <w:tc>
          <w:tcPr>
            <w:tcW w:type="dxa" w:w="3000"/>
            <w:shd w:fill="F4F7FA"/>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Le TP retour est facturé mais ne participe pas au choix du palier.</w:t>
            </w:r>
          </w:p>
        </w:tc>
        <w:tc>
          <w:tcPr>
            <w:tcW w:type="dxa" w:w="1360"/>
            <w:shd w:fill="F4F7FA"/>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Haute</w:t>
            </w:r>
          </w:p>
        </w:tc>
      </w:tr>
      <w:tr>
        <w:tc>
          <w:tcPr>
            <w:tcW w:type="dxa" w:w="1700"/>
            <w:shd w:fill="FFFFFF"/>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J+1 à J+3</w:t>
            </w:r>
          </w:p>
        </w:tc>
        <w:tc>
          <w:tcPr>
            <w:tcW w:type="dxa" w:w="33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L’immobilisation est calculée séparément mais non ajoutée au total.</w:t>
            </w:r>
          </w:p>
        </w:tc>
        <w:tc>
          <w:tcPr>
            <w:tcW w:type="dxa" w:w="3000"/>
            <w:shd w:fill="FFFFFF"/>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Le supplément peut manquer au devis.</w:t>
            </w:r>
          </w:p>
        </w:tc>
        <w:tc>
          <w:tcPr>
            <w:tcW w:type="dxa" w:w="1360"/>
            <w:shd w:fill="FFFFFF"/>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Haute</w:t>
            </w:r>
          </w:p>
        </w:tc>
      </w:tr>
      <w:tr>
        <w:tc>
          <w:tcPr>
            <w:tcW w:type="dxa" w:w="1700"/>
            <w:shd w:fill="F4F7FA"/>
            <w:vAlign w:val="center"/>
            <w:tcMar>
              <w:top w:w="100" w:type="dxa"/>
              <w:start w:w="120" w:type="dxa"/>
              <w:bottom w:w="100" w:type="dxa"/>
              <w:end w:w="120" w:type="dxa"/>
            </w:tcMar>
          </w:tcPr>
          <w:p>
            <w:pPr>
              <w:spacing w:after="0" w:line="259" w:lineRule="auto"/>
              <w:jc w:val="left"/>
            </w:pPr>
            <w:r>
              <w:rPr>
                <w:rFonts w:ascii="Calibri" w:hAnsi="Calibri"/>
                <w:b/>
                <w:i w:val="0"/>
                <w:color w:val="172B4D"/>
                <w:sz w:val="18"/>
              </w:rPr>
              <w:t>TVA sauvegardée</w:t>
            </w:r>
          </w:p>
        </w:tc>
        <w:tc>
          <w:tcPr>
            <w:tcW w:type="dxa" w:w="3300"/>
            <w:shd w:fill="F4F7FA"/>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La réservation stocke un taux global de 10 %.</w:t>
            </w:r>
          </w:p>
        </w:tc>
        <w:tc>
          <w:tcPr>
            <w:tcW w:type="dxa" w:w="3000"/>
            <w:shd w:fill="F4F7FA"/>
            <w:vAlign w:val="center"/>
            <w:tcMar>
              <w:top w:w="100" w:type="dxa"/>
              <w:start w:w="120" w:type="dxa"/>
              <w:bottom w:w="100" w:type="dxa"/>
              <w:end w:w="120" w:type="dxa"/>
            </w:tcMar>
          </w:tcPr>
          <w:p>
            <w:pPr>
              <w:spacing w:after="0" w:line="259" w:lineRule="auto"/>
              <w:jc w:val="left"/>
            </w:pPr>
            <w:r>
              <w:rPr>
                <w:rFonts w:ascii="Calibri" w:hAnsi="Calibri"/>
                <w:b w:val="0"/>
                <w:i w:val="0"/>
                <w:color w:val="172B4D"/>
                <w:sz w:val="18"/>
              </w:rPr>
              <w:t>Le détail à 20 % des péages/MAD peut être perdu.</w:t>
            </w:r>
          </w:p>
        </w:tc>
        <w:tc>
          <w:tcPr>
            <w:tcW w:type="dxa" w:w="1360"/>
            <w:shd w:fill="F4F7FA"/>
            <w:vAlign w:val="center"/>
            <w:tcMar>
              <w:top w:w="100" w:type="dxa"/>
              <w:start w:w="120" w:type="dxa"/>
              <w:bottom w:w="100" w:type="dxa"/>
              <w:end w:w="120" w:type="dxa"/>
            </w:tcMar>
          </w:tcPr>
          <w:p>
            <w:pPr>
              <w:spacing w:after="0" w:line="259" w:lineRule="auto"/>
              <w:jc w:val="center"/>
            </w:pPr>
            <w:r>
              <w:rPr>
                <w:rFonts w:ascii="Calibri" w:hAnsi="Calibri"/>
                <w:b w:val="0"/>
                <w:i w:val="0"/>
                <w:color w:val="172B4D"/>
                <w:sz w:val="18"/>
              </w:rPr>
              <w:t>Moyenne</w:t>
            </w:r>
          </w:p>
        </w:tc>
      </w:tr>
    </w:tbl>
    <w:p>
      <w:pPr>
        <w:keepNext w:val="0"/>
        <w:spacing w:before="0" w:after="80" w:line="276" w:lineRule="auto"/>
        <w:jc w:val="left"/>
      </w:pPr>
      <w:r>
        <w:rPr>
          <w:rFonts w:ascii="Calibri" w:hAnsi="Calibri"/>
          <w:b w:val="0"/>
          <w:i w:val="0"/>
          <w:color w:val="172B4D"/>
          <w:sz w:val="2"/>
        </w:rPr>
      </w:r>
    </w:p>
    <w:p>
      <w:pPr>
        <w:pStyle w:val="Heading2"/>
        <w:keepNext/>
      </w:pPr>
      <w:r>
        <w:rPr>
          <w:rFonts w:ascii="Calibri" w:hAnsi="Calibri"/>
          <w:b/>
          <w:i w:val="0"/>
          <w:color w:val="1F6FEB"/>
          <w:sz w:val="26"/>
        </w:rPr>
        <w:t>Interprétation du palier</w:t>
      </w:r>
    </w:p>
    <w:p>
      <w:pPr>
        <w:spacing w:before="0" w:after="100" w:line="276" w:lineRule="auto"/>
        <w:jc w:val="left"/>
      </w:pPr>
      <w:r>
        <w:rPr>
          <w:rFonts w:ascii="Calibri" w:hAnsi="Calibri"/>
          <w:b/>
          <w:i w:val="0"/>
          <w:color w:val="172B4D"/>
          <w:sz w:val="20"/>
        </w:rPr>
        <w:t xml:space="preserve">Aller simple — </w:t>
      </w:r>
      <w:r>
        <w:rPr>
          <w:rFonts w:ascii="Calibri" w:hAnsi="Calibri"/>
          <w:b w:val="0"/>
          <w:i w:val="0"/>
          <w:color w:val="172B4D"/>
          <w:sz w:val="20"/>
        </w:rPr>
        <w:t>la plateforme choisit le tarif CA à partir de CA aller + TP + CA retour. C’est cohérent avec l’exemple Cluses → Annecy : 0 + 69 + 69 = 138 km, donc palier &gt;100 km.</w:t>
      </w:r>
    </w:p>
    <w:p>
      <w:pPr>
        <w:spacing w:before="0" w:after="100" w:line="276" w:lineRule="auto"/>
        <w:jc w:val="left"/>
      </w:pPr>
      <w:r>
        <w:rPr>
          <w:rFonts w:ascii="Calibri" w:hAnsi="Calibri"/>
          <w:b/>
          <w:i w:val="0"/>
          <w:color w:val="172B4D"/>
          <w:sz w:val="20"/>
        </w:rPr>
        <w:t xml:space="preserve">Aller-retour — </w:t>
      </w:r>
      <w:r>
        <w:rPr>
          <w:rFonts w:ascii="Calibri" w:hAnsi="Calibri"/>
          <w:b w:val="0"/>
          <w:i w:val="0"/>
          <w:color w:val="172B4D"/>
          <w:sz w:val="20"/>
        </w:rPr>
        <w:t>le prix facture 2×TP, mais le palier reste déterminé avec un seul TP. Cette règle doit être confirmée explicitement avant de figer la nouvelle formule.</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FF5D6"/>
          </w:tcPr>
          <w:p>
            <w:pPr>
              <w:spacing w:before="40" w:after="40" w:line="276" w:lineRule="auto"/>
            </w:pPr>
            <w:r>
              <w:rPr>
                <w:rFonts w:ascii="Calibri" w:hAnsi="Calibri"/>
                <w:b/>
                <w:i w:val="0"/>
                <w:color w:val="A66B00"/>
                <w:sz w:val="18"/>
              </w:rPr>
              <w:t xml:space="preserve">POINT À VALIDER  </w:t>
            </w:r>
            <w:r>
              <w:rPr>
                <w:rFonts w:ascii="Calibri" w:hAnsi="Calibri"/>
                <w:b/>
                <w:i w:val="0"/>
                <w:color w:val="102A43"/>
                <w:sz w:val="21"/>
              </w:rPr>
              <w:t>Pour un A/R, le palier CA doit-il être déterminé avec CA aller + TP + CA retour ou avec la distance réellement facturée CA aller + 2×TP + CA retour ?</w:t>
            </w:r>
          </w:p>
        </w:tc>
      </w:tr>
    </w:tbl>
    <w:p>
      <w:pPr>
        <w:keepNext w:val="0"/>
        <w:spacing w:before="0" w:after="60" w:line="276" w:lineRule="auto"/>
        <w:jc w:val="left"/>
      </w:pPr>
      <w:r>
        <w:rPr>
          <w:rFonts w:ascii="Calibri" w:hAnsi="Calibri"/>
          <w:b w:val="0"/>
          <w:i w:val="0"/>
          <w:color w:val="172B4D"/>
          <w:sz w:val="2"/>
        </w:rPr>
      </w:r>
    </w:p>
    <w:p>
      <w:r>
        <w:br w:type="page"/>
      </w:r>
    </w:p>
    <w:p>
      <w:pPr>
        <w:pStyle w:val="Heading1"/>
        <w:keepNext/>
        <w:spacing w:before="0"/>
      </w:pPr>
      <w:r>
        <w:rPr>
          <w:rFonts w:ascii="Calibri" w:hAnsi="Calibri"/>
          <w:b/>
          <w:i w:val="0"/>
          <w:color w:val="1F6FEB"/>
          <w:sz w:val="32"/>
        </w:rPr>
        <w:t>4. Recommandation de mise en œuvre</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E9F7F0"/>
          </w:tcPr>
          <w:p>
            <w:pPr>
              <w:spacing w:before="40" w:after="40" w:line="276" w:lineRule="auto"/>
            </w:pPr>
            <w:r>
              <w:rPr>
                <w:rFonts w:ascii="Calibri" w:hAnsi="Calibri"/>
                <w:b/>
                <w:i w:val="0"/>
                <w:color w:val="1F8A5B"/>
                <w:sz w:val="18"/>
              </w:rPr>
              <w:t xml:space="preserve">FORMULE CIBLE  </w:t>
            </w:r>
            <w:r>
              <w:rPr>
                <w:rFonts w:ascii="Calibri" w:hAnsi="Calibri"/>
                <w:b/>
                <w:i w:val="0"/>
                <w:color w:val="102A43"/>
                <w:sz w:val="21"/>
              </w:rPr>
              <w:t>Prix TTC = CA aller + TP facturé + CA retour + péage client + attente/MAD applicable. Aucune prise en charge fixe, aucun prix à la minute pour le trajet et aucun coefficient de retour à vide.</w:t>
            </w:r>
          </w:p>
        </w:tc>
      </w:tr>
    </w:tbl>
    <w:p>
      <w:pPr>
        <w:keepNext w:val="0"/>
        <w:spacing w:before="0" w:after="60" w:line="276" w:lineRule="auto"/>
        <w:jc w:val="left"/>
      </w:pPr>
      <w:r>
        <w:rPr>
          <w:rFonts w:ascii="Calibri" w:hAnsi="Calibri"/>
          <w:b w:val="0"/>
          <w:i w:val="0"/>
          <w:color w:val="172B4D"/>
          <w:sz w:val="2"/>
        </w:rPr>
      </w:r>
    </w:p>
    <w:p>
      <w:pPr>
        <w:pStyle w:val="Heading2"/>
        <w:keepNext/>
      </w:pPr>
      <w:r>
        <w:rPr>
          <w:rFonts w:ascii="Calibri" w:hAnsi="Calibri"/>
          <w:b/>
          <w:i w:val="0"/>
          <w:color w:val="1F6FEB"/>
          <w:sz w:val="26"/>
        </w:rPr>
        <w:t>Règles à figer dans une seule fonction serveur</w:t>
      </w:r>
    </w:p>
    <w:p>
      <w:pPr>
        <w:spacing w:before="0" w:after="100" w:line="276" w:lineRule="auto"/>
        <w:jc w:val="left"/>
      </w:pPr>
      <w:r>
        <w:rPr>
          <w:rFonts w:ascii="Calibri" w:hAnsi="Calibri"/>
          <w:b/>
          <w:i w:val="0"/>
          <w:color w:val="172B4D"/>
          <w:sz w:val="20"/>
        </w:rPr>
        <w:t xml:space="preserve">1. Distances — </w:t>
      </w:r>
      <w:r>
        <w:rPr>
          <w:rFonts w:ascii="Calibri" w:hAnsi="Calibri"/>
          <w:b w:val="0"/>
          <w:i w:val="0"/>
          <w:color w:val="172B4D"/>
          <w:sz w:val="20"/>
        </w:rPr>
        <w:t>figer CA aller, TP et CA retour issus de la même matrice routière.</w:t>
      </w:r>
    </w:p>
    <w:p>
      <w:pPr>
        <w:spacing w:before="0" w:after="100" w:line="276" w:lineRule="auto"/>
        <w:jc w:val="left"/>
      </w:pPr>
      <w:r>
        <w:rPr>
          <w:rFonts w:ascii="Calibri" w:hAnsi="Calibri"/>
          <w:b/>
          <w:i w:val="0"/>
          <w:color w:val="172B4D"/>
          <w:sz w:val="20"/>
        </w:rPr>
        <w:t xml:space="preserve">2. Horaire — </w:t>
      </w:r>
      <w:r>
        <w:rPr>
          <w:rFonts w:ascii="Calibri" w:hAnsi="Calibri"/>
          <w:b w:val="0"/>
          <w:i w:val="0"/>
          <w:color w:val="172B4D"/>
          <w:sz w:val="20"/>
        </w:rPr>
        <w:t>choisir jour/nuit selon l’heure locale de prise en charge, dimanche et jours fériés inclus.</w:t>
      </w:r>
    </w:p>
    <w:p>
      <w:pPr>
        <w:spacing w:before="0" w:after="100" w:line="276" w:lineRule="auto"/>
        <w:jc w:val="left"/>
      </w:pPr>
      <w:r>
        <w:rPr>
          <w:rFonts w:ascii="Calibri" w:hAnsi="Calibri"/>
          <w:b/>
          <w:i w:val="0"/>
          <w:color w:val="172B4D"/>
          <w:sz w:val="20"/>
        </w:rPr>
        <w:t xml:space="preserve">3. Palier — </w:t>
      </w:r>
      <w:r>
        <w:rPr>
          <w:rFonts w:ascii="Calibri" w:hAnsi="Calibri"/>
          <w:b w:val="0"/>
          <w:i w:val="0"/>
          <w:color w:val="172B4D"/>
          <w:sz w:val="20"/>
        </w:rPr>
        <w:t>documenter l’assiette exacte du palier CA, particulièrement pour les A/R.</w:t>
      </w:r>
    </w:p>
    <w:p>
      <w:pPr>
        <w:spacing w:before="0" w:after="100" w:line="276" w:lineRule="auto"/>
        <w:jc w:val="left"/>
      </w:pPr>
      <w:r>
        <w:rPr>
          <w:rFonts w:ascii="Calibri" w:hAnsi="Calibri"/>
          <w:b/>
          <w:i w:val="0"/>
          <w:color w:val="172B4D"/>
          <w:sz w:val="20"/>
        </w:rPr>
        <w:t xml:space="preserve">4. Péages — </w:t>
      </w:r>
      <w:r>
        <w:rPr>
          <w:rFonts w:ascii="Calibri" w:hAnsi="Calibri"/>
          <w:b w:val="0"/>
          <w:i w:val="0"/>
          <w:color w:val="172B4D"/>
          <w:sz w:val="20"/>
        </w:rPr>
        <w:t>facturer ×1 en A/S et ×2 en A/R, uniquement lorsque le client est transporté.</w:t>
      </w:r>
    </w:p>
    <w:p>
      <w:pPr>
        <w:spacing w:before="0" w:after="100" w:line="276" w:lineRule="auto"/>
        <w:jc w:val="left"/>
      </w:pPr>
      <w:r>
        <w:rPr>
          <w:rFonts w:ascii="Calibri" w:hAnsi="Calibri"/>
          <w:b/>
          <w:i w:val="0"/>
          <w:color w:val="172B4D"/>
          <w:sz w:val="20"/>
        </w:rPr>
        <w:t xml:space="preserve">5. Attente — </w:t>
      </w:r>
      <w:r>
        <w:rPr>
          <w:rFonts w:ascii="Calibri" w:hAnsi="Calibri"/>
          <w:b w:val="0"/>
          <w:i w:val="0"/>
          <w:color w:val="172B4D"/>
          <w:sz w:val="20"/>
        </w:rPr>
        <w:t>afficher et appliquer 15 minutes gratuites, puis 1,20 €/min jour ou 1,80 €/min nuit.</w:t>
      </w:r>
    </w:p>
    <w:p>
      <w:pPr>
        <w:spacing w:before="0" w:after="100" w:line="276" w:lineRule="auto"/>
        <w:jc w:val="left"/>
      </w:pPr>
      <w:r>
        <w:rPr>
          <w:rFonts w:ascii="Calibri" w:hAnsi="Calibri"/>
          <w:b/>
          <w:i w:val="0"/>
          <w:color w:val="172B4D"/>
          <w:sz w:val="20"/>
        </w:rPr>
        <w:t xml:space="preserve">6. TVA — </w:t>
      </w:r>
      <w:r>
        <w:rPr>
          <w:rFonts w:ascii="Calibri" w:hAnsi="Calibri"/>
          <w:b w:val="0"/>
          <w:i w:val="0"/>
          <w:color w:val="172B4D"/>
          <w:sz w:val="20"/>
        </w:rPr>
        <w:t>conserver séparément transport à 10 % et péage/MAD à 20 %.</w:t>
      </w:r>
    </w:p>
    <w:p>
      <w:pPr>
        <w:spacing w:before="0" w:after="100" w:line="276" w:lineRule="auto"/>
        <w:jc w:val="left"/>
      </w:pPr>
      <w:r>
        <w:rPr>
          <w:rFonts w:ascii="Calibri" w:hAnsi="Calibri"/>
          <w:b/>
          <w:i w:val="0"/>
          <w:color w:val="172B4D"/>
          <w:sz w:val="20"/>
        </w:rPr>
        <w:t xml:space="preserve">7. Persistance — </w:t>
      </w:r>
      <w:r>
        <w:rPr>
          <w:rFonts w:ascii="Calibri" w:hAnsi="Calibri"/>
          <w:b w:val="0"/>
          <w:i w:val="0"/>
          <w:color w:val="172B4D"/>
          <w:sz w:val="20"/>
        </w:rPr>
        <w:t>enregistrer exactement le prix calculé par la fonction serveur, avec son détail et sa version tarifaire.</w:t>
      </w:r>
    </w:p>
    <w:p>
      <w:pPr>
        <w:pStyle w:val="Heading2"/>
        <w:keepNext/>
      </w:pPr>
      <w:r>
        <w:rPr>
          <w:rFonts w:ascii="Calibri" w:hAnsi="Calibri"/>
          <w:b/>
          <w:i w:val="0"/>
          <w:color w:val="1F6FEB"/>
          <w:sz w:val="26"/>
        </w:rPr>
        <w:t>Verdict final</w:t>
      </w:r>
    </w:p>
    <w:p>
      <w:pPr>
        <w:keepNext w:val="0"/>
        <w:spacing w:before="0" w:after="240" w:line="276" w:lineRule="auto"/>
        <w:jc w:val="left"/>
      </w:pPr>
      <w:r>
        <w:rPr>
          <w:rFonts w:ascii="Calibri" w:hAnsi="Calibri"/>
          <w:b/>
          <w:i w:val="0"/>
          <w:color w:val="102A43"/>
          <w:sz w:val="22"/>
        </w:rPr>
        <w:t>La formule transmise peut servir de formule commerciale de référence : elle correspond au calculateur public actuel pour les cas décrits. Le chantier nécessaire n’est pas un changement de formule, mais l’unification et la sécurisation de son exécution dans toute la plateforme.</w:t>
      </w:r>
    </w:p>
    <w:p>
      <w:pPr>
        <w:pStyle w:val="Heading2"/>
        <w:keepNext/>
      </w:pPr>
      <w:r>
        <w:rPr>
          <w:rFonts w:ascii="Calibri" w:hAnsi="Calibri"/>
          <w:b/>
          <w:i w:val="0"/>
          <w:color w:val="1F6FEB"/>
          <w:sz w:val="26"/>
        </w:rPr>
        <w:t>Sources techniques vérifiées</w:t>
      </w:r>
    </w:p>
    <w:p>
      <w:pPr>
        <w:keepNext w:val="0"/>
        <w:spacing w:before="0" w:after="0" w:line="276" w:lineRule="auto"/>
        <w:jc w:val="left"/>
      </w:pPr>
      <w:r>
        <w:rPr>
          <w:rFonts w:ascii="Calibri" w:hAnsi="Calibri"/>
          <w:b w:val="0"/>
          <w:i w:val="0"/>
          <w:color w:val="60758A"/>
          <w:sz w:val="17"/>
        </w:rPr>
        <w:t>• app/api/pricing/estimate/route.ts — construction des distances, péages et appel du calculateur public</w:t>
        <w:br/>
        <w:t>• lib/pricing/tariffs-2026.ts — tarifs, forfait, formule A/S-A/R, attente et TVA</w:t>
        <w:br/>
        <w:t>• app/api/bookings/route.ts — recalcul et enregistrement serveur</w:t>
        <w:br/>
        <w:t>• lib/pricing.ts — deuxième moteur et chargement des tarifs configurables</w:t>
        <w:br/>
        <w:t>• app/(public)/reservation/page.tsx — affichage client et immobilisation J+1 à J+3</w:t>
      </w: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758A"/>
        <w:sz w:val="16"/>
      </w:rPr>
      <w:t>Document de travail — 31 juillet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0758A"/>
        <w:sz w:val="17"/>
      </w:rPr>
      <w:t>MOBISERVICE VTC  |  COMPARATIF TARIFAIRE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Comparatif des formules de tarification VTC</dc:title>
  <dc:subject>Formule plateforme actuelle vs formule transmise</dc:subject>
  <dc:creator>MobiService VTC</dc:creator>
  <cp:keywords>VTC, tarification, CA, TP, péage, comparaison</cp:keywords>
  <dc:description>generated by python-docx</dc:description>
  <cp:lastModifiedBy/>
  <cp:revision>1</cp:revision>
  <dcterms:created xsi:type="dcterms:W3CDTF">2013-12-23T23:15:00Z</dcterms:created>
  <dcterms:modified xsi:type="dcterms:W3CDTF">2013-12-23T23:15:00Z</dcterms:modified>
  <cp:category/>
</cp:coreProperties>
</file>