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2B0E0" w14:textId="77777777" w:rsidR="00004A41" w:rsidRPr="00B26096" w:rsidRDefault="00004A41" w:rsidP="00004A41">
      <w:pPr>
        <w:rPr>
          <w:rFonts w:asciiTheme="minorHAnsi" w:hAnsiTheme="minorHAnsi" w:cstheme="minorHAnsi"/>
        </w:rPr>
      </w:pPr>
      <w:r w:rsidRPr="00B26096">
        <w:rPr>
          <w:rFonts w:asciiTheme="minorHAnsi" w:hAnsiTheme="minorHAnsi" w:cstheme="minorHAnsi"/>
        </w:rPr>
        <w:t>CUNY SPS</w:t>
      </w:r>
    </w:p>
    <w:p w14:paraId="05283AED" w14:textId="77777777" w:rsidR="00004A41" w:rsidRPr="00B26096" w:rsidRDefault="00004A41" w:rsidP="00004A41">
      <w:pPr>
        <w:rPr>
          <w:rFonts w:asciiTheme="minorHAnsi" w:hAnsiTheme="minorHAnsi" w:cstheme="minorHAnsi"/>
        </w:rPr>
      </w:pPr>
      <w:r w:rsidRPr="00B26096">
        <w:rPr>
          <w:rFonts w:asciiTheme="minorHAnsi" w:hAnsiTheme="minorHAnsi" w:cstheme="minorHAnsi"/>
        </w:rPr>
        <w:t>DATA698: Master’s Research Project</w:t>
      </w:r>
    </w:p>
    <w:p w14:paraId="73693664" w14:textId="77777777" w:rsidR="00004A41" w:rsidRPr="00B26096" w:rsidRDefault="00004A41" w:rsidP="00004A41">
      <w:pPr>
        <w:rPr>
          <w:rFonts w:asciiTheme="minorHAnsi" w:hAnsiTheme="minorHAnsi" w:cstheme="minorHAnsi"/>
        </w:rPr>
      </w:pPr>
      <w:r w:rsidRPr="00B26096">
        <w:rPr>
          <w:rFonts w:asciiTheme="minorHAnsi" w:hAnsiTheme="minorHAnsi" w:cstheme="minorHAnsi"/>
        </w:rPr>
        <w:t xml:space="preserve">Professor: Dr Paul </w:t>
      </w:r>
      <w:proofErr w:type="spellStart"/>
      <w:r w:rsidRPr="00B26096">
        <w:rPr>
          <w:rFonts w:asciiTheme="minorHAnsi" w:hAnsiTheme="minorHAnsi" w:cstheme="minorHAnsi"/>
        </w:rPr>
        <w:t>Bailo</w:t>
      </w:r>
      <w:proofErr w:type="spellEnd"/>
    </w:p>
    <w:p w14:paraId="26587F2F" w14:textId="77777777" w:rsidR="00004A41" w:rsidRPr="00B26096" w:rsidRDefault="00004A41" w:rsidP="00004A41">
      <w:pPr>
        <w:rPr>
          <w:rFonts w:asciiTheme="minorHAnsi" w:hAnsiTheme="minorHAnsi" w:cstheme="minorHAnsi"/>
        </w:rPr>
      </w:pPr>
      <w:r w:rsidRPr="00B26096">
        <w:rPr>
          <w:rFonts w:asciiTheme="minorHAnsi" w:hAnsiTheme="minorHAnsi" w:cstheme="minorHAnsi"/>
        </w:rPr>
        <w:t>Student: Michael O’Donnell</w:t>
      </w:r>
    </w:p>
    <w:p w14:paraId="2C13F46F" w14:textId="77777777" w:rsidR="00004A41" w:rsidRPr="00B26096" w:rsidRDefault="00004A41" w:rsidP="00004A41">
      <w:pPr>
        <w:rPr>
          <w:rFonts w:asciiTheme="minorHAnsi" w:hAnsiTheme="minorHAnsi" w:cstheme="minorHAnsi"/>
        </w:rPr>
      </w:pPr>
      <w:r>
        <w:rPr>
          <w:rFonts w:asciiTheme="minorHAnsi" w:hAnsiTheme="minorHAnsi" w:cstheme="minorHAnsi"/>
        </w:rPr>
        <w:t>10</w:t>
      </w:r>
      <w:r w:rsidRPr="00B26096">
        <w:rPr>
          <w:rFonts w:asciiTheme="minorHAnsi" w:hAnsiTheme="minorHAnsi" w:cstheme="minorHAnsi"/>
        </w:rPr>
        <w:t>/</w:t>
      </w:r>
      <w:r>
        <w:rPr>
          <w:rFonts w:asciiTheme="minorHAnsi" w:hAnsiTheme="minorHAnsi" w:cstheme="minorHAnsi"/>
        </w:rPr>
        <w:t>20</w:t>
      </w:r>
      <w:r w:rsidRPr="00B26096">
        <w:rPr>
          <w:rFonts w:asciiTheme="minorHAnsi" w:hAnsiTheme="minorHAnsi" w:cstheme="minorHAnsi"/>
        </w:rPr>
        <w:t>/20</w:t>
      </w:r>
    </w:p>
    <w:p w14:paraId="14950F4F" w14:textId="77777777" w:rsidR="00004A41" w:rsidRDefault="00004A41" w:rsidP="00004A41"/>
    <w:p w14:paraId="3578FA07" w14:textId="2B49945E" w:rsidR="00004A41" w:rsidRPr="00F9292E" w:rsidRDefault="00004A41" w:rsidP="00F9292E">
      <w:pPr>
        <w:pStyle w:val="Title"/>
        <w:jc w:val="center"/>
        <w:rPr>
          <w:sz w:val="36"/>
          <w:szCs w:val="36"/>
          <w:u w:val="single"/>
        </w:rPr>
      </w:pPr>
      <w:r w:rsidRPr="00F9292E">
        <w:rPr>
          <w:sz w:val="36"/>
          <w:szCs w:val="36"/>
          <w:u w:val="single"/>
        </w:rPr>
        <w:t>The Effects of COVID-19 on US Exercise</w:t>
      </w:r>
    </w:p>
    <w:p w14:paraId="52C32ECC" w14:textId="77777777" w:rsidR="00004A41" w:rsidRPr="00EA4F9B" w:rsidRDefault="00004A41" w:rsidP="00004A41"/>
    <w:p w14:paraId="54CEB67D" w14:textId="6B04375F" w:rsidR="00163EA7" w:rsidRPr="00F9292E" w:rsidRDefault="00004A41" w:rsidP="00F9292E">
      <w:pPr>
        <w:pStyle w:val="Subtitle"/>
        <w:rPr>
          <w:rFonts w:asciiTheme="majorHAnsi" w:hAnsiTheme="majorHAnsi" w:cstheme="majorHAnsi"/>
          <w:color w:val="auto"/>
          <w:sz w:val="36"/>
          <w:szCs w:val="36"/>
        </w:rPr>
      </w:pPr>
      <w:r w:rsidRPr="00004A41">
        <w:rPr>
          <w:rFonts w:asciiTheme="majorHAnsi" w:hAnsiTheme="majorHAnsi" w:cstheme="majorHAnsi"/>
          <w:color w:val="auto"/>
          <w:sz w:val="36"/>
          <w:szCs w:val="36"/>
        </w:rPr>
        <w:t>Abstract</w:t>
      </w:r>
    </w:p>
    <w:p w14:paraId="11E6D503" w14:textId="77777777" w:rsidR="00004A41" w:rsidRPr="000742CD" w:rsidRDefault="00004A41" w:rsidP="000742CD">
      <w:pPr>
        <w:ind w:firstLine="720"/>
      </w:pPr>
      <w:r w:rsidRPr="000742CD">
        <w:t>COVID-19 changed many day-to-day habits and behaviors in the United States.</w:t>
      </w:r>
    </w:p>
    <w:p w14:paraId="1B011CB5" w14:textId="105FAF2E" w:rsidR="000742CD" w:rsidRPr="000742CD" w:rsidRDefault="00004A41" w:rsidP="000742CD">
      <w:r w:rsidRPr="000742CD">
        <w:t>Some behaviors changed naturally like Netflix watching, while others changed in accordance with government orders like indoor dining.</w:t>
      </w:r>
      <w:r w:rsidR="000742CD">
        <w:t xml:space="preserve"> </w:t>
      </w:r>
      <w:r w:rsidRPr="000742CD">
        <w:t>One day-to-day behavior in the US that seemingly changed both</w:t>
      </w:r>
      <w:r w:rsidR="000742CD">
        <w:t xml:space="preserve"> naturally and artificially</w:t>
      </w:r>
      <w:r w:rsidRPr="000742CD">
        <w:t xml:space="preserve"> is exercise.</w:t>
      </w:r>
      <w:r w:rsidR="000742CD">
        <w:t xml:space="preserve"> </w:t>
      </w:r>
      <w:r w:rsidRPr="000742CD">
        <w:t xml:space="preserve">Exercise is a large part of American health, and this project will analyze </w:t>
      </w:r>
      <w:r w:rsidR="000742CD">
        <w:t>its</w:t>
      </w:r>
      <w:r w:rsidRPr="000742CD">
        <w:t xml:space="preserve"> apparent change since the onset of COVID-19</w:t>
      </w:r>
      <w:r w:rsidR="000742CD" w:rsidRPr="000742CD">
        <w:t>.</w:t>
      </w:r>
      <w:r w:rsidR="000742CD">
        <w:t xml:space="preserve"> </w:t>
      </w:r>
      <w:r w:rsidRPr="000742CD">
        <w:t>More specifically, this project will use public datasets to measure the change in American exercise routines</w:t>
      </w:r>
      <w:r w:rsidR="00F9292E">
        <w:t xml:space="preserve">. </w:t>
      </w:r>
      <w:r w:rsidR="000742CD" w:rsidRPr="000742CD">
        <w:t>The goal of this project is to increase the knowledge about US behavioral change since the pandemic began with a healthy focus on exercise.</w:t>
      </w:r>
    </w:p>
    <w:p w14:paraId="3F8CD5BF" w14:textId="18F0DC07" w:rsidR="00004A41" w:rsidRDefault="00004A41"/>
    <w:p w14:paraId="3EFB8958" w14:textId="41D03168" w:rsidR="0060071F" w:rsidRPr="00F9292E" w:rsidRDefault="00004A41" w:rsidP="00F9292E">
      <w:pPr>
        <w:pStyle w:val="Subtitle"/>
        <w:rPr>
          <w:rFonts w:asciiTheme="majorHAnsi" w:hAnsiTheme="majorHAnsi" w:cstheme="majorHAnsi"/>
          <w:color w:val="auto"/>
          <w:sz w:val="36"/>
          <w:szCs w:val="36"/>
        </w:rPr>
      </w:pPr>
      <w:r w:rsidRPr="00004A41">
        <w:rPr>
          <w:rFonts w:asciiTheme="majorHAnsi" w:hAnsiTheme="majorHAnsi" w:cstheme="majorHAnsi"/>
          <w:color w:val="auto"/>
          <w:sz w:val="36"/>
          <w:szCs w:val="36"/>
        </w:rPr>
        <w:t>Literature Review</w:t>
      </w:r>
    </w:p>
    <w:p w14:paraId="24E18421" w14:textId="77777777" w:rsidR="00F9292E" w:rsidRPr="00F9292E" w:rsidRDefault="00F9292E" w:rsidP="00F9292E">
      <w:pPr>
        <w:rPr>
          <w:b/>
          <w:bCs/>
        </w:rPr>
      </w:pPr>
      <w:r w:rsidRPr="00F9292E">
        <w:rPr>
          <w:b/>
          <w:bCs/>
        </w:rPr>
        <w:t>COVID-19 Timeline and Government-imposed Business Closures</w:t>
      </w:r>
    </w:p>
    <w:p w14:paraId="7A96B2DD" w14:textId="77777777" w:rsidR="00F9292E" w:rsidRPr="00F9292E" w:rsidRDefault="00F9292E" w:rsidP="00F9292E">
      <w:pPr>
        <w:rPr>
          <w:b/>
          <w:bCs/>
        </w:rPr>
      </w:pPr>
    </w:p>
    <w:p w14:paraId="0258B011" w14:textId="77777777" w:rsidR="00F9292E" w:rsidRPr="00F9292E" w:rsidRDefault="00F9292E" w:rsidP="00F9292E">
      <w:pPr>
        <w:ind w:firstLine="720"/>
      </w:pPr>
      <w:r w:rsidRPr="00F9292E">
        <w:t>The Coronavirus disease 2019, COVID-19, was declared a global pandemic by the World Health Organization on March 11th, 2020 (WHO, 2020). As a response, the United States declared a national emergency on March 13th, 2020 to slow the spread of COVID-19. The national emergency imposed school closures, nonessential businesses closures, cancellation of large public gatherings, cancellation of as sporting and entertainment events (</w:t>
      </w:r>
      <w:proofErr w:type="spellStart"/>
      <w:r w:rsidRPr="00F9292E">
        <w:t>Chowell</w:t>
      </w:r>
      <w:proofErr w:type="spellEnd"/>
      <w:r w:rsidRPr="00F9292E">
        <w:t>, 2020), travel restrictions, quarantines for travelers, and stay-at-home orders implemented by governors and mayors (</w:t>
      </w:r>
      <w:proofErr w:type="spellStart"/>
      <w:r w:rsidRPr="00F9292E">
        <w:t>Gostin</w:t>
      </w:r>
      <w:proofErr w:type="spellEnd"/>
      <w:r w:rsidRPr="00F9292E">
        <w:t xml:space="preserve"> &amp; Wiley, 2020). In relation to exercise, these government orders closed commercial gyms, discouraged sharing fitness equipment, and ceased group exercise of 10 or more people (Ramirez-</w:t>
      </w:r>
      <w:proofErr w:type="spellStart"/>
      <w:r w:rsidRPr="00F9292E">
        <w:t>Campillo</w:t>
      </w:r>
      <w:proofErr w:type="spellEnd"/>
      <w:r w:rsidRPr="00F9292E">
        <w:t xml:space="preserve"> &amp; Souza, 2020).</w:t>
      </w:r>
    </w:p>
    <w:p w14:paraId="1F671F52" w14:textId="77777777" w:rsidR="00F9292E" w:rsidRPr="00F9292E" w:rsidRDefault="00F9292E" w:rsidP="00F9292E">
      <w:pPr>
        <w:rPr>
          <w:b/>
          <w:bCs/>
        </w:rPr>
      </w:pPr>
    </w:p>
    <w:p w14:paraId="52294789" w14:textId="77777777" w:rsidR="00F9292E" w:rsidRPr="00F9292E" w:rsidRDefault="00F9292E" w:rsidP="00F9292E">
      <w:pPr>
        <w:rPr>
          <w:b/>
          <w:bCs/>
        </w:rPr>
      </w:pPr>
      <w:r w:rsidRPr="00F9292E">
        <w:rPr>
          <w:b/>
          <w:bCs/>
        </w:rPr>
        <w:t>COVID-19 US Attitude Changes and New Normal</w:t>
      </w:r>
    </w:p>
    <w:p w14:paraId="14AA2CD6" w14:textId="77777777" w:rsidR="00F9292E" w:rsidRPr="00F9292E" w:rsidRDefault="00F9292E" w:rsidP="00F9292E">
      <w:pPr>
        <w:rPr>
          <w:b/>
          <w:bCs/>
        </w:rPr>
      </w:pPr>
    </w:p>
    <w:p w14:paraId="5F86CDF4" w14:textId="56FA2246" w:rsidR="00F9292E" w:rsidRDefault="00F9292E" w:rsidP="00F9292E">
      <w:pPr>
        <w:ind w:firstLine="720"/>
      </w:pPr>
      <w:r w:rsidRPr="00F9292E">
        <w:t>Due to the global pandemic and US national emergency, the behavior and attitude of US public changed. Surveys from May 5-12, 2020 showed US citizens avoided groups of 10 or more persons and agreed with rules that prohibited inside dining (Tynan &amp; Howard, 2020). Another study by the CDC showed a drastic decrease in US population movement from state-to-state during March, April, and May 2020 (Herlihy &amp; Tynan, 2020). All this change is continually shaping a “new normal” in the United States (Roberts &amp; Tehrani, 2020).</w:t>
      </w:r>
    </w:p>
    <w:p w14:paraId="5501B5D7" w14:textId="77777777" w:rsidR="00F9292E" w:rsidRPr="00F9292E" w:rsidRDefault="00F9292E" w:rsidP="00F9292E">
      <w:pPr>
        <w:ind w:firstLine="720"/>
      </w:pPr>
    </w:p>
    <w:p w14:paraId="5197FD08" w14:textId="77777777" w:rsidR="00F9292E" w:rsidRPr="00F9292E" w:rsidRDefault="00F9292E" w:rsidP="00F9292E">
      <w:pPr>
        <w:ind w:firstLine="720"/>
      </w:pPr>
      <w:r w:rsidRPr="00F9292E">
        <w:lastRenderedPageBreak/>
        <w:t>Some early and obvious differences are in this “new normal” are well-covered, like more working from home (Ahmad, 2020) and Netflix subscriptions (Dias, 2020). But there is not extensive research about the “new normal” regarding US exercise. Thus, this project will dig into the changes of this large component of American health (Fletcher et al., 1992)</w:t>
      </w:r>
    </w:p>
    <w:p w14:paraId="4ED2EB41" w14:textId="77777777" w:rsidR="00F9292E" w:rsidRPr="00F9292E" w:rsidRDefault="00F9292E" w:rsidP="00F9292E">
      <w:pPr>
        <w:rPr>
          <w:b/>
          <w:bCs/>
        </w:rPr>
      </w:pPr>
    </w:p>
    <w:p w14:paraId="0C98042B" w14:textId="77777777" w:rsidR="00F9292E" w:rsidRPr="00F9292E" w:rsidRDefault="00F9292E" w:rsidP="00F9292E">
      <w:pPr>
        <w:rPr>
          <w:b/>
          <w:bCs/>
        </w:rPr>
      </w:pPr>
      <w:r w:rsidRPr="00F9292E">
        <w:rPr>
          <w:b/>
          <w:bCs/>
        </w:rPr>
        <w:t>Relationship between Podcast Data and US Exercise Behavior</w:t>
      </w:r>
    </w:p>
    <w:p w14:paraId="3EE49A25" w14:textId="77777777" w:rsidR="00F9292E" w:rsidRPr="00F9292E" w:rsidRDefault="00F9292E" w:rsidP="00F9292E">
      <w:pPr>
        <w:rPr>
          <w:b/>
          <w:bCs/>
        </w:rPr>
      </w:pPr>
    </w:p>
    <w:p w14:paraId="62FA63F1" w14:textId="3DA9CDDA" w:rsidR="00F9292E" w:rsidRDefault="00F9292E" w:rsidP="00F9292E">
      <w:r w:rsidRPr="00F9292E">
        <w:tab/>
        <w:t>As humans, our interests are complicated. We are interested in many topics, some with greater magnitude and some for different reasons. For this project, it is important to consider that we are interested in topics that are relevant to ourselves (</w:t>
      </w:r>
      <w:proofErr w:type="spellStart"/>
      <w:r w:rsidRPr="00F9292E">
        <w:t>Tobarra</w:t>
      </w:r>
      <w:proofErr w:type="spellEnd"/>
      <w:r w:rsidRPr="00F9292E">
        <w:t xml:space="preserve">, Robles-Gómez, Ros, Hernández, &amp; </w:t>
      </w:r>
      <w:proofErr w:type="spellStart"/>
      <w:r w:rsidRPr="00F9292E">
        <w:t>Caminero</w:t>
      </w:r>
      <w:proofErr w:type="spellEnd"/>
      <w:r w:rsidRPr="00F9292E">
        <w:t>, 2014). This link between interest and relevancy is important, although not perfect, because it allows us to use data regarding interest as a proxy for relevance.</w:t>
      </w:r>
    </w:p>
    <w:p w14:paraId="364AE862" w14:textId="77777777" w:rsidR="00F9292E" w:rsidRPr="00F9292E" w:rsidRDefault="00F9292E" w:rsidP="00F9292E"/>
    <w:p w14:paraId="7E1283EA" w14:textId="3AD900F9" w:rsidR="0060071F" w:rsidRPr="00F9292E" w:rsidRDefault="00F9292E" w:rsidP="00F9292E">
      <w:r w:rsidRPr="00F9292E">
        <w:tab/>
        <w:t>One source of data regarding interest that is prevalent and available to us is podcast data. Podcasts have drastically gained popularity since 2014 (</w:t>
      </w:r>
      <w:proofErr w:type="spellStart"/>
      <w:r w:rsidRPr="00F9292E">
        <w:t>Durrani</w:t>
      </w:r>
      <w:proofErr w:type="spellEnd"/>
      <w:r w:rsidRPr="00F9292E">
        <w:t xml:space="preserve">, </w:t>
      </w:r>
      <w:proofErr w:type="spellStart"/>
      <w:r w:rsidRPr="00F9292E">
        <w:t>Gotkin</w:t>
      </w:r>
      <w:proofErr w:type="spellEnd"/>
      <w:r w:rsidRPr="00F9292E">
        <w:t>, &amp; Laughlin, 2015) and podcasts with consistent episodes indicate an interested audience (</w:t>
      </w:r>
      <w:proofErr w:type="spellStart"/>
      <w:r w:rsidRPr="00F9292E">
        <w:t>Mcclung</w:t>
      </w:r>
      <w:proofErr w:type="spellEnd"/>
      <w:r w:rsidRPr="00F9292E">
        <w:t xml:space="preserve"> &amp; Johnson, 2010). Thus, this project leverages podcast data to measure 7 types of exercise in the US. The podcasts used in this project were chosen because they are the top exercise podcasts in the US according to Spotify.</w:t>
      </w:r>
    </w:p>
    <w:p w14:paraId="7FB32F91" w14:textId="38848720" w:rsidR="0060071F" w:rsidRDefault="0060071F" w:rsidP="00004A41">
      <w:pPr>
        <w:rPr>
          <w:b/>
          <w:bCs/>
        </w:rPr>
      </w:pPr>
    </w:p>
    <w:p w14:paraId="1C934DA3" w14:textId="2A725313" w:rsidR="00163EA7" w:rsidRPr="00FB7FC9" w:rsidRDefault="00CF08BA" w:rsidP="00FB7FC9">
      <w:pPr>
        <w:pStyle w:val="Subtitle"/>
        <w:rPr>
          <w:rFonts w:asciiTheme="majorHAnsi" w:hAnsiTheme="majorHAnsi" w:cstheme="majorHAnsi"/>
          <w:color w:val="auto"/>
          <w:sz w:val="36"/>
          <w:szCs w:val="36"/>
        </w:rPr>
      </w:pPr>
      <w:r>
        <w:rPr>
          <w:rFonts w:asciiTheme="majorHAnsi" w:hAnsiTheme="majorHAnsi" w:cstheme="majorHAnsi"/>
          <w:color w:val="auto"/>
          <w:sz w:val="36"/>
          <w:szCs w:val="36"/>
        </w:rPr>
        <w:t>Resources</w:t>
      </w:r>
    </w:p>
    <w:p w14:paraId="464149DD" w14:textId="195FD96F" w:rsidR="002E028A" w:rsidRDefault="00163EA7" w:rsidP="00FB7FC9">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B116FB">
        <w:rPr>
          <w:rFonts w:ascii="Times New Roman" w:eastAsia="Times New Roman" w:hAnsi="Times New Roman" w:cs="Times New Roman"/>
          <w:color w:val="auto"/>
          <w:sz w:val="24"/>
          <w:szCs w:val="24"/>
        </w:rPr>
        <w:t>WHO.</w:t>
      </w:r>
      <w:proofErr w:type="gramEnd"/>
      <w:r w:rsidRPr="00B116FB">
        <w:rPr>
          <w:rFonts w:ascii="Times New Roman" w:eastAsia="Times New Roman" w:hAnsi="Times New Roman" w:cs="Times New Roman"/>
          <w:color w:val="auto"/>
          <w:sz w:val="24"/>
          <w:szCs w:val="24"/>
        </w:rPr>
        <w:t xml:space="preserve"> (2020, June 29). Listings of WHO's response to COVID-19. Retrieved October 20, 2020, from </w:t>
      </w:r>
      <w:hyperlink r:id="rId6" w:history="1">
        <w:r w:rsidR="002E028A" w:rsidRPr="00416457">
          <w:rPr>
            <w:rStyle w:val="Hyperlink"/>
            <w:rFonts w:ascii="Times New Roman" w:eastAsia="Times New Roman" w:hAnsi="Times New Roman" w:cs="Times New Roman"/>
            <w:sz w:val="24"/>
            <w:szCs w:val="24"/>
          </w:rPr>
          <w:t>https://www.who.int/news/item/29-06-2020-covidtimeline</w:t>
        </w:r>
      </w:hyperlink>
    </w:p>
    <w:p w14:paraId="4458AEF0" w14:textId="33DD4125" w:rsidR="00163EA7" w:rsidRDefault="00163EA7" w:rsidP="00FB7FC9">
      <w:pPr>
        <w:pStyle w:val="NormalWeb"/>
        <w:ind w:left="567" w:hanging="567"/>
      </w:pPr>
      <w:proofErr w:type="spellStart"/>
      <w:r>
        <w:t>Chowell</w:t>
      </w:r>
      <w:proofErr w:type="spellEnd"/>
      <w:r>
        <w:t xml:space="preserve">, G. (2020). The COVID-19 pandemic in the USA: What might we expect? </w:t>
      </w:r>
      <w:r>
        <w:rPr>
          <w:i/>
          <w:iCs/>
        </w:rPr>
        <w:t>The Lancet,</w:t>
      </w:r>
      <w:r>
        <w:t xml:space="preserve"> </w:t>
      </w:r>
      <w:r>
        <w:rPr>
          <w:i/>
          <w:iCs/>
        </w:rPr>
        <w:t>395</w:t>
      </w:r>
      <w:r>
        <w:t xml:space="preserve">(10230), 1093-1094. </w:t>
      </w:r>
      <w:proofErr w:type="spellStart"/>
      <w:proofErr w:type="gramStart"/>
      <w:r>
        <w:t>doi:https</w:t>
      </w:r>
      <w:proofErr w:type="spellEnd"/>
      <w:r>
        <w:t>://doi.org/10.1016/S0140-6736(20)30743-1</w:t>
      </w:r>
      <w:proofErr w:type="gramEnd"/>
    </w:p>
    <w:p w14:paraId="4913B3C8" w14:textId="4188F027" w:rsidR="00163EA7" w:rsidRDefault="00163EA7" w:rsidP="00FB7FC9">
      <w:pPr>
        <w:pStyle w:val="NormalWeb"/>
        <w:ind w:left="567" w:hanging="567"/>
      </w:pPr>
      <w:proofErr w:type="spellStart"/>
      <w:r>
        <w:t>Gostin</w:t>
      </w:r>
      <w:proofErr w:type="spellEnd"/>
      <w:r>
        <w:t xml:space="preserve">, L. O., &amp; Wiley, L. F. (2020). Governmental Public Health Powers During the COVID-19 Pandemic. </w:t>
      </w:r>
      <w:r>
        <w:rPr>
          <w:i/>
          <w:iCs/>
        </w:rPr>
        <w:t>Jama,</w:t>
      </w:r>
      <w:r>
        <w:t xml:space="preserve"> </w:t>
      </w:r>
      <w:r>
        <w:rPr>
          <w:i/>
          <w:iCs/>
        </w:rPr>
        <w:t>323</w:t>
      </w:r>
      <w:r>
        <w:t>(21), 2137-2138. doi:10.1001/jama.2020.5460</w:t>
      </w:r>
    </w:p>
    <w:p w14:paraId="21CF0F07" w14:textId="3D71D2A6" w:rsidR="002E028A" w:rsidRDefault="00163EA7" w:rsidP="00FB7FC9">
      <w:pPr>
        <w:pStyle w:val="NormalWeb"/>
        <w:ind w:left="567" w:hanging="567"/>
      </w:pPr>
      <w:proofErr w:type="spellStart"/>
      <w:r w:rsidRPr="000477BF">
        <w:t>Czeisler</w:t>
      </w:r>
      <w:proofErr w:type="spellEnd"/>
      <w:r w:rsidRPr="000477BF">
        <w:t xml:space="preserve"> MÉ, Tynan MA, Howard ME, et al. Public Attitudes, Behaviors, and Beliefs Related to COVID-19, Stay-at-Home Orders, Nonessential Business Closures, and Public Health Guidance — United States, New York City, and Los Angeles, May 5–12, 2020. </w:t>
      </w:r>
      <w:r w:rsidRPr="000477BF">
        <w:rPr>
          <w:i/>
          <w:iCs/>
        </w:rPr>
        <w:t xml:space="preserve">MMWR </w:t>
      </w:r>
      <w:proofErr w:type="spellStart"/>
      <w:r w:rsidRPr="000477BF">
        <w:rPr>
          <w:i/>
          <w:iCs/>
        </w:rPr>
        <w:t>Morb</w:t>
      </w:r>
      <w:proofErr w:type="spellEnd"/>
      <w:r w:rsidRPr="000477BF">
        <w:rPr>
          <w:i/>
          <w:iCs/>
        </w:rPr>
        <w:t xml:space="preserve"> Mortal </w:t>
      </w:r>
      <w:proofErr w:type="spellStart"/>
      <w:r w:rsidRPr="000477BF">
        <w:rPr>
          <w:i/>
          <w:iCs/>
        </w:rPr>
        <w:t>Wkly</w:t>
      </w:r>
      <w:proofErr w:type="spellEnd"/>
      <w:r w:rsidRPr="000477BF">
        <w:rPr>
          <w:i/>
          <w:iCs/>
        </w:rPr>
        <w:t xml:space="preserve"> Rep</w:t>
      </w:r>
      <w:r w:rsidRPr="000477BF">
        <w:t xml:space="preserve"> </w:t>
      </w:r>
      <w:proofErr w:type="gramStart"/>
      <w:r w:rsidRPr="000477BF">
        <w:t>2020;69:751</w:t>
      </w:r>
      <w:proofErr w:type="gramEnd"/>
      <w:r w:rsidRPr="000477BF">
        <w:t>–758.</w:t>
      </w:r>
      <w:r w:rsidR="000477BF">
        <w:t xml:space="preserve"> </w:t>
      </w:r>
      <w:r w:rsidRPr="000477BF">
        <w:t>DOI: </w:t>
      </w:r>
      <w:hyperlink r:id="rId7" w:tgtFrame="_blank" w:history="1">
        <w:r w:rsidRPr="000477BF">
          <w:t>http://dx.doi.org/10.15585/mmwr.mm6924e1external icon</w:t>
        </w:r>
      </w:hyperlink>
    </w:p>
    <w:p w14:paraId="6C802F96" w14:textId="0335AEDD" w:rsidR="002E028A" w:rsidRDefault="002E028A" w:rsidP="00FB7FC9">
      <w:pPr>
        <w:pStyle w:val="NormalWeb"/>
        <w:ind w:left="567" w:hanging="567"/>
      </w:pPr>
      <w:r w:rsidRPr="002E028A">
        <w:t xml:space="preserve">Moreland A, Herlihy C, Tynan MA, et al. Timing of State and Territorial COVID-19 Stay-at-Home Orders and Changes in Population Movement — United States, March 1–May 31, 2020. </w:t>
      </w:r>
      <w:r w:rsidRPr="002E028A">
        <w:rPr>
          <w:i/>
          <w:iCs/>
        </w:rPr>
        <w:t xml:space="preserve">MMWR </w:t>
      </w:r>
      <w:proofErr w:type="spellStart"/>
      <w:r w:rsidRPr="002E028A">
        <w:rPr>
          <w:i/>
          <w:iCs/>
        </w:rPr>
        <w:t>Morb</w:t>
      </w:r>
      <w:proofErr w:type="spellEnd"/>
      <w:r w:rsidRPr="002E028A">
        <w:rPr>
          <w:i/>
          <w:iCs/>
        </w:rPr>
        <w:t xml:space="preserve"> Mortal </w:t>
      </w:r>
      <w:proofErr w:type="spellStart"/>
      <w:r w:rsidRPr="002E028A">
        <w:rPr>
          <w:i/>
          <w:iCs/>
        </w:rPr>
        <w:t>Wkly</w:t>
      </w:r>
      <w:proofErr w:type="spellEnd"/>
      <w:r w:rsidRPr="002E028A">
        <w:rPr>
          <w:i/>
          <w:iCs/>
        </w:rPr>
        <w:t xml:space="preserve"> Rep</w:t>
      </w:r>
      <w:r w:rsidRPr="002E028A">
        <w:t xml:space="preserve"> </w:t>
      </w:r>
      <w:proofErr w:type="gramStart"/>
      <w:r w:rsidRPr="002E028A">
        <w:t>2020;69:1198</w:t>
      </w:r>
      <w:proofErr w:type="gramEnd"/>
      <w:r w:rsidRPr="002E028A">
        <w:t>–1203. DOI: </w:t>
      </w:r>
      <w:hyperlink r:id="rId8" w:tgtFrame="_blank" w:history="1">
        <w:r w:rsidRPr="002E028A">
          <w:t>http://dx.doi.org/10.15585/mmwr.mm6935a2external icon</w:t>
        </w:r>
      </w:hyperlink>
      <w:r w:rsidRPr="002E028A">
        <w:t>.</w:t>
      </w:r>
    </w:p>
    <w:p w14:paraId="1D2BB21C" w14:textId="3D81FC13" w:rsidR="002E028A" w:rsidRDefault="002E028A" w:rsidP="00FB7FC9">
      <w:pPr>
        <w:pStyle w:val="NormalWeb"/>
        <w:ind w:left="567" w:hanging="567"/>
      </w:pPr>
      <w:r>
        <w:t xml:space="preserve">Roberts, J. D., &amp; Tehrani, S. O. (2020). Environments, Behaviors, and Inequalities: Reflecting on the Impacts of the Influenza and Coronavirus Pandemics in the United States. </w:t>
      </w:r>
      <w:r>
        <w:rPr>
          <w:i/>
          <w:iCs/>
        </w:rPr>
        <w:lastRenderedPageBreak/>
        <w:t>International Journal of Environmental Research and Public Health,</w:t>
      </w:r>
      <w:r>
        <w:t xml:space="preserve"> </w:t>
      </w:r>
      <w:r>
        <w:rPr>
          <w:i/>
          <w:iCs/>
        </w:rPr>
        <w:t>17</w:t>
      </w:r>
      <w:r>
        <w:t xml:space="preserve">(12). </w:t>
      </w:r>
      <w:proofErr w:type="spellStart"/>
      <w:proofErr w:type="gramStart"/>
      <w:r>
        <w:t>doi:https</w:t>
      </w:r>
      <w:proofErr w:type="spellEnd"/>
      <w:r>
        <w:t>://doi.org/10.3390/ijerph17124484</w:t>
      </w:r>
      <w:proofErr w:type="gramEnd"/>
    </w:p>
    <w:p w14:paraId="423FE814" w14:textId="073C2C0B" w:rsidR="008330B7" w:rsidRDefault="00454E5D" w:rsidP="00FB7FC9">
      <w:pPr>
        <w:pStyle w:val="NormalWeb"/>
        <w:ind w:left="567" w:hanging="567"/>
      </w:pPr>
      <w:r w:rsidRPr="00454E5D">
        <w:t>Gentil, P., Ramirez-</w:t>
      </w:r>
      <w:proofErr w:type="spellStart"/>
      <w:r w:rsidRPr="00454E5D">
        <w:t>Campillo</w:t>
      </w:r>
      <w:proofErr w:type="spellEnd"/>
      <w:r w:rsidRPr="00454E5D">
        <w:t>, R., &amp; Souza, D. (2020). Resistance Training in Face of the Coronavirus Outbreak: Time to Think Outside the Box. </w:t>
      </w:r>
      <w:r w:rsidRPr="00454E5D">
        <w:rPr>
          <w:i/>
          <w:iCs/>
        </w:rPr>
        <w:t>Frontiers in physiology</w:t>
      </w:r>
      <w:r w:rsidRPr="00454E5D">
        <w:t>, 11, 859. https://doi.org/10.3389/fphys.2020.00859</w:t>
      </w:r>
    </w:p>
    <w:p w14:paraId="1701BD84" w14:textId="56E30233" w:rsidR="008330B7" w:rsidRDefault="008330B7" w:rsidP="000477BF">
      <w:pPr>
        <w:pStyle w:val="NormalWeb"/>
        <w:ind w:left="567" w:hanging="567"/>
      </w:pPr>
      <w:r w:rsidRPr="008330B7">
        <w:t xml:space="preserve">Ahmad, Tabrez, Corona Virus (COVID-19) Pandemic and Work from Home: Challenges of Cybercrimes and Cybersecurity (April 5, 2020). </w:t>
      </w:r>
      <w:hyperlink r:id="rId9" w:tgtFrame="_blank" w:history="1">
        <w:r w:rsidRPr="008330B7">
          <w:t>http://dx.doi.org/10.2139/ssrn.3568830</w:t>
        </w:r>
      </w:hyperlink>
    </w:p>
    <w:p w14:paraId="1E7B692C" w14:textId="77777777" w:rsidR="008330B7" w:rsidRDefault="008330B7" w:rsidP="008330B7">
      <w:pPr>
        <w:pStyle w:val="NormalWeb"/>
        <w:ind w:left="567" w:hanging="567"/>
      </w:pPr>
      <w:r>
        <w:t xml:space="preserve">Dias, M. (2020). NETFLIX: FROM APOLLO 13 TO THE CORONAVIRUS PANDEMIC. </w:t>
      </w:r>
      <w:r>
        <w:rPr>
          <w:i/>
          <w:iCs/>
        </w:rPr>
        <w:t>Global Scientific Journal,</w:t>
      </w:r>
      <w:r>
        <w:t xml:space="preserve"> </w:t>
      </w:r>
      <w:r>
        <w:rPr>
          <w:i/>
          <w:iCs/>
        </w:rPr>
        <w:t>8</w:t>
      </w:r>
      <w:r>
        <w:t>(8). doi:10.11216/gsj.2020.08.42678</w:t>
      </w:r>
    </w:p>
    <w:p w14:paraId="29C4CB35" w14:textId="77777777" w:rsidR="00DC58D3" w:rsidRDefault="00DC58D3" w:rsidP="00DC58D3">
      <w:pPr>
        <w:pStyle w:val="NormalWeb"/>
        <w:ind w:left="567" w:hanging="567"/>
      </w:pPr>
      <w:r>
        <w:t xml:space="preserve">Fletcher, G. F., Blair, S. N., Blumenthal, J., Caspersen, C., </w:t>
      </w:r>
      <w:proofErr w:type="spellStart"/>
      <w:r>
        <w:t>Chaitman</w:t>
      </w:r>
      <w:proofErr w:type="spellEnd"/>
      <w:r>
        <w:t xml:space="preserve">, B., Epstein, S., . . . Pina, I. L. (1992). Statement on exercise. Benefits and recommendations for physical activity programs for all Americans. A statement for health professionals by the Committee on Exercise and Cardiac Rehabilitation of the Council on Clinical Cardiology, American Heart association. </w:t>
      </w:r>
      <w:r>
        <w:rPr>
          <w:i/>
          <w:iCs/>
        </w:rPr>
        <w:t>Circulation,</w:t>
      </w:r>
      <w:r>
        <w:t xml:space="preserve"> </w:t>
      </w:r>
      <w:r>
        <w:rPr>
          <w:i/>
          <w:iCs/>
        </w:rPr>
        <w:t>86</w:t>
      </w:r>
      <w:r>
        <w:t xml:space="preserve">(1), 340-344. </w:t>
      </w:r>
      <w:proofErr w:type="gramStart"/>
      <w:r>
        <w:t>doi:10.1161/01.cir</w:t>
      </w:r>
      <w:proofErr w:type="gramEnd"/>
      <w:r>
        <w:t>.86.1.340</w:t>
      </w:r>
    </w:p>
    <w:p w14:paraId="72227361" w14:textId="77777777" w:rsidR="00D455E6" w:rsidRDefault="00D455E6" w:rsidP="00D455E6">
      <w:pPr>
        <w:pStyle w:val="NormalWeb"/>
        <w:ind w:left="567" w:hanging="567"/>
      </w:pPr>
      <w:proofErr w:type="spellStart"/>
      <w:r>
        <w:t>Bollen</w:t>
      </w:r>
      <w:proofErr w:type="spellEnd"/>
      <w:r>
        <w:t xml:space="preserve">, J., &amp; Mao, H. (2011). Twitter Mood as a Stock Market Predictor. </w:t>
      </w:r>
      <w:r>
        <w:rPr>
          <w:i/>
          <w:iCs/>
        </w:rPr>
        <w:t>Computer,</w:t>
      </w:r>
      <w:r>
        <w:t xml:space="preserve"> </w:t>
      </w:r>
      <w:r>
        <w:rPr>
          <w:i/>
          <w:iCs/>
        </w:rPr>
        <w:t>44</w:t>
      </w:r>
      <w:r>
        <w:t xml:space="preserve">(10), 91-94. </w:t>
      </w:r>
      <w:proofErr w:type="spellStart"/>
      <w:proofErr w:type="gramStart"/>
      <w:r>
        <w:t>doi:https</w:t>
      </w:r>
      <w:proofErr w:type="spellEnd"/>
      <w:r>
        <w:t>://doi.org/10.1016/j.jocs.2010.12.007</w:t>
      </w:r>
      <w:proofErr w:type="gramEnd"/>
    </w:p>
    <w:p w14:paraId="17922363" w14:textId="77777777" w:rsidR="00E400D8" w:rsidRDefault="00E400D8" w:rsidP="00E400D8">
      <w:pPr>
        <w:pStyle w:val="NormalWeb"/>
        <w:ind w:left="567" w:hanging="567"/>
      </w:pPr>
      <w:r>
        <w:t xml:space="preserve">Chu, S., Chen, H., &amp; Sung, Y. (2015). Following brands on Twitter: An extension of theory of planned behavior. </w:t>
      </w:r>
      <w:r>
        <w:rPr>
          <w:i/>
          <w:iCs/>
        </w:rPr>
        <w:t>International Journal of Advertising,</w:t>
      </w:r>
      <w:r>
        <w:t xml:space="preserve"> </w:t>
      </w:r>
      <w:r>
        <w:rPr>
          <w:i/>
          <w:iCs/>
        </w:rPr>
        <w:t>35</w:t>
      </w:r>
      <w:r>
        <w:t>(3), 421-437. doi:10.1080/02650487.2015.1037708</w:t>
      </w:r>
    </w:p>
    <w:p w14:paraId="2D27E110" w14:textId="77777777" w:rsidR="008E17F8" w:rsidRDefault="008E17F8" w:rsidP="008E17F8">
      <w:pPr>
        <w:pStyle w:val="NormalWeb"/>
        <w:ind w:left="567" w:hanging="567"/>
      </w:pPr>
      <w:r>
        <w:t xml:space="preserve">Ngoc, L. (2014). Behavior Pattern of Individual Investors in Stock Market. </w:t>
      </w:r>
      <w:r>
        <w:rPr>
          <w:i/>
          <w:iCs/>
        </w:rPr>
        <w:t>International Journal of Business and Management,</w:t>
      </w:r>
      <w:r>
        <w:t xml:space="preserve"> </w:t>
      </w:r>
      <w:r>
        <w:rPr>
          <w:i/>
          <w:iCs/>
        </w:rPr>
        <w:t>9</w:t>
      </w:r>
      <w:r>
        <w:t>(1). doi:10.5539/</w:t>
      </w:r>
      <w:proofErr w:type="gramStart"/>
      <w:r>
        <w:t>ijbm.v</w:t>
      </w:r>
      <w:proofErr w:type="gramEnd"/>
      <w:r>
        <w:t>9n1p1</w:t>
      </w:r>
    </w:p>
    <w:p w14:paraId="4CED2644" w14:textId="77777777" w:rsidR="001E45DE" w:rsidRDefault="001E45DE" w:rsidP="001E45DE">
      <w:pPr>
        <w:pStyle w:val="NormalWeb"/>
        <w:ind w:left="567" w:hanging="567"/>
      </w:pPr>
      <w:r>
        <w:t xml:space="preserve">Zhang, H., </w:t>
      </w:r>
      <w:proofErr w:type="spellStart"/>
      <w:r>
        <w:t>Dantu</w:t>
      </w:r>
      <w:proofErr w:type="spellEnd"/>
      <w:r>
        <w:t xml:space="preserve">, R., &amp; </w:t>
      </w:r>
      <w:proofErr w:type="spellStart"/>
      <w:r>
        <w:t>Cangussu</w:t>
      </w:r>
      <w:proofErr w:type="spellEnd"/>
      <w:r>
        <w:t xml:space="preserve">, J. W. (2011). </w:t>
      </w:r>
      <w:proofErr w:type="spellStart"/>
      <w:r>
        <w:t>Socioscope</w:t>
      </w:r>
      <w:proofErr w:type="spellEnd"/>
      <w:r>
        <w:t xml:space="preserve">: Human Relationship and Behavior Analysis in Social Networks. </w:t>
      </w:r>
      <w:r>
        <w:rPr>
          <w:i/>
          <w:iCs/>
        </w:rPr>
        <w:t>IEEE Transactions on Systems, Man, and Cybernetics - Part A: Systems and Humans,</w:t>
      </w:r>
      <w:r>
        <w:t xml:space="preserve"> </w:t>
      </w:r>
      <w:r>
        <w:rPr>
          <w:i/>
          <w:iCs/>
        </w:rPr>
        <w:t>41</w:t>
      </w:r>
      <w:r>
        <w:t>(6), 1122-1143. doi:10.1109/tsmca.2011.2113335</w:t>
      </w:r>
    </w:p>
    <w:p w14:paraId="0DCAD199" w14:textId="77777777" w:rsidR="003E4C94" w:rsidRDefault="003E4C94" w:rsidP="003E4C94">
      <w:pPr>
        <w:pStyle w:val="NormalWeb"/>
        <w:ind w:left="567" w:hanging="567"/>
      </w:pPr>
      <w:r>
        <w:t xml:space="preserve">Markman, K. M., &amp; Sawyer, C. E. (2014). Why Pod? Further Explorations of the Motivations for Independent Podcasting. </w:t>
      </w:r>
      <w:r>
        <w:rPr>
          <w:i/>
          <w:iCs/>
        </w:rPr>
        <w:t>Journal of Radio &amp; Audio Media,</w:t>
      </w:r>
      <w:r>
        <w:t xml:space="preserve"> </w:t>
      </w:r>
      <w:r>
        <w:rPr>
          <w:i/>
          <w:iCs/>
        </w:rPr>
        <w:t>21</w:t>
      </w:r>
      <w:r>
        <w:t>(1), 20-35. doi:10.1080/19376529.2014.891211</w:t>
      </w:r>
    </w:p>
    <w:p w14:paraId="37154065" w14:textId="616BEF3F" w:rsidR="00DC58D3" w:rsidRDefault="004268C0" w:rsidP="004268C0">
      <w:pPr>
        <w:pStyle w:val="NormalWeb"/>
        <w:ind w:left="567" w:hanging="567"/>
      </w:pPr>
      <w:proofErr w:type="spellStart"/>
      <w:r>
        <w:t>Mchugh</w:t>
      </w:r>
      <w:proofErr w:type="spellEnd"/>
      <w:r>
        <w:t xml:space="preserve">, S. (2020). Wide angle: Podcasts: Radio reinvented. </w:t>
      </w:r>
      <w:r>
        <w:rPr>
          <w:i/>
          <w:iCs/>
        </w:rPr>
        <w:t>The UNESCO Courier,</w:t>
      </w:r>
      <w:r>
        <w:t xml:space="preserve"> </w:t>
      </w:r>
      <w:r>
        <w:rPr>
          <w:i/>
          <w:iCs/>
        </w:rPr>
        <w:t>2020</w:t>
      </w:r>
      <w:r>
        <w:t>(1), 6-9. doi:10.18356/4c5699b4-en</w:t>
      </w:r>
    </w:p>
    <w:sectPr w:rsidR="00DC58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AB3A5" w14:textId="77777777" w:rsidR="003479BA" w:rsidRDefault="003479BA" w:rsidP="00CF08BA">
      <w:pPr>
        <w:spacing w:line="240" w:lineRule="auto"/>
      </w:pPr>
      <w:r>
        <w:separator/>
      </w:r>
    </w:p>
  </w:endnote>
  <w:endnote w:type="continuationSeparator" w:id="0">
    <w:p w14:paraId="03C66FD9" w14:textId="77777777" w:rsidR="003479BA" w:rsidRDefault="003479BA" w:rsidP="00CF0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96D09" w14:textId="77777777" w:rsidR="003479BA" w:rsidRDefault="003479BA" w:rsidP="00CF08BA">
      <w:pPr>
        <w:spacing w:line="240" w:lineRule="auto"/>
      </w:pPr>
      <w:r>
        <w:separator/>
      </w:r>
    </w:p>
  </w:footnote>
  <w:footnote w:type="continuationSeparator" w:id="0">
    <w:p w14:paraId="1FC5B720" w14:textId="77777777" w:rsidR="003479BA" w:rsidRDefault="003479BA" w:rsidP="00CF08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1"/>
    <w:rsid w:val="00004A41"/>
    <w:rsid w:val="000477BF"/>
    <w:rsid w:val="000742CD"/>
    <w:rsid w:val="00163EA7"/>
    <w:rsid w:val="001A4502"/>
    <w:rsid w:val="001E45DE"/>
    <w:rsid w:val="002E028A"/>
    <w:rsid w:val="003479BA"/>
    <w:rsid w:val="003E4C94"/>
    <w:rsid w:val="004268C0"/>
    <w:rsid w:val="00454E5D"/>
    <w:rsid w:val="0060071F"/>
    <w:rsid w:val="00650947"/>
    <w:rsid w:val="006639F8"/>
    <w:rsid w:val="0076218A"/>
    <w:rsid w:val="008277C3"/>
    <w:rsid w:val="008330B7"/>
    <w:rsid w:val="00893770"/>
    <w:rsid w:val="008E17F8"/>
    <w:rsid w:val="00BC7DF4"/>
    <w:rsid w:val="00CF08BA"/>
    <w:rsid w:val="00D1225E"/>
    <w:rsid w:val="00D455E6"/>
    <w:rsid w:val="00DC58D3"/>
    <w:rsid w:val="00E400D8"/>
    <w:rsid w:val="00EB3E33"/>
    <w:rsid w:val="00F46917"/>
    <w:rsid w:val="00F9292E"/>
    <w:rsid w:val="00FB7FC9"/>
    <w:rsid w:val="00FF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B190"/>
  <w15:chartTrackingRefBased/>
  <w15:docId w15:val="{04D274D8-F63D-4E29-8874-6A431790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41"/>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A4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04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A4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04A41"/>
    <w:rPr>
      <w:rFonts w:eastAsiaTheme="minorEastAsia"/>
      <w:color w:val="5A5A5A" w:themeColor="text1" w:themeTint="A5"/>
      <w:spacing w:val="15"/>
    </w:rPr>
  </w:style>
  <w:style w:type="paragraph" w:styleId="NormalWeb">
    <w:name w:val="Normal (Web)"/>
    <w:basedOn w:val="Normal"/>
    <w:uiPriority w:val="99"/>
    <w:unhideWhenUsed/>
    <w:rsid w:val="00163EA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163EA7"/>
    <w:rPr>
      <w:color w:val="0000FF"/>
      <w:u w:val="single"/>
    </w:rPr>
  </w:style>
  <w:style w:type="character" w:customStyle="1" w:styleId="sr-only">
    <w:name w:val="sr-only"/>
    <w:basedOn w:val="DefaultParagraphFont"/>
    <w:rsid w:val="00163EA7"/>
  </w:style>
  <w:style w:type="character" w:styleId="UnresolvedMention">
    <w:name w:val="Unresolved Mention"/>
    <w:basedOn w:val="DefaultParagraphFont"/>
    <w:uiPriority w:val="99"/>
    <w:semiHidden/>
    <w:unhideWhenUsed/>
    <w:rsid w:val="002E028A"/>
    <w:rPr>
      <w:color w:val="605E5C"/>
      <w:shd w:val="clear" w:color="auto" w:fill="E1DFDD"/>
    </w:rPr>
  </w:style>
  <w:style w:type="paragraph" w:styleId="Header">
    <w:name w:val="header"/>
    <w:basedOn w:val="Normal"/>
    <w:link w:val="HeaderChar"/>
    <w:uiPriority w:val="99"/>
    <w:unhideWhenUsed/>
    <w:rsid w:val="00CF08BA"/>
    <w:pPr>
      <w:tabs>
        <w:tab w:val="center" w:pos="4680"/>
        <w:tab w:val="right" w:pos="9360"/>
      </w:tabs>
      <w:spacing w:line="240" w:lineRule="auto"/>
    </w:pPr>
  </w:style>
  <w:style w:type="character" w:customStyle="1" w:styleId="HeaderChar">
    <w:name w:val="Header Char"/>
    <w:basedOn w:val="DefaultParagraphFont"/>
    <w:link w:val="Header"/>
    <w:uiPriority w:val="99"/>
    <w:rsid w:val="00CF08BA"/>
    <w:rPr>
      <w:rFonts w:ascii="Arial" w:eastAsia="Arial" w:hAnsi="Arial" w:cs="Arial"/>
      <w:color w:val="000000"/>
    </w:rPr>
  </w:style>
  <w:style w:type="paragraph" w:styleId="Footer">
    <w:name w:val="footer"/>
    <w:basedOn w:val="Normal"/>
    <w:link w:val="FooterChar"/>
    <w:uiPriority w:val="99"/>
    <w:unhideWhenUsed/>
    <w:rsid w:val="00CF08BA"/>
    <w:pPr>
      <w:tabs>
        <w:tab w:val="center" w:pos="4680"/>
        <w:tab w:val="right" w:pos="9360"/>
      </w:tabs>
      <w:spacing w:line="240" w:lineRule="auto"/>
    </w:pPr>
  </w:style>
  <w:style w:type="character" w:customStyle="1" w:styleId="FooterChar">
    <w:name w:val="Footer Char"/>
    <w:basedOn w:val="DefaultParagraphFont"/>
    <w:link w:val="Footer"/>
    <w:uiPriority w:val="99"/>
    <w:rsid w:val="00CF08BA"/>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5067">
      <w:bodyDiv w:val="1"/>
      <w:marLeft w:val="0"/>
      <w:marRight w:val="0"/>
      <w:marTop w:val="0"/>
      <w:marBottom w:val="0"/>
      <w:divBdr>
        <w:top w:val="none" w:sz="0" w:space="0" w:color="auto"/>
        <w:left w:val="none" w:sz="0" w:space="0" w:color="auto"/>
        <w:bottom w:val="none" w:sz="0" w:space="0" w:color="auto"/>
        <w:right w:val="none" w:sz="0" w:space="0" w:color="auto"/>
      </w:divBdr>
    </w:div>
    <w:div w:id="120079718">
      <w:bodyDiv w:val="1"/>
      <w:marLeft w:val="0"/>
      <w:marRight w:val="0"/>
      <w:marTop w:val="0"/>
      <w:marBottom w:val="0"/>
      <w:divBdr>
        <w:top w:val="none" w:sz="0" w:space="0" w:color="auto"/>
        <w:left w:val="none" w:sz="0" w:space="0" w:color="auto"/>
        <w:bottom w:val="none" w:sz="0" w:space="0" w:color="auto"/>
        <w:right w:val="none" w:sz="0" w:space="0" w:color="auto"/>
      </w:divBdr>
    </w:div>
    <w:div w:id="167718111">
      <w:bodyDiv w:val="1"/>
      <w:marLeft w:val="0"/>
      <w:marRight w:val="0"/>
      <w:marTop w:val="0"/>
      <w:marBottom w:val="0"/>
      <w:divBdr>
        <w:top w:val="none" w:sz="0" w:space="0" w:color="auto"/>
        <w:left w:val="none" w:sz="0" w:space="0" w:color="auto"/>
        <w:bottom w:val="none" w:sz="0" w:space="0" w:color="auto"/>
        <w:right w:val="none" w:sz="0" w:space="0" w:color="auto"/>
      </w:divBdr>
    </w:div>
    <w:div w:id="420102480">
      <w:bodyDiv w:val="1"/>
      <w:marLeft w:val="0"/>
      <w:marRight w:val="0"/>
      <w:marTop w:val="0"/>
      <w:marBottom w:val="0"/>
      <w:divBdr>
        <w:top w:val="none" w:sz="0" w:space="0" w:color="auto"/>
        <w:left w:val="none" w:sz="0" w:space="0" w:color="auto"/>
        <w:bottom w:val="none" w:sz="0" w:space="0" w:color="auto"/>
        <w:right w:val="none" w:sz="0" w:space="0" w:color="auto"/>
      </w:divBdr>
    </w:div>
    <w:div w:id="1193612756">
      <w:bodyDiv w:val="1"/>
      <w:marLeft w:val="0"/>
      <w:marRight w:val="0"/>
      <w:marTop w:val="0"/>
      <w:marBottom w:val="0"/>
      <w:divBdr>
        <w:top w:val="none" w:sz="0" w:space="0" w:color="auto"/>
        <w:left w:val="none" w:sz="0" w:space="0" w:color="auto"/>
        <w:bottom w:val="none" w:sz="0" w:space="0" w:color="auto"/>
        <w:right w:val="none" w:sz="0" w:space="0" w:color="auto"/>
      </w:divBdr>
    </w:div>
    <w:div w:id="1559585490">
      <w:bodyDiv w:val="1"/>
      <w:marLeft w:val="0"/>
      <w:marRight w:val="0"/>
      <w:marTop w:val="0"/>
      <w:marBottom w:val="0"/>
      <w:divBdr>
        <w:top w:val="none" w:sz="0" w:space="0" w:color="auto"/>
        <w:left w:val="none" w:sz="0" w:space="0" w:color="auto"/>
        <w:bottom w:val="none" w:sz="0" w:space="0" w:color="auto"/>
        <w:right w:val="none" w:sz="0" w:space="0" w:color="auto"/>
      </w:divBdr>
    </w:div>
    <w:div w:id="1713456864">
      <w:bodyDiv w:val="1"/>
      <w:marLeft w:val="0"/>
      <w:marRight w:val="0"/>
      <w:marTop w:val="0"/>
      <w:marBottom w:val="0"/>
      <w:divBdr>
        <w:top w:val="none" w:sz="0" w:space="0" w:color="auto"/>
        <w:left w:val="none" w:sz="0" w:space="0" w:color="auto"/>
        <w:bottom w:val="none" w:sz="0" w:space="0" w:color="auto"/>
        <w:right w:val="none" w:sz="0" w:space="0" w:color="auto"/>
      </w:divBdr>
    </w:div>
    <w:div w:id="1827893154">
      <w:bodyDiv w:val="1"/>
      <w:marLeft w:val="0"/>
      <w:marRight w:val="0"/>
      <w:marTop w:val="0"/>
      <w:marBottom w:val="0"/>
      <w:divBdr>
        <w:top w:val="none" w:sz="0" w:space="0" w:color="auto"/>
        <w:left w:val="none" w:sz="0" w:space="0" w:color="auto"/>
        <w:bottom w:val="none" w:sz="0" w:space="0" w:color="auto"/>
        <w:right w:val="none" w:sz="0" w:space="0" w:color="auto"/>
      </w:divBdr>
      <w:divsChild>
        <w:div w:id="193622087">
          <w:marLeft w:val="0"/>
          <w:marRight w:val="0"/>
          <w:marTop w:val="0"/>
          <w:marBottom w:val="0"/>
          <w:divBdr>
            <w:top w:val="none" w:sz="0" w:space="0" w:color="auto"/>
            <w:left w:val="none" w:sz="0" w:space="0" w:color="auto"/>
            <w:bottom w:val="none" w:sz="0" w:space="0" w:color="auto"/>
            <w:right w:val="none" w:sz="0" w:space="0" w:color="auto"/>
          </w:divBdr>
        </w:div>
      </w:divsChild>
    </w:div>
    <w:div w:id="1882859924">
      <w:bodyDiv w:val="1"/>
      <w:marLeft w:val="0"/>
      <w:marRight w:val="0"/>
      <w:marTop w:val="0"/>
      <w:marBottom w:val="0"/>
      <w:divBdr>
        <w:top w:val="none" w:sz="0" w:space="0" w:color="auto"/>
        <w:left w:val="none" w:sz="0" w:space="0" w:color="auto"/>
        <w:bottom w:val="none" w:sz="0" w:space="0" w:color="auto"/>
        <w:right w:val="none" w:sz="0" w:space="0" w:color="auto"/>
      </w:divBdr>
    </w:div>
    <w:div w:id="1894466180">
      <w:bodyDiv w:val="1"/>
      <w:marLeft w:val="0"/>
      <w:marRight w:val="0"/>
      <w:marTop w:val="0"/>
      <w:marBottom w:val="0"/>
      <w:divBdr>
        <w:top w:val="none" w:sz="0" w:space="0" w:color="auto"/>
        <w:left w:val="none" w:sz="0" w:space="0" w:color="auto"/>
        <w:bottom w:val="none" w:sz="0" w:space="0" w:color="auto"/>
        <w:right w:val="none" w:sz="0" w:space="0" w:color="auto"/>
      </w:divBdr>
    </w:div>
    <w:div w:id="2044212514">
      <w:bodyDiv w:val="1"/>
      <w:marLeft w:val="0"/>
      <w:marRight w:val="0"/>
      <w:marTop w:val="0"/>
      <w:marBottom w:val="0"/>
      <w:divBdr>
        <w:top w:val="none" w:sz="0" w:space="0" w:color="auto"/>
        <w:left w:val="none" w:sz="0" w:space="0" w:color="auto"/>
        <w:bottom w:val="none" w:sz="0" w:space="0" w:color="auto"/>
        <w:right w:val="none" w:sz="0" w:space="0" w:color="auto"/>
      </w:divBdr>
    </w:div>
    <w:div w:id="212141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5585/mmwr.mm6935a2" TargetMode="External"/><Relationship Id="rId3" Type="http://schemas.openxmlformats.org/officeDocument/2006/relationships/webSettings" Target="webSettings.xml"/><Relationship Id="rId7" Type="http://schemas.openxmlformats.org/officeDocument/2006/relationships/hyperlink" Target="http://dx.doi.org/10.15585/mmwr.mm6924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news/item/29-06-2020-covidtimelin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x.doi.org/10.2139/ssrn.3568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2</cp:revision>
  <dcterms:created xsi:type="dcterms:W3CDTF">2020-11-22T21:48:00Z</dcterms:created>
  <dcterms:modified xsi:type="dcterms:W3CDTF">2020-11-22T21:48:00Z</dcterms:modified>
</cp:coreProperties>
</file>