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86"/>
      </w:tblGrid>
      <w:tr>
        <w:tc>
          <w:tcPr>
            <w:tcW w:type="dxa" w:w="9386"/>
            <w:tcBorders>
              <w:top w:val="single" w:color="1B7B4A" w:sz="1"/>
              <w:left w:val="single" w:color="1B7B4A" w:sz="1"/>
              <w:bottom w:val="single" w:color="1B7B4A" w:sz="1"/>
              <w:right w:val="single" w:color="1B7B4A" w:sz="1"/>
            </w:tcBorders>
            <w:shd w:fill="1B7B4A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PLANO DE VIBE CODING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8"/>
                <w:szCs w:val="28"/>
              </w:rPr>
              <w:t xml:space="preserve">Módulos br_* — Contabilidade Brasileira para Odoo 19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8F5EE"/>
                <w:sz w:val="22"/>
                <w:szCs w:val="22"/>
              </w:rPr>
              <w:t xml:space="preserve">Com suporte nativo à Reforma Tributária (EC 132/2023)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Versão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Planejamento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Março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Plataforma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Odoo 19 (custom_addons/br_*)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Prefixo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br_* (camada própria) | gov_* (camada pública existente)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alvo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3.10 — seguindo ruff.toml do repo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inicial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 Nacional → Lucro Presumido → Lucro Real → MEI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Visão Geral e Contexto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 objetivo é construir uma família coesa de módulos Odoo 19 com prefixo br_*, cobrindo contabilidade, fiscal, folha de pagamento e obrigações acessórias para o mercado brasileiro, com arquitetura já preparada para a transição do sistema tributário exigida pela Reforma Tributária (EC 132/2023).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1.1 Camadas do Repositório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8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Pasta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Prefixo</w:t>
            </w:r>
          </w:p>
        </w:tc>
        <w:tc>
          <w:tcPr>
            <w:tcW w:type="dxa" w:w="49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addons/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(Odoo upstream)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 — não tocar sem justificativa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custom_addons/gov_*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gov_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Camada pública/governo — já existente e ativa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custom_addons/br_*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NOSSA CAMADA — módulos contábeis BR (novo)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custom_addons/om_account_*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(terceiro)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Vendorizado — avaliar caso a caso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Regra de ouro: gov_* e br_* são independentes por prefixo. Um br_* pode depender de um gov_* quando o gov expõe funcionalidade pública, mas nunca o inverso. Isso garante que a camada pública jamais quebre por mudança interna nossa.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Arquitetura dos Módulos br_*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2.1 Mapa da Família br_*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Os módulos formam uma hierarquia de dependências clara. Módulos de nível inferior são mais estáveis e evoluem devagar; módulos de nível superior ficam mais próximos das regras de negócio.</w:t>
      </w:r>
    </w:p>
    <w:p>
      <w:pPr>
        <w:spacing w:before="8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2400"/>
        <w:gridCol w:w="2000"/>
        <w:gridCol w:w="4786"/>
      </w:tblGrid>
      <w:tr>
        <w:trPr>
          <w:tblHeader/>
        </w:trPr>
        <w:tc>
          <w:tcPr>
            <w:tcW w:type="dxa" w:w="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Nív.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  <w:tc>
          <w:tcPr>
            <w:tcW w:type="dxa" w:w="47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CNPJ/CPF validação, endereço BR, CEP, certificado digital A1/A3, criptografia PKCS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br_base, account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Extensão de account.*, plano de contas NBC TG, lançamentos BR, campos fiscais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br_tax_engine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br_account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dual: regime antigo + CBS/IBS. Tabelas com vigência temporal. Plugável.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br_nfe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br_base, br_account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NF-e / NFS-e: XML, assinatura A1/A3, SEFAZ direto, DANFE, contingência SCAN/SVC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br_simples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br_tax_engine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Regime Simples Nacional: DAS, PGDAS-D, alíquotas por faixa, Anexos I–V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br_presumido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br_tax_engine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Lucro Presumido: PIS/COFINS cumulativo, IRPJ/CSLL por presunção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br_real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br_tax_engine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Lucro Real: PIS/COFINS não-cumulativo, LALUR, PERT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br_sped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br_account, br_nfe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SPED Contábil (ECD), SPED Fiscal (EFD ICMS/IPI), EFD Contribuições, ECF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br_esocial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br_base, hr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eSocial completo (S-1000 a S-2999), EFD-Reinf</w:t>
            </w:r>
          </w:p>
        </w:tc>
      </w:tr>
      <w:tr>
        <w:tc>
          <w:tcPr>
            <w:tcW w:type="dxa" w:w="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br_hr_payroll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br_esocial, payroll</w:t>
            </w:r>
          </w:p>
        </w:tc>
        <w:tc>
          <w:tcPr>
            <w:tcW w:type="dxa" w:w="47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Folha BR: holerite, INSS, IRRF, FGTS, DARF automático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2.2 O Motor Tributário Dual (br_tax_engine)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Esta é a peça mais crítica da arquitetura. A Reforma Tributária (EC 132/2023) exige que o sistema gerencie simultaneamente dois regimes durante a transição 2026–2032.</w:t>
      </w:r>
    </w:p>
    <w:p>
      <w:pPr>
        <w:spacing w:before="8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93"/>
        <w:gridCol w:w="2593"/>
        <w:gridCol w:w="200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259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 Antigo</w:t>
            </w:r>
          </w:p>
        </w:tc>
        <w:tc>
          <w:tcPr>
            <w:tcW w:type="dxa" w:w="2593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 Novo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Até 31/12/2025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ICMS, ISS, PIS, COFINS, IPI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atual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 (teste)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ICMS, ISS, PIS, COFINS, IPI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~0,9% + IBS ~0,1%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obrigatório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2027–2028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ICMS, ISS (reduzindo)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+ IBS crescendo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DUAL com split payment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2029–2032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Extinguindo gradualment.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+ IBS + IS plenos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Transição parcial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partir 2033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+ IBS + 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novo completo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Modelo de dados central do br_tax_engine: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models/tax_rule.py — br_tax_engine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BrTaxRule(models.Model):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_name = 'br.tax.rule'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name        = fields.Char(required=True)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tax_type    = fields.Selection([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('legacy', 'Regime Antigo (PIS/COFINS/ICMS/ISS)'),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('cbs',    'CBS — Contribuição sobre Bens e Serviços'),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('ibs',    'IBS — Imposto sobre Bens e Serviços'),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('is',     'IS — Imposto Seletivo'),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date_from   = fields.Date(required=True)   # vigência início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date_to     = fields.Date()                 # vigência fim (null = vigente)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rate        = fields.Float('Alíquota %')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regime_type = fields.Selection([            # qual módulo de regime aplica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('simples', 'Simples Nacional'),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('presumido', 'Lucro Presumido'),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('real', 'Lucro Real'),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('mei', 'MEI'),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('all', 'Todos'),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def get_active_rules(self, date, regime):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"""Retorna regras vigentes para data e regime dados."""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domain = [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('date_from', '&lt;=', date),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('regime_type', 'in', [regime, 'all']),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    '|', ('date_to', '=', False), ('date_to', '&gt;=', date),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    return self.search(domain)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br_base — Fundação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3.1 Responsabilidades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Validação e formatação de CNPJ / CPF / CEP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Integração com API ViaCEP para autocompletar endereço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Gerenciamento de Certificado Digital A1 (arquivo .pfx) e A3 (token/smartcard)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Abstração de assinatura XML (xmlsec1 / lxml)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Campos de res.partner estendidos: tipo_pessoa, cnpj_cpf, ie, im, suframa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Enum de UFs, municípios IBGE, natureza jurídica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3.2 Dependências Python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8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Biblioteca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 mínima</w:t>
            </w:r>
          </w:p>
        </w:tc>
        <w:tc>
          <w:tcPr>
            <w:tcW w:type="dxa" w:w="49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&gt;=4.9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Geração e parse de XML NF-e/eSocial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&gt;=41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Manipulação de certificados A1/A3 (PKCS#12)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&gt;=3.2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Assinatura e verificação de XML (xmldsig)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&gt;=2.31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Consumo de APIs SEFAZ e ViaCEP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&gt;=4.2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Chamadas SOAP aos webservices SEFAZ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br_nfe — Nota Fiscal Eletrônica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4.1 Fluxo NF-e Direto no Odoo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integração SEFAZ será feita diretamente em Python, sem middleware externo. O módulo gerencia todo o ciclo de vida do documento fiscal.</w:t>
      </w:r>
    </w:p>
    <w:p>
      <w:pPr>
        <w:spacing w:before="8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86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59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Rascunho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preenche dados da NF no Odoo (account.move)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Validação local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Schema XSD validado localmente antes de envio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Assinatura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XML assinado com certificado A1/A3 via signxml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 SEFAZ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nfeAutorizacaoLote via SOAP (zeep) — ambiente prod/hom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Consulta retorno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nfeRetAutorizacao com polling automático (cron)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Autorizado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chave de acesso + protocolo armazenados; PDF DANFE gerado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Contingência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Queda SEFAZ → modo SCAN/SVC-AN/SVC-RS automático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Cancelamento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NF-e cancelada: evento 110111 enviado à SEFAZ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Inutilização</w:t>
            </w:r>
          </w:p>
        </w:tc>
        <w:tc>
          <w:tcPr>
            <w:tcW w:type="dxa" w:w="5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Numeração inutilizada: evento enviado, registro local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Ponto de atenção: cada UF tem URL SEFAZ distinta. O br_nfe manterá tabela de endpoints por UF e ambiente (produção / homologação), atualizável via dado XML sem nova versão do módulo.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4.2 NFS-e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NFS-e é municipal — cada prefeitura tem padrão distinto. A estratégia será: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Implementar padrão ABRASF 2.04 (maioria dos municípios grandes)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Criar abstração br.nfse.provider que pode ser sobrescrita por módulo de município específico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Cobrir Manaus (ISS Fácil) como primeiro provider concreto dado o contexto do projeto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br_simples — Simples Nacional (MVP de Regime)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5.1 Funcionalidades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Cadastro do regime: CNPJ, data de opção, faixa de receita bruta dos últimos 12 meses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Cálculo automático do DAS: alíquota efetiva por Anexo (I, II, III, IV, 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Geração do PGDAS-D em formato de relatório/XML exportável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Apuração mensal com dedução da alíquota pelo fator R (Anexos III/V)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Alertas de proximidade de limite (R$ 4,8M anual) e sublimite estadual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Gestão de parcelamentos especiais (PERT-SN)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Compatibilidade com o motor dual CBS/IBS: quando ativado, calcula impacto paralelo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5.2 Tabela de Anexos — Estrutura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models/simples_anexo.py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BrSimplesAnexo(models.Model):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_name = 'br.simples.anexo'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name        = fields.Char()           # ex: "Anexo I — Comércio"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code        = fields.Selection([('I','I'),('II','II'),('III','III'),('IV','IV'),('V','V')])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date_from   = fields.Date()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date_to     = fields.Date()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class BrSimplesAliquota(models.Model):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_name = 'br.simples.aliquota'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anexo_id        = fields.Many2one('br.simples.anexo')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receita_min     = fields.Monetary()   # faixa mínima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receita_max     = fields.Monetary()   # faixa máxima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aliquota_nom    = fields.Float()      # alíquota nominal %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valor_deduzir   = fields.Monetary()   # parcela a deduzir (R$)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# alíquota efetiva = (RBT12 * nom - deducao) / RBT12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br_sped — Obrigações Acessórias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6.1 Escopo e Priorização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000"/>
        <w:gridCol w:w="2000"/>
        <w:gridCol w:w="2586"/>
      </w:tblGrid>
      <w:tr>
        <w:trPr>
          <w:tblHeader/>
        </w:trPr>
        <w:tc>
          <w:tcPr>
            <w:tcW w:type="dxa" w:w="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Prior.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Obrigação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Periodicidade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Entregue a</w:t>
            </w:r>
          </w:p>
        </w:tc>
        <w:tc>
          <w:tcPr>
            <w:tcW w:type="dxa" w:w="25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NF-e / NFS-e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 operação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SEFAZ / Prefeitura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EFD-Reinf + eSocial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 / por evento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Federal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Anual (até jul)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Federal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Presumido, Real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EFD Contribuições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Federal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Presumido, Real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EFD ICMS/IPI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SEFAZ estadual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Presumido, Real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SPED Contábil (ECD)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Anual (até maio)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Receita Federal</w:t>
            </w:r>
          </w:p>
        </w:tc>
        <w:tc>
          <w:tcPr>
            <w:tcW w:type="dxa" w:w="2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Presumido, Real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6.2 Arquitetura dos Arquivos SPED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Todos os SPEDs seguem o padrão de blocos e registros (Guia Prático SPED). A implementação usará: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Classe abstrata BrSpedWriter com método write_block(bloco, registros)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Cada obrigação herda e sobrescreve apenas os blocos que precisa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Validação com as tabelas de versão do PVA SPED antes de exportar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Hash MD5 e controle de retificação (número do recibo anterior) embutidos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br_esocial e br_hr_payroll — RH Completo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7.1 eSocial — Eventos Cobertos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86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Evento</w:t>
            </w:r>
          </w:p>
        </w:tc>
        <w:tc>
          <w:tcPr>
            <w:tcW w:type="dxa" w:w="55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Tabelas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S-1000 a S-1080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Empregador, rubricas, lotações, cargos, CCT, processos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Periódicos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S-2200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Admissão de trabalhador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Periódicos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S-2206 / S-2230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Alteração de contrato / afastamento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Periódicos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S-2299 / S-2300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Desligamento / Trabalhador sem vínculo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Periódicos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S-1200 / S-1210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Remunerações / Pagamentos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Periódicos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S-1300 / S-1700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Contrib. Patronal / Totalizadores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EFD-Reinf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R-2010 a R-4099</w:t>
            </w:r>
          </w:p>
        </w:tc>
        <w:tc>
          <w:tcPr>
            <w:tcW w:type="dxa" w:w="55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Serviços tomados, receita bruta, IR retido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7.2 Folha de Pagamento — Componentes de Cálculo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INSS empregado: alíquotas progressivas (tabela vigente com date_from/date_to)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INSS patronal: 20% + RAT + Terceiros (FAP aplicado)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IRRF: tabela progressiva, deduções (dependentes, pensão, INSS)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FGTS: 8% sobre base FGTS + multa rescisória 40%/20%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DARF: geração automática de DARFs de IRRF e contribuições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13º salário: provisão mensal e pagamento em novembro/dezembro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Férias: provisão 1/12 + 1/3 constitucional, IRRF sobre férias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Rescisão: TRCT completo (aviso prévio, férias prop., 13º prop., FGTS)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Cronograma da Reforma Tributária (EC 132/2023)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arquitetura dual do br_tax_engine permite que todos os módulos de regime coexistam com o novo sistema sem quebra. O cronograma de ativação é controlado por dados, não por código.</w:t>
      </w:r>
    </w:p>
    <w:p>
      <w:pPr>
        <w:spacing w:before="80" w:after="0"/>
      </w:pPr>
      <w: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86"/>
      </w:tblGrid>
      <w:tr>
        <w:trPr>
          <w:tblHeader/>
        </w:trP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Marco Legal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 nos módulos</w:t>
            </w:r>
          </w:p>
        </w:tc>
        <w:tc>
          <w:tcPr>
            <w:tcW w:type="dxa" w:w="29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 no código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2025 (agora)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entra para setores específicos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br_tax_engine: regras IS já presentes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tabela br.tax.rule com IS, date_from=2025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 Q1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CBS 0,9% + IBS 0,1% (teste)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Motor dual ativado; todas NF-e com dois campos de imposto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Inserir regras CBS/IBS com date_from=2026-01-01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2026 Q2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 payment piloto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br_nfe: campo de retenção na fonte para CBS/IBS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Campo split_payment_cbs_ibs em account.move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Redução ICMS/ISS começa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br_simples: DAS recalculado sem ICMS/ISS parcial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alíquotas Simples via data fixture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2029–2032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Transição parcial 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Percentuais mudam a cada ano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novos registros em br.tax.rule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2033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antigo extinto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Módulos legacy desativados (flag active=False)</w:t>
            </w:r>
          </w:p>
        </w:tc>
        <w:tc>
          <w:tcPr>
            <w:tcW w:type="dxa" w:w="2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E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Nenhuma remoção de código — só desativação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Princípio de estabilidade: NUNCA remover campos ou tabelas do sistema antigo antes de 2033. A migração é feita por desativação de regras (active=False), não por DROP de colunas. Isso protege histórico contábil e auditorias.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Roadmap de Desenvolvimento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Fase 0 — Fundação (Semanas 1–3)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Antes de escrever uma linha dos módulos br_*, inspecionar o que já existe: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Auditar custom_addons/gov_* buscando código contábil/fiscal reutilizável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Auditar om_account_accountant-19.0.1.0.3 — o que pode ser herdado vs. ignorado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Auditar l10n_br vendorizado — extrair o Plano de Contas NBC TG como fixture XML/CSV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Criar br_base com CNPJ/CPF, certificado A1, campos res.partner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Criar br_account herdando l10n_br para Plano de Contas; adicionar campos fiscais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Criar esqueleto br_tax_engine com modelo br.tax.rule e seletor temporal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Fase 1 — NF-e e Simples Nacional (Semanas 4–8)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br_nfe: geração XML NF-e 4.00, assinatura A1, envio SEFAZ homologação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br_nfe: contingência SCAN/SVC, cancelamento, inutilização, DANFE básico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br_nfe: NFS-e padrão ABRASF 2.04 + provider Manaus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br_simples: cadastro regime, tabela de Anexos com fixtures oficiais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br_simples: cálculo DAS, Fator R, PGDAS-D relatório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br_simples: integração br_tax_engine (modo dual CBS/IBS desabilitado por padrão)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Fase 2 — eSocial e Folha (Semanas 9–14)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br_esocial: eventos de tabela S-1000 a S-1080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br_esocial: admissão S-2200, desligamento S-2299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br_hr_payroll: holerite com INSS + IRRF + FGTS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br_hr_payroll: DARF automático, 13º, férias, rescisão (TRCT)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br_esocial: S-1200 Remunerações integrado com folha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br_esocial: EFD-Reinf R-2010 para serviços tomados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Fase 3 — SPED e Regime Dual (Semanas 15–22)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br_sped: EFD Contribuições (PIS/COFINS não-cumulativo)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br_sped: SPED Fiscal EFD ICMS/IPI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br_sped: ECF — Escrituração Contábil Fiscal (IRPJ/CSLL)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br_sped: SPED Contábil ECD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br_tax_engine: ativar alíquotas CBS/IBS 2026; testar modo dual em NF-e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br_presumido: regime Lucro Presumido completo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Fase 4 — Lucro Real e Consolidação (Semanas 23–30)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br_real: PIS/COFINS não-cumulativo com créditos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br_real: LALUR, LACS, PERT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Revisão de testes de todos os módulos (--test-enable)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Documentação técnica e guia de implantação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Fixtures de alíquotas 2026–2028 para Reforma Tributária</w:t>
      </w:r>
    </w:p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Convenções e Padrões de Código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10.1 Estrutura de Pastas (por módulo)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custom_addons/br_simples/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__manifest__.py          # depends: ['br_tax_engine', 'account']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models/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simples_empresa.py   # configuração do regime da empresa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simples_anexo.py     # anexos e alíquotas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simples_das.py       # apuração mensal DAS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wizard/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calcular_das.py      # wizard de cálculo e geração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views/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simples_empresa_views.xml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simples_das_views.xml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security/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ir.model.access.csv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br_simples_security.xml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data/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├── simples_anexos_2024.xml   # fixture com alíquotas vigentes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simples_anexos_2025.xml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├── report/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│   └── pgdas_d_template.xml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└── tests/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├── __init__.py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  └── test_calculo_das.py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10.2 Regras de Nomenclatura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86"/>
      </w:tblGrid>
      <w:tr>
        <w:trPr>
          <w:tblHeader/>
        </w:trP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Artefato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</w:t>
            </w:r>
          </w:p>
        </w:tc>
        <w:tc>
          <w:tcPr>
            <w:tcW w:type="dxa" w:w="49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Pasta do 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br_simples, br_hr_payroll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Classe Python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PascalCase com prefixo Br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BrSimplesAnexo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_name do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br.dominio.entidade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br.simples.aliquota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XML 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br_modulo.nome_snake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br_simples.action_das_wizard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Arquivos de 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entidade_views.xml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simples_das_views.xml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Arquivo de fixture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entidade_AAAA.xml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simples_anexos_2025.xml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10.3 Comandos de Validação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Lint (sempre antes de commitar)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ruff check custom_addons/br_*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Instalar módulo novo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./odoo-bin -c deploy/odoo/kodoo.dev-host.local.conf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 ktest -i br_simples --stop-after-init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Upgrade e testes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./odoo-bin -c deploy/odoo/kodoo.dev-host.local.conf \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  -d ktest -u br_simples --test-enable --stop-after-init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# Via Make (equivalente)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make dev-host-upgrade DEV_MODULES=br_simples DEV_UPGRADE_DB=ktest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7B4A"/>
          <w:sz w:val="26"/>
          <w:szCs w:val="26"/>
        </w:rPr>
        <w:t xml:space="preserve">10.4 Padrão de 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[ADD] br_base: CNPJ/CPF validator and res.partner fields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[ADD] br_tax_engine: dual tax rule model with temporal validity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[IMP] br_simples: Fator R calculation for Anexos III and V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[FIX] br_nfe: handle SEFAZ timeout in contingency mode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[REF] br_account: extract chart of accounts to XML fixture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[MIG] br_simples: add 2026 annexe rates for CBS/IBS transition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D4D4D4"/>
                <w:sz w:val="16"/>
                <w:szCs w:val="16"/>
              </w:rPr>
              <w:t xml:space="preserve">[TST] br_hr_payroll: INSS progressive table test coverage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Riscos e Mitigações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86"/>
      </w:tblGrid>
      <w:tr>
        <w:trPr>
          <w:tblHeader/>
        </w:trP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Risco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Probabilidade</w:t>
            </w:r>
          </w:p>
        </w:tc>
        <w:tc>
          <w:tcPr>
            <w:tcW w:type="dxa" w:w="4186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Mudança nas alíquotas da Reforma Tributária antes de publicação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Dados em fixtures XML com date_from — atualizar sem mudança de código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SEFAZ indisponível em produção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Contingência SCAN/SVC implementada desde o início no br_nfe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om_account_accountant com dependências conflitantes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Auditar na Fase 0; isolar em módulo separado se necessário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A3 (token USB) em ambiente Docker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br_base oferece proxy: A3 fica no host, assina via socket local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eSocial com mudanças de leiaute frequentes (MOS)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Alta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Eventos gerados por templates XML parametrizados, não hardcoded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Municípios com NFS-e fora do padrão ABRASF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Média</w:t>
            </w:r>
          </w:p>
        </w:tc>
        <w:tc>
          <w:tcPr>
            <w:tcW w:type="dxa" w:w="4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Arquitetura de providers plugáveis em br_nfe desde o MVP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Próximos Passos Imediatos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Antes de qualquer commit novo, executar as seguintes inspeções no repositório: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Executar: find custom_addons/gov_* -name "*.py" | xargs grep -l "account\|fiscal\|nfe\|sped" para mapear o que já existe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Ler __manifest__.py de cada gov_* contábil encontrado e listar campos e models criados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Verificar se om_account_accountant já fornece plano de contas NBC TG ou apenas estrutura genérica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Criar ticket/branch: feat/br_base — base module scaffold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Após br_base aprovado em PR: criar feat/br_tax_engine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Cada módulo subsequente abre PR separado com testes passando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1"/>
              <w:left w:val="single" w:color="B8860B" w:sz="1"/>
              <w:bottom w:val="single" w:color="B8860B" w:sz="1"/>
              <w:right w:val="single" w:color="B8860B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Este documento é o contrato de arquitetura. Qualquer desvio de prefixo, estrutura de pastas ou dependências entre módulos deve ser discutido antes da implementação — mudanças retroativas em módulos base têm custo alto.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fim do documento —</w:t>
      </w:r>
    </w:p>
    <w:sectPr>
      <w:footerReference w:type="default" r:id="rId6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Plano br_* Contabilidade Brasileira  |  Marco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7B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2026-03-10T17:02:10.708Z</dcterms:created>
  <dcterms:modified xsi:type="dcterms:W3CDTF">2026-03-10T17:02:10.709Z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