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NeuroMap Kids Data Protection Impact Assessment</w:t>
      </w:r>
    </w:p>
    <w:p>
      <w:pPr>
        <w:pStyle w:val="Subtitle"/>
      </w:pPr>
      <w:r>
        <w:t>Controller working draft - not approved for reliance</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4896"/>
        <w:gridCol w:w="4896"/>
      </w:tblGrid>
      <w:tr>
        <w:tc>
          <w:tcPr>
            <w:tcW w:type="dxa" w:w="4896"/>
            <w:shd w:fill="F2F4F7"/>
            <w:tcBorders>
              <w:top w:val="single" w:sz="8" w:space="0" w:color="D0D7E2"/>
              <w:left w:val="single" w:sz="8" w:space="0" w:color="D0D7E2"/>
              <w:bottom w:val="single" w:sz="8" w:space="0" w:color="D0D7E2"/>
              <w:right w:val="single" w:sz="8" w:space="0" w:color="D0D7E2"/>
            </w:tcBorders>
            <w:vAlign w:val="center"/>
          </w:tcPr>
          <w:p>
            <w:r>
              <w:rPr>
                <w:rFonts w:ascii="Calibri" w:hAnsi="Calibri"/>
                <w:b/>
                <w:sz w:val="18"/>
              </w:rPr>
              <w:t>Version</w:t>
            </w:r>
          </w:p>
        </w:tc>
        <w:tc>
          <w:tcPr>
            <w:tcW w:type="dxa" w:w="4896"/>
            <w:tcBorders>
              <w:top w:val="single" w:sz="8" w:space="0" w:color="D0D7E2"/>
              <w:left w:val="single" w:sz="8" w:space="0" w:color="D0D7E2"/>
              <w:bottom w:val="single" w:sz="8" w:space="0" w:color="D0D7E2"/>
              <w:right w:val="single" w:sz="8" w:space="0" w:color="D0D7E2"/>
            </w:tcBorders>
            <w:vAlign w:val="center"/>
          </w:tcPr>
          <w:p>
            <w:r>
              <w:rPr>
                <w:rFonts w:ascii="Calibri" w:hAnsi="Calibri"/>
                <w:sz w:val="18"/>
              </w:rPr>
              <w:t>2026-07-16-draft-2</w:t>
            </w:r>
          </w:p>
        </w:tc>
      </w:tr>
      <w:tr>
        <w:tc>
          <w:tcPr>
            <w:tcW w:type="dxa" w:w="4896"/>
            <w:shd w:fill="F2F4F7"/>
            <w:tcBorders>
              <w:top w:val="single" w:sz="8" w:space="0" w:color="D0D7E2"/>
              <w:left w:val="single" w:sz="8" w:space="0" w:color="D0D7E2"/>
              <w:bottom w:val="single" w:sz="8" w:space="0" w:color="D0D7E2"/>
              <w:right w:val="single" w:sz="8" w:space="0" w:color="D0D7E2"/>
            </w:tcBorders>
            <w:vAlign w:val="center"/>
          </w:tcPr>
          <w:p>
            <w:r>
              <w:rPr>
                <w:rFonts w:ascii="Calibri" w:hAnsi="Calibri"/>
                <w:b/>
                <w:sz w:val="18"/>
              </w:rPr>
              <w:t>Generated Word copy</w:t>
            </w:r>
          </w:p>
        </w:tc>
        <w:tc>
          <w:tcPr>
            <w:tcW w:type="dxa" w:w="4896"/>
            <w:tcBorders>
              <w:top w:val="single" w:sz="8" w:space="0" w:color="D0D7E2"/>
              <w:left w:val="single" w:sz="8" w:space="0" w:color="D0D7E2"/>
              <w:bottom w:val="single" w:sz="8" w:space="0" w:color="D0D7E2"/>
              <w:right w:val="single" w:sz="8" w:space="0" w:color="D0D7E2"/>
            </w:tcBorders>
            <w:vAlign w:val="center"/>
          </w:tcPr>
          <w:p>
            <w:r>
              <w:rPr>
                <w:rFonts w:ascii="Calibri" w:hAnsi="Calibri"/>
                <w:sz w:val="18"/>
              </w:rPr>
              <w:t>2026-07-16</w:t>
            </w:r>
          </w:p>
        </w:tc>
      </w:tr>
      <w:tr>
        <w:tc>
          <w:tcPr>
            <w:tcW w:type="dxa" w:w="4896"/>
            <w:shd w:fill="F2F4F7"/>
            <w:tcBorders>
              <w:top w:val="single" w:sz="8" w:space="0" w:color="D0D7E2"/>
              <w:left w:val="single" w:sz="8" w:space="0" w:color="D0D7E2"/>
              <w:bottom w:val="single" w:sz="8" w:space="0" w:color="D0D7E2"/>
              <w:right w:val="single" w:sz="8" w:space="0" w:color="D0D7E2"/>
            </w:tcBorders>
            <w:vAlign w:val="center"/>
          </w:tcPr>
          <w:p>
            <w:r>
              <w:rPr>
                <w:rFonts w:ascii="Calibri" w:hAnsi="Calibri"/>
                <w:b/>
                <w:sz w:val="18"/>
              </w:rPr>
              <w:t>Source</w:t>
            </w:r>
          </w:p>
        </w:tc>
        <w:tc>
          <w:tcPr>
            <w:tcW w:type="dxa" w:w="4896"/>
            <w:tcBorders>
              <w:top w:val="single" w:sz="8" w:space="0" w:color="D0D7E2"/>
              <w:left w:val="single" w:sz="8" w:space="0" w:color="D0D7E2"/>
              <w:bottom w:val="single" w:sz="8" w:space="0" w:color="D0D7E2"/>
              <w:right w:val="single" w:sz="8" w:space="0" w:color="D0D7E2"/>
            </w:tcBorders>
            <w:vAlign w:val="center"/>
          </w:tcPr>
          <w:p>
            <w:r>
              <w:rPr>
                <w:rFonts w:ascii="Calibri" w:hAnsi="Calibri"/>
                <w:sz w:val="18"/>
              </w:rPr>
              <w:t>docs/DPIA_WORKING_DRAFT.md</w:t>
            </w:r>
          </w:p>
        </w:tc>
      </w:tr>
      <w:tr>
        <w:tc>
          <w:tcPr>
            <w:tcW w:type="dxa" w:w="4896"/>
            <w:shd w:fill="F2F4F7"/>
            <w:tcBorders>
              <w:top w:val="single" w:sz="8" w:space="0" w:color="D0D7E2"/>
              <w:left w:val="single" w:sz="8" w:space="0" w:color="D0D7E2"/>
              <w:bottom w:val="single" w:sz="8" w:space="0" w:color="D0D7E2"/>
              <w:right w:val="single" w:sz="8" w:space="0" w:color="D0D7E2"/>
            </w:tcBorders>
            <w:vAlign w:val="center"/>
          </w:tcPr>
          <w:p>
            <w:r>
              <w:rPr>
                <w:rFonts w:ascii="Calibri" w:hAnsi="Calibri"/>
                <w:b/>
                <w:sz w:val="18"/>
              </w:rPr>
              <w:t>Required approval</w:t>
            </w:r>
          </w:p>
        </w:tc>
        <w:tc>
          <w:tcPr>
            <w:tcW w:type="dxa" w:w="4896"/>
            <w:tcBorders>
              <w:top w:val="single" w:sz="8" w:space="0" w:color="D0D7E2"/>
              <w:left w:val="single" w:sz="8" w:space="0" w:color="D0D7E2"/>
              <w:bottom w:val="single" w:sz="8" w:space="0" w:color="D0D7E2"/>
              <w:right w:val="single" w:sz="8" w:space="0" w:color="D0D7E2"/>
            </w:tcBorders>
            <w:vAlign w:val="center"/>
          </w:tcPr>
          <w:p>
            <w:r>
              <w:rPr>
                <w:rFonts w:ascii="Calibri" w:hAnsi="Calibri"/>
                <w:sz w:val="18"/>
              </w:rPr>
              <w:t>Data controller, qualified EU privacy counsel or DPO, security owner, product owner</w:t>
            </w:r>
          </w:p>
        </w:tc>
      </w:tr>
    </w:tbl>
    <w:tbl>
      <w:tblPr>
        <w:tblW w:type="auto" w:w="0"/>
        <w:jc w:val="left"/>
        <w:tblLook w:firstColumn="1" w:firstRow="1" w:lastColumn="0" w:lastRow="0" w:noHBand="0" w:noVBand="1" w:val="04A0"/>
        <w:tblCellMar>
          <w:top w:w="140" w:type="dxa"/>
          <w:start w:w="160" w:type="dxa"/>
          <w:bottom w:w="140" w:type="dxa"/>
          <w:end w:w="160" w:type="dxa"/>
        </w:tblCellMar>
        <w:tblInd w:w="120" w:type="dxa"/>
      </w:tblPr>
      <w:tblGrid>
        <w:gridCol w:w="9792"/>
      </w:tblGrid>
      <w:tr>
        <w:tc>
          <w:tcPr>
            <w:tcW w:type="dxa" w:w="9792"/>
            <w:shd w:fill="FFF4E5"/>
            <w:tcBorders>
              <w:top w:val="single" w:sz="8" w:space="0" w:color="F6B26B"/>
              <w:left w:val="single" w:sz="8" w:space="0" w:color="F6B26B"/>
              <w:bottom w:val="single" w:sz="8" w:space="0" w:color="F6B26B"/>
              <w:right w:val="single" w:sz="8" w:space="0" w:color="F6B26B"/>
            </w:tcBorders>
          </w:tcPr>
          <w:p>
            <w:pPr>
              <w:spacing w:after="0"/>
            </w:pPr>
            <w:r>
              <w:rPr>
                <w:b/>
              </w:rPr>
              <w:t xml:space="preserve">Important: </w:t>
            </w:r>
            <w:r>
              <w:t>This document is an engineering-supported DPIA draft. It is not a legal opinion, certification, supervisory-authority approval, or proof of GDPR compliance.</w:t>
            </w:r>
          </w:p>
        </w:tc>
      </w:tr>
    </w:tbl>
    <w:p>
      <w:r>
        <w:br w:type="page"/>
      </w:r>
    </w:p>
    <w:tbl>
      <w:tblPr>
        <w:tblW w:type="auto" w:w="0"/>
        <w:jc w:val="left"/>
        <w:tblLook w:firstColumn="1" w:firstRow="1" w:lastColumn="0" w:lastRow="0" w:noHBand="0" w:noVBand="1" w:val="04A0"/>
        <w:tblCellMar>
          <w:top w:w="120" w:type="dxa"/>
          <w:start w:w="160" w:type="dxa"/>
          <w:bottom w:w="120" w:type="dxa"/>
          <w:end w:w="160" w:type="dxa"/>
        </w:tblCellMar>
        <w:tblInd w:w="120" w:type="dxa"/>
      </w:tblPr>
      <w:tblGrid>
        <w:gridCol w:w="9792"/>
      </w:tblGrid>
      <w:tr>
        <w:tc>
          <w:tcPr>
            <w:tcW w:type="dxa" w:w="9792"/>
            <w:shd w:fill="EAF5FC"/>
            <w:tcBorders>
              <w:top w:val="single" w:sz="8" w:space="0" w:color="9DCAE8"/>
              <w:left w:val="single" w:sz="8" w:space="0" w:color="9DCAE8"/>
              <w:bottom w:val="single" w:sz="8" w:space="0" w:color="9DCAE8"/>
              <w:right w:val="single" w:sz="8" w:space="0" w:color="9DCAE8"/>
            </w:tcBorders>
          </w:tcPr>
          <w:p>
            <w:r>
              <w:rPr>
                <w:color w:val="1F4D78"/>
                <w:sz w:val="18"/>
              </w:rPr>
              <w:t>Status: CONTROLLER WORKING DRAFT - NOT APPROVED FOR RELIANCE  Version: 2026-07-16-draft-2 Required approvers: data controller, qualified EU privacy counsel or DPO, security owner, product owner This document is an engineering-supported DPIA draft. It is not a legal opinion, certification, supervisory-authority approval, or proof of GDPR compliance.</w:t>
            </w:r>
          </w:p>
        </w:tc>
      </w:tr>
    </w:tbl>
    <w:p>
      <w:pPr>
        <w:pStyle w:val="Heading2"/>
      </w:pPr>
      <w:r>
        <w:t>1. Decision and scope</w:t>
      </w:r>
    </w:p>
    <w:p>
      <w:r>
        <w:t>The processing should be treated as requiring a DPIA before production launch. It combines potentially special-category information about a child, vulnerable data subjects, systematic scoring/profiling, AI-assisted report generation, online payments, and processing that is intended to scale across several countries and languages.</w:t>
      </w:r>
    </w:p>
    <w:p>
      <w:r>
        <w:t>This DPIA covers the end-to-end paid questionnaire flow:</w:t>
      </w:r>
    </w:p>
    <w:p>
      <w:pPr>
        <w:pStyle w:val="ListNumber"/>
      </w:pPr>
      <w:r>
        <w:t>adult language selection and legal notice;</w:t>
      </w:r>
    </w:p>
    <w:p>
      <w:pPr>
        <w:pStyle w:val="ListNumber"/>
      </w:pPr>
      <w:r>
        <w:t>terms acknowledgement and explicit consent;</w:t>
      </w:r>
    </w:p>
    <w:p>
      <w:pPr>
        <w:pStyle w:val="ListNumber"/>
      </w:pPr>
      <w:r>
        <w:t>adult purchaser contact data and observations about a child;</w:t>
      </w:r>
    </w:p>
    <w:p>
      <w:pPr>
        <w:pStyle w:val="ListNumber"/>
      </w:pPr>
      <w:r>
        <w:t>deterministic questionnaire scoring and focus selection;</w:t>
      </w:r>
    </w:p>
    <w:p>
      <w:pPr>
        <w:pStyle w:val="ListNumber"/>
      </w:pPr>
      <w:r>
        <w:t>Stripe checkout and payment webhook;</w:t>
      </w:r>
    </w:p>
    <w:p>
      <w:pPr>
        <w:pStyle w:val="ListNumber"/>
      </w:pPr>
      <w:r>
        <w:t>queued AI-assisted report generation;</w:t>
      </w:r>
    </w:p>
    <w:p>
      <w:pPr>
        <w:pStyle w:val="ListNumber"/>
      </w:pPr>
      <w:r>
        <w:t>PDF and transactional email delivery;</w:t>
      </w:r>
    </w:p>
    <w:p>
      <w:pPr>
        <w:pStyle w:val="ListNumber"/>
      </w:pPr>
      <w:r>
        <w:t>invoice generation through Szamlazz.hu;</w:t>
      </w:r>
    </w:p>
    <w:p>
      <w:pPr>
        <w:pStyle w:val="ListNumber"/>
      </w:pPr>
      <w:r>
        <w:t>optional observation diary and follow-up messages;</w:t>
      </w:r>
    </w:p>
    <w:p>
      <w:pPr>
        <w:pStyle w:val="ListNumber"/>
      </w:pPr>
      <w:r>
        <w:t>support, security logging, privacy rights, retention and erasure;</w:t>
      </w:r>
    </w:p>
    <w:p>
      <w:pPr>
        <w:pStyle w:val="ListNumber"/>
      </w:pPr>
      <w:r>
        <w:t>strictly minimised analytics where optional consent has been given.</w:t>
      </w:r>
    </w:p>
    <w:p>
      <w:r>
        <w:t>It does not approve clinical use, diagnosis, treatment selection, automated eligibility decisions, use by schools or employers, advertising based on questionnaire results, or sale of personal data.</w:t>
      </w:r>
    </w:p>
    <w:p>
      <w:pPr>
        <w:pStyle w:val="Heading2"/>
      </w:pPr>
      <w:r>
        <w:t>2. Governance and accountability</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3264"/>
        <w:gridCol w:w="3264"/>
        <w:gridCol w:w="3264"/>
      </w:tblGrid>
      <w:tr>
        <w:trPr>
          <w:tblHeader w:val="true"/>
        </w:trPr>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Role</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Responsibility</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Named owner / status</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Data controller</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Determines purposes and means; approves DPIA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Open - legal entity, registered address and establishment country must be confirmed</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Product owner</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Product scope, non-diagnostic positioning and release decision</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Open - assign named owner</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Privacy lead / DPO</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Independent review, advice and monitoring</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Open - determine whether Article 37 requires a DPO and document the decision</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Security owner</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Access control, incident response, evidence and review</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Open - assign named owner</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Clinical/content reviewer</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Reviews questionnaire and report claims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Open - qualified external review required</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Processors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Railway, Stripe, OpenAI, Resend, Szamlazz.hu, Webflow and relevant infrastructure</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Contract and transfer review incomplete</w:t>
            </w:r>
          </w:p>
        </w:tc>
      </w:tr>
    </w:tbl>
    <w:p>
      <w:r>
        <w:t>The controller must maintain the related record of processing activities, processor register, transfer assessment, retention schedule, rights log, breach log, consent evidence and release sign-off referenced by this DPIA.</w:t>
      </w:r>
    </w:p>
    <w:p>
      <w:pPr>
        <w:pStyle w:val="Heading2"/>
      </w:pPr>
      <w:r>
        <w:t>3. Processing description and data flow</w:t>
      </w:r>
    </w:p>
    <w:p>
      <w:pPr>
        <w:pStyle w:val="Heading3"/>
      </w:pPr>
      <w:r>
        <w:t>3.1 Data flow</w:t>
      </w:r>
    </w:p>
    <w:p>
      <w:r>
        <w:t>Adult browser -&gt; Webflow UI -&gt; Railway API -&gt; PostgreSQL -&gt; Stripe checkout -&gt; Stripe webhook -&gt; analysis queue/worker -&gt; OpenAI API -&gt; PDF generator -&gt; Resend email -&gt; adult email address. Invoice data flows from the paid session to Szamlazz.hu. Observation diary data may subsequently return through a tokenised link. Marketing tools must receive only coarse, non-health conversion events and only where the applicable consent/configuration permits it.</w:t>
      </w:r>
    </w:p>
    <w:p>
      <w:pPr>
        <w:pStyle w:val="Heading3"/>
      </w:pPr>
      <w:r>
        <w:t>3.2 Data subjects</w:t>
      </w:r>
    </w:p>
    <w:p>
      <w:pPr>
        <w:pStyle w:val="ListBullet"/>
      </w:pPr>
      <w:r>
        <w:t>the adult purchaser, parent, legal guardian or authorised adult;</w:t>
      </w:r>
    </w:p>
    <w:p>
      <w:pPr>
        <w:pStyle w:val="ListBullet"/>
      </w:pPr>
      <w:r>
        <w:t>the child described by the adult, who is not the contracting user;</w:t>
      </w:r>
    </w:p>
    <w:p>
      <w:pPr>
        <w:pStyle w:val="ListBullet"/>
      </w:pPr>
      <w:r>
        <w:t>support contacts and administrators whose actions appear in security logs.</w:t>
      </w:r>
    </w:p>
    <w:p>
      <w:r>
        <w:t>The service must not request a child name. A nickname may still be personal data when linked with a session, email address, answers or report, so the product should continue requesting only the parent or adult purchaser name.</w:t>
      </w:r>
    </w:p>
    <w:p>
      <w:pPr>
        <w:pStyle w:val="Heading3"/>
      </w:pPr>
      <w:r>
        <w:t>3.3 Data categories</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3264"/>
        <w:gridCol w:w="3264"/>
        <w:gridCol w:w="3264"/>
      </w:tblGrid>
      <w:tr>
        <w:trPr>
          <w:tblHeader w:val="true"/>
        </w:trPr>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Category</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Examples</w:t>
            </w:r>
          </w:p>
        </w:tc>
        <w:tc>
          <w:tcPr>
            <w:tcW w:type="dxa" w:w="3264"/>
            <w:tcBorders>
              <w:top w:val="single" w:sz="8" w:space="0" w:color="D0D7E2"/>
              <w:left w:val="single" w:sz="8" w:space="0" w:color="D0D7E2"/>
              <w:bottom w:val="single" w:sz="8" w:space="0" w:color="D0D7E2"/>
              <w:right w:val="single" w:sz="8" w:space="0" w:color="D0D7E2"/>
            </w:tcBorders>
            <w:shd w:fill="F2F4F7"/>
            <w:vAlign w:val="top"/>
          </w:tcPr>
          <w:p>
            <w:r>
              <w:rPr>
                <w:b/>
                <w:sz w:val="18"/>
              </w:rPr>
              <w:t>Sensitivity</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Adult identity/contact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adult name, email, language</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Personal data</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Child observations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behaviour, emotions, learning, routines, social and sensory observations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Potential Article 9 health-related data</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Derived screening data</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scores, ranking, focus, confidence, report text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Potential Article 9 inferred health-related data</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Contract/payment</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package, price, currency, Stripe references, timestamps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Personal/financial metadata</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Invoice</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billing identity/address/tax data, invoice number and status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Statutory financial record</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Consent/legal evidence</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actor role, policy versions, explicit consent, timestamps, withdrawal</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Accountability record</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Follow-up/diary</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strategies, context, notes and changes over time</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Potential Article 9 health-related data</w:t>
            </w:r>
          </w:p>
        </w:tc>
      </w:tr>
      <w:tr>
        <w:tc>
          <w:tcPr>
            <w:tcW w:type="dxa" w:w="3264"/>
            <w:tcBorders>
              <w:top w:val="single" w:sz="8" w:space="0" w:color="D0D7E2"/>
              <w:left w:val="single" w:sz="8" w:space="0" w:color="D0D7E2"/>
              <w:bottom w:val="single" w:sz="8" w:space="0" w:color="D0D7E2"/>
              <w:right w:val="single" w:sz="8" w:space="0" w:color="D0D7E2"/>
            </w:tcBorders>
            <w:vAlign w:val="top"/>
          </w:tcPr>
          <w:p>
            <w:r>
              <w:rPr>
                <w:sz w:val="18"/>
              </w:rPr>
              <w:t>Operations/security</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job status, delivery status, minimised request logs, admin audit events</w:t>
            </w:r>
          </w:p>
        </w:tc>
        <w:tc>
          <w:tcPr>
            <w:tcW w:type="dxa" w:w="3264"/>
            <w:tcBorders>
              <w:top w:val="single" w:sz="8" w:space="0" w:color="D0D7E2"/>
              <w:left w:val="single" w:sz="8" w:space="0" w:color="D0D7E2"/>
              <w:bottom w:val="single" w:sz="8" w:space="0" w:color="D0D7E2"/>
              <w:right w:val="single" w:sz="8" w:space="0" w:color="D0D7E2"/>
            </w:tcBorders>
            <w:vAlign w:val="top"/>
          </w:tcPr>
          <w:p>
            <w:r>
              <w:rPr>
                <w:sz w:val="18"/>
              </w:rPr>
              <w:t>Personal data where linkable</w:t>
            </w:r>
          </w:p>
        </w:tc>
      </w:tr>
    </w:tbl>
    <w:p>
      <w:r>
        <w:t>No free-form child name, precise location, school name, medical record, genetic data, biometric data, advertising profile or social-media identifier is required for the core report.</w:t>
      </w:r>
    </w:p>
    <w:p>
      <w:pPr>
        <w:pStyle w:val="Heading2"/>
      </w:pPr>
      <w:r>
        <w:t>4. Purposes and proposed legal bases</w:t>
      </w:r>
    </w:p>
    <w:p>
      <w:r>
        <w:t>Final legal bases must be approved for every target establishment and market. The engineering design currently supports the following conservative mapping:</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2448"/>
        <w:gridCol w:w="2448"/>
        <w:gridCol w:w="2448"/>
        <w:gridCol w:w="2448"/>
      </w:tblGrid>
      <w:tr>
        <w:trPr>
          <w:tblHeader w:val="true"/>
        </w:trPr>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Purpose</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Article 6 basis</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Article 9 condition</w:t>
            </w:r>
          </w:p>
        </w:tc>
        <w:tc>
          <w:tcPr>
            <w:tcW w:type="dxa" w:w="2448"/>
            <w:tcBorders>
              <w:top w:val="single" w:sz="8" w:space="0" w:color="D0D7E2"/>
              <w:left w:val="single" w:sz="8" w:space="0" w:color="D0D7E2"/>
              <w:bottom w:val="single" w:sz="8" w:space="0" w:color="D0D7E2"/>
              <w:right w:val="single" w:sz="8" w:space="0" w:color="D0D7E2"/>
            </w:tcBorders>
            <w:shd w:fill="F2F4F7"/>
            <w:vAlign w:val="top"/>
          </w:tcPr>
          <w:p>
            <w:r>
              <w:rPr>
                <w:b/>
                <w:sz w:val="18"/>
              </w:rPr>
              <w:t>Notes</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Create paid report, payment, delivery and support</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6(1)(b), contract / pre-contract steps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9(2)(a), explicit consent for questionnaire and inferred health-related data</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Withdrawal stops future sensitive processing; contract cannot override Article 9</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Invoice and mandatory accounting/consumer records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6(1)(c), legal obligation</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Not normally required for questionnaire data; isolate invoice records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Exact national retention law must be confirmed</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Security, abuse prevention and service integrity</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6(1)(f), legitimate interests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Avoid special-category content in logs; if unavoidable obtain legal approval</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Requires a documented legitimate-interest assessment</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Privacy-rights and complaint handling</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6(1)(c), legal obligation</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9(2)(f) may be relevant for legal claims; counsel to confirm</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Identity verification is by session access token</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Optional first-party analytics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6(1)(a), consent</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Must not include Article 9 data</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Default denied; withdrawal must be as easy as grant</w:t>
            </w:r>
          </w:p>
        </w:tc>
      </w:tr>
      <w:tr>
        <w:tc>
          <w:tcPr>
            <w:tcW w:type="dxa" w:w="2448"/>
            <w:tcBorders>
              <w:top w:val="single" w:sz="8" w:space="0" w:color="D0D7E2"/>
              <w:left w:val="single" w:sz="8" w:space="0" w:color="D0D7E2"/>
              <w:bottom w:val="single" w:sz="8" w:space="0" w:color="D0D7E2"/>
              <w:right w:val="single" w:sz="8" w:space="0" w:color="D0D7E2"/>
            </w:tcBorders>
            <w:vAlign w:val="top"/>
          </w:tcPr>
          <w:p>
            <w:r>
              <w:rPr>
                <w:sz w:val="18"/>
              </w:rPr>
              <w:t>Advertising/remarketing</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Not enabled for health or child-related profiles</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No valid product need identified</w:t>
            </w:r>
          </w:p>
        </w:tc>
        <w:tc>
          <w:tcPr>
            <w:tcW w:type="dxa" w:w="2448"/>
            <w:tcBorders>
              <w:top w:val="single" w:sz="8" w:space="0" w:color="D0D7E2"/>
              <w:left w:val="single" w:sz="8" w:space="0" w:color="D0D7E2"/>
              <w:bottom w:val="single" w:sz="8" w:space="0" w:color="D0D7E2"/>
              <w:right w:val="single" w:sz="8" w:space="0" w:color="D0D7E2"/>
            </w:tcBorders>
            <w:vAlign w:val="top"/>
          </w:tcPr>
          <w:p>
            <w:r>
              <w:rPr>
                <w:sz w:val="18"/>
              </w:rPr>
              <w:t>Questionnaire answers, inferred focus and report data are prohibited from ad platforms</w:t>
            </w:r>
          </w:p>
        </w:tc>
      </w:tr>
    </w:tbl>
    <w:p>
      <w:r>
        <w:t>Explicit consent must be specific, informed, unambiguous, recorded, language-matched, separate from optional analytics, and capable of withdrawal without detriment to prior lawful processing. Consent is not a substitute for necessity, minimisation or transparent product claims.</w:t>
      </w:r>
    </w:p>
    <w:p>
      <w:pPr>
        <w:pStyle w:val="Heading2"/>
      </w:pPr>
      <w:r>
        <w:t>5. Necessity and proportionality</w:t>
      </w:r>
    </w:p>
    <w:p>
      <w:pPr>
        <w:pStyle w:val="Heading3"/>
      </w:pPr>
      <w:r>
        <w:t>5.1 Necessity</w:t>
      </w:r>
    </w:p>
    <w:p>
      <w:pPr>
        <w:pStyle w:val="ListBullet"/>
      </w:pPr>
      <w:r>
        <w:t>Adult email is necessary to deliver the purchased report and contract confirmation.</w:t>
      </w:r>
    </w:p>
    <w:p>
      <w:pPr>
        <w:pStyle w:val="ListBullet"/>
      </w:pPr>
      <w:r>
        <w:t>Adult name is used for correspondence; a child name is not necessary.</w:t>
      </w:r>
    </w:p>
    <w:p>
      <w:pPr>
        <w:pStyle w:val="ListBullet"/>
      </w:pPr>
      <w:r>
        <w:t>Questionnaire answers are necessary only for scoring and report generation.</w:t>
      </w:r>
    </w:p>
    <w:p>
      <w:pPr>
        <w:pStyle w:val="ListBullet"/>
      </w:pPr>
      <w:r>
        <w:t>Package, payment and invoice metadata are necessary for contract performance and statutory records.</w:t>
      </w:r>
    </w:p>
    <w:p>
      <w:pPr>
        <w:pStyle w:val="ListBullet"/>
      </w:pPr>
      <w:r>
        <w:t>AI receives only the report-generation payload required for the purchased output.</w:t>
      </w:r>
    </w:p>
    <w:p>
      <w:pPr>
        <w:pStyle w:val="ListBullet"/>
      </w:pPr>
      <w:r>
        <w:t>Operational logs should contain IDs and statuses, not questionnaire text or inferred conditions.</w:t>
      </w:r>
    </w:p>
    <w:p>
      <w:pPr>
        <w:pStyle w:val="Heading3"/>
      </w:pPr>
      <w:r>
        <w:t>5.2 Less intrusive alternatives</w:t>
      </w:r>
    </w:p>
    <w:p>
      <w:pPr>
        <w:pStyle w:val="ListBullet"/>
      </w:pPr>
      <w:r>
        <w:t>Anonymous local-only scoring would reduce risk but cannot support paid email delivery and personalised reports.</w:t>
      </w:r>
    </w:p>
    <w:p>
      <w:pPr>
        <w:pStyle w:val="ListBullet"/>
      </w:pPr>
      <w:r>
        <w:t>A static educational guide would avoid profiling but would not deliver the selected service.</w:t>
      </w:r>
    </w:p>
    <w:p>
      <w:pPr>
        <w:pStyle w:val="ListBullet"/>
      </w:pPr>
      <w:r>
        <w:t>Collecting a child name, exact date of birth, school, address or medical history is unnecessary and rejected.</w:t>
      </w:r>
    </w:p>
    <w:p>
      <w:pPr>
        <w:pStyle w:val="ListBullet"/>
      </w:pPr>
      <w:r>
        <w:t>Sending raw answers or inferred focus to advertising tools is unnecessary and prohibited.</w:t>
      </w:r>
    </w:p>
    <w:p>
      <w:pPr>
        <w:pStyle w:val="Heading3"/>
      </w:pPr>
      <w:r>
        <w:t>5.3 Accuracy and fairness</w:t>
      </w:r>
    </w:p>
    <w:p>
      <w:r>
        <w:t>The output must be described as an informational, structured screening summary, not a diagnosis, medical device output, treatment recommendation, or substitute for a qualified professional. Age-aware wording, uncertainty, limitations and escalation guidance must be visible. The controller must commission qualified psychological/clinical and linguistic review before relying on the content in each market.</w:t>
      </w:r>
    </w:p>
    <w:p>
      <w:pPr>
        <w:pStyle w:val="Heading2"/>
      </w:pPr>
      <w:r>
        <w:t>6. Transparency and data-subject rights</w:t>
      </w:r>
    </w:p>
    <w:p>
      <w:r>
        <w:t>Implemented controls:</w:t>
      </w:r>
    </w:p>
    <w:p>
      <w:pPr>
        <w:pStyle w:val="ListBullet"/>
      </w:pPr>
      <w:r>
        <w:t>language selection precedes the legal flow;</w:t>
      </w:r>
    </w:p>
    <w:p>
      <w:pPr>
        <w:pStyle w:val="ListBullet"/>
      </w:pPr>
      <w:r>
        <w:t>terms and privacy information require scrolling and separate acknowledgements;</w:t>
      </w:r>
    </w:p>
    <w:p>
      <w:pPr>
        <w:pStyle w:val="ListBullet"/>
      </w:pPr>
      <w:r>
        <w:t>Article 9 explicit consent is separate from optional analytics;</w:t>
      </w:r>
    </w:p>
    <w:p>
      <w:pPr>
        <w:pStyle w:val="ListBullet"/>
      </w:pPr>
      <w:r>
        <w:t>advertising consent remains denied;</w:t>
      </w:r>
    </w:p>
    <w:p>
      <w:pPr>
        <w:pStyle w:val="ListBullet"/>
      </w:pPr>
      <w:r>
        <w:t>policy versions, language, actor role and timestamps are stored;</w:t>
      </w:r>
    </w:p>
    <w:p>
      <w:pPr>
        <w:pStyle w:val="ListBullet"/>
      </w:pPr>
      <w:r>
        <w:t>the UI identifies the contracting person as the parent/adult purchaser;</w:t>
      </w:r>
    </w:p>
    <w:p>
      <w:pPr>
        <w:pStyle w:val="ListBullet"/>
      </w:pPr>
      <w:r>
        <w:t>an authenticated rights centre supports access, portability, erasure, restriction, rectification, objection and consent withdrawal;</w:t>
      </w:r>
    </w:p>
    <w:p>
      <w:pPr>
        <w:pStyle w:val="ListBullet"/>
      </w:pPr>
      <w:r>
        <w:t>access and portability produce machine-readable JSON;</w:t>
      </w:r>
    </w:p>
    <w:p>
      <w:pPr>
        <w:pStyle w:val="ListBullet"/>
      </w:pPr>
      <w:r>
        <w:t>erasure removes questionnaire/report/diary data while segregated statutory invoice records may remain;</w:t>
      </w:r>
    </w:p>
    <w:p>
      <w:pPr>
        <w:pStyle w:val="ListBullet"/>
      </w:pPr>
      <w:r>
        <w:t>processing restriction blocks analysis, report delivery and follow-up, but does not suppress mandatory contract confirmations;</w:t>
      </w:r>
    </w:p>
    <w:p>
      <w:pPr>
        <w:pStyle w:val="ListBullet"/>
      </w:pPr>
      <w:r>
        <w:t>requests have an auditable deadline, status and event history.</w:t>
      </w:r>
    </w:p>
    <w:p>
      <w:r>
        <w:t>Remaining legal tasks:</w:t>
      </w:r>
    </w:p>
    <w:p>
      <w:pPr>
        <w:pStyle w:val="ListBullet"/>
      </w:pPr>
      <w:r>
        <w:t>publish controller identity, registered address, country, DPO/representative details where applicable, and lead supervisory authority;</w:t>
      </w:r>
    </w:p>
    <w:p>
      <w:pPr>
        <w:pStyle w:val="ListBullet"/>
      </w:pPr>
      <w:r>
        <w:t>legally review all 11 language versions and accessibility;</w:t>
      </w:r>
    </w:p>
    <w:p>
      <w:pPr>
        <w:pStyle w:val="ListBullet"/>
      </w:pPr>
      <w:r>
        <w:t>define alternative identity verification for users who no longer possess the session token;</w:t>
      </w:r>
    </w:p>
    <w:p>
      <w:pPr>
        <w:pStyle w:val="ListBullet"/>
      </w:pPr>
      <w:r>
        <w:t>document rules for manifestly unfounded/excessive requests, extensions and refusal notices;</w:t>
      </w:r>
    </w:p>
    <w:p>
      <w:pPr>
        <w:pStyle w:val="ListBullet"/>
      </w:pPr>
      <w:r>
        <w:t>validate national rules affecting parental authority and children in every marketed country.</w:t>
      </w:r>
    </w:p>
    <w:p>
      <w:pPr>
        <w:pStyle w:val="Heading2"/>
      </w:pPr>
      <w:r>
        <w:t>7. Retention and deletion</w:t>
      </w:r>
    </w:p>
    <w:p>
      <w:r>
        <w:t>Default engineering schedule:</w:t>
      </w:r>
    </w:p>
    <w:p>
      <w:pPr>
        <w:pStyle w:val="ListBullet"/>
      </w:pPr>
      <w:r>
        <w:t>questionnaire, report and related sensitive session data: 90 days after creation unless a shorter contractual need applies;</w:t>
      </w:r>
    </w:p>
    <w:p>
      <w:pPr>
        <w:pStyle w:val="ListBullet"/>
      </w:pPr>
      <w:r>
        <w:t>raw webhook payloads: redact after 14 days; retain only event identity/status needed for reconciliation and fraud evidence;</w:t>
      </w:r>
    </w:p>
    <w:p>
      <w:pPr>
        <w:pStyle w:val="ListBullet"/>
      </w:pPr>
      <w:r>
        <w:t>observation diary: expire with the programme and remove with the linked sensitive session;</w:t>
      </w:r>
    </w:p>
    <w:p>
      <w:pPr>
        <w:pStyle w:val="ListBullet"/>
      </w:pPr>
      <w:r>
        <w:t>admin/rate-limit operational records: short rolling retention;</w:t>
      </w:r>
    </w:p>
    <w:p>
      <w:pPr>
        <w:pStyle w:val="ListBullet"/>
      </w:pPr>
      <w:r>
        <w:t>consent and rights evidence: retain only for the period necessary to demonstrate compliance or handle claims;</w:t>
      </w:r>
    </w:p>
    <w:p>
      <w:pPr>
        <w:pStyle w:val="ListBullet"/>
      </w:pPr>
      <w:r>
        <w:t>invoices/accounting records: retain separately for the statutory period determined by the relevant accounting law.</w:t>
      </w:r>
    </w:p>
    <w:p>
      <w:r>
        <w:t xml:space="preserve">The </w:t>
      </w:r>
      <w:r>
        <w:rPr>
          <w:rFonts w:ascii="Consolas" w:hAnsi="Consolas"/>
          <w:sz w:val="20"/>
        </w:rPr>
        <w:t>data-lifecycle</w:t>
      </w:r>
      <w:r>
        <w:t xml:space="preserve"> cron must run in production, be monitored, and produce evidence. Legal hold must be documented, narrowly scoped, approved and time-limited. Backups require equivalent expiry and restoration controls; deletion from the live database alone is not sufficient.</w:t>
      </w:r>
    </w:p>
    <w:p>
      <w:pPr>
        <w:pStyle w:val="Heading2"/>
      </w:pPr>
      <w:r>
        <w:t>8. Recipients, processors and transfers</w:t>
      </w:r>
    </w:p>
    <w:p>
      <w:r>
        <w:t>Expected vendors include Railway/PostgreSQL, Stripe, OpenAI, Resend, Szamlazz.hu and Webflow. Before launch, the controller must for each vendor verify:</w:t>
      </w:r>
    </w:p>
    <w:p>
      <w:pPr>
        <w:pStyle w:val="ListBullet"/>
      </w:pPr>
      <w:r>
        <w:t>controller/processor role and signed Article 28 terms where relevant;</w:t>
      </w:r>
    </w:p>
    <w:p>
      <w:pPr>
        <w:pStyle w:val="ListBullet"/>
      </w:pPr>
      <w:r>
        <w:t>processing locations and subprocessor list;</w:t>
      </w:r>
    </w:p>
    <w:p>
      <w:pPr>
        <w:pStyle w:val="ListBullet"/>
      </w:pPr>
      <w:r>
        <w:t>EEA adequacy or appropriate transfer safeguard, including SCCs where required;</w:t>
      </w:r>
    </w:p>
    <w:p>
      <w:pPr>
        <w:pStyle w:val="ListBullet"/>
      </w:pPr>
      <w:r>
        <w:t>transfer impact assessment and supplementary technical/organisational measures;</w:t>
      </w:r>
    </w:p>
    <w:p>
      <w:pPr>
        <w:pStyle w:val="ListBullet"/>
      </w:pPr>
      <w:r>
        <w:t>retention, deletion, training/use-of-data settings and incident notification terms;</w:t>
      </w:r>
    </w:p>
    <w:p>
      <w:pPr>
        <w:pStyle w:val="ListBullet"/>
      </w:pPr>
      <w:r>
        <w:t>access controls, encryption, availability and audit evidence;</w:t>
      </w:r>
    </w:p>
    <w:p>
      <w:pPr>
        <w:pStyle w:val="ListBullet"/>
      </w:pPr>
      <w:r>
        <w:t>whether special-category and child-related data are contractually permitted.</w:t>
      </w:r>
    </w:p>
    <w:p>
      <w:r>
        <w:t>Vendor marketing or model-training use of questionnaire/report data must be disabled or contractually excluded. Exact production regions and account settings must be recorded, not inferred from public vendor documentation.</w:t>
      </w:r>
    </w:p>
    <w:p>
      <w:pPr>
        <w:pStyle w:val="Heading2"/>
      </w:pPr>
      <w:r>
        <w:t>9. Automated processing and AI</w:t>
      </w:r>
    </w:p>
    <w:p>
      <w:r>
        <w:t>Deterministic code selects questions, computes scores and ranks focus areas. OpenAI assists with parent-friendly report text. The service is designed not to make a decision producing legal or similarly significant effects under Article 22: it does not decide treatment, school access, insurance, employment, benefits or eligibility. This conclusion must be re-evaluated if customers or institutions begin using the report for consequential decisions.</w:t>
      </w:r>
    </w:p>
    <w:p>
      <w:r>
        <w:t>Controls:</w:t>
      </w:r>
    </w:p>
    <w:p>
      <w:pPr>
        <w:pStyle w:val="ListBullet"/>
      </w:pPr>
      <w:r>
        <w:t>non-diagnostic wording and uncertainty requirements;</w:t>
      </w:r>
    </w:p>
    <w:p>
      <w:pPr>
        <w:pStyle w:val="ListBullet"/>
      </w:pPr>
      <w:r>
        <w:t>structured prompt and output validation;</w:t>
      </w:r>
    </w:p>
    <w:p>
      <w:pPr>
        <w:pStyle w:val="ListBullet"/>
      </w:pPr>
      <w:r>
        <w:t>deterministic scoring retained separately from generated prose;</w:t>
      </w:r>
    </w:p>
    <w:p>
      <w:pPr>
        <w:pStyle w:val="ListBullet"/>
      </w:pPr>
      <w:r>
        <w:t>no model access to unnecessary billing or advertising identifiers;</w:t>
      </w:r>
    </w:p>
    <w:p>
      <w:pPr>
        <w:pStyle w:val="ListBullet"/>
      </w:pPr>
      <w:r>
        <w:t>human escalation route and advice to seek qualified professional help;</w:t>
      </w:r>
    </w:p>
    <w:p>
      <w:pPr>
        <w:pStyle w:val="ListBullet"/>
      </w:pPr>
      <w:r>
        <w:t>versioned model/prompt/report evidence;</w:t>
      </w:r>
    </w:p>
    <w:p>
      <w:pPr>
        <w:pStyle w:val="ListBullet"/>
      </w:pPr>
      <w:r>
        <w:t>no online generation of new screening questions during an assessment;</w:t>
      </w:r>
    </w:p>
    <w:p>
      <w:pPr>
        <w:pStyle w:val="ListBullet"/>
      </w:pPr>
      <w:r>
        <w:t>output and incident monitoring for hallucination, bias, language mixing and unsafe advice.</w:t>
      </w:r>
    </w:p>
    <w:p>
      <w:pPr>
        <w:pStyle w:val="Heading2"/>
      </w:pPr>
      <w:r>
        <w:t>10. Risk assessment method</w:t>
      </w:r>
    </w:p>
    <w:p>
      <w:r>
        <w:t>Likelihood (L) and impact (I) are scored from 1 (low) to 5 (very high). Score = L x I. 1-4 low, 5-9 moderate, 10-15 high, 16-25 very high. Residual scores assume the listed engineering controls are operating and verified. Legal, clinical, vendor and transfer controls marked open cannot be treated as completed.</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1958"/>
        <w:gridCol w:w="1958"/>
        <w:gridCol w:w="1958"/>
        <w:gridCol w:w="1958"/>
        <w:gridCol w:w="1958"/>
      </w:tblGrid>
      <w:tr>
        <w:trPr>
          <w:tblHeader w:val="true"/>
        </w:trPr>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Risk scenario</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Inherent LxI</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Controls / evidence</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Residual LxI</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Owner / action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Unauthorised access exposes child-related answers/reports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tokenised sessions, admin auth, least-data APIs, restricted logs, security audit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Security owner; external penetration test and access review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Report sent to mistyped or compromised email</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email validation, contract confirmation, delivery monitoring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Product/privacy; add verified-email or correction workflow before scale</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User interprets report as diagnosis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repeated non-diagnostic wording, limitations, professional escalation</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Clinical/legal external review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AI produces unsafe, overconfident or incorrect advice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structured prompts, output checks, versioning, parent-safe language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Clinical QA and sampled human review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Sensitive data reaches ad/analytics platforms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consent default denied, payload minimisation, advertising disabled</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1x5=5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Privacy/security; production network inspection before launch</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Consent is invalid, bundled or language-mismatched</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two-step versioned flow, explicit Article 9 consent, separate analytics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Privacy counsel and native-language legal review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Child is identifiable through unnecessary name/nickname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3x4=12</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adult-name label, no child-name field, minimisation statement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1x4=4</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Product; monitor free-text content</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Sensitive data is retained beyond necessity</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retention timestamps, lifecycle cron, erasure service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Operations; backup deletion and cron evidence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Erasure removes invoices that law requires, or keeps sensitive data improperly</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3x4=12</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segregated financial retention, sensitive pseudonymisation</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1x4=4</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Privacy/accounting counsel to validate national periods</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Rights request is disclosed to an impostor</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high-entropy session token, hashed request token, no email-only instant export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1x5=5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Privacy; manual fallback identity procedure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Restriction/withdrawal is ignored by worker or email pipeline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central governance gates and query filters before processing/send</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1x5=5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Engineering; recurring integration evidence required</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Cross-border transfer lacks valid safeguard</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4x5=20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no complete control until contracts, regions and TIA are verified</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Controller/privacy counsel - open high residual risk</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Processor uses data for model training or incompatible purpose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intended API/business terms and minimised payload</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Vendor owner; account setting and DPA evidence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Language defects make consent or report misleading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4x4=16</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11-language assets, fallback checks, language audits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2x4=8</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Native legal/clinical review per language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Service outage/payment race loses paid report</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4x3=12</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idempotent webhook, queue, worker, retries, recovery monitoring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2x3=6</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Operations; production load/DR evidence required</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Breach is detected or notified too late</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logging, alerts, breach runbook</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Controller/security; tabletop exercise and contacts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Product falls within medical-device regulation despite positioning</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informational scope, no diagnosis/treatment decision, disclaimers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Qualified MDR counsel assessment open</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School/insurer/employer uses report for consequential decisions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3x5=15</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consumer-facing terms and non-diagnostic limitations</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2x5=10</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Product/legal; prohibit institutional decision use and monitor complaints</w:t>
            </w:r>
          </w:p>
        </w:tc>
      </w:tr>
    </w:tbl>
    <w:p>
      <w:pPr>
        <w:pStyle w:val="Heading2"/>
      </w:pPr>
      <w:r>
        <w:t>11. Security and organisational measures</w:t>
      </w:r>
    </w:p>
    <w:p>
      <w:r>
        <w:t>Current or designed controls include TLS transport, environment-based secrets, hashed access/rights tokens, parameterised SQL, idempotent webhook handling, queued workers, admin authentication, rate limiting, audit events, CORS allow-listing, processing restriction, sensitive erasure, lifecycle jobs and minimised marketing payloads.</w:t>
      </w:r>
    </w:p>
    <w:p>
      <w:r>
        <w:t>Before approval, evidence is required for encryption at rest, secret rotation, least-privilege production access, MFA, dependency/security scans, backup restoration and deletion, penetration testing, logging redaction, incident alerting, disaster recovery, vendor access, and separation of web/worker/database duties.</w:t>
      </w:r>
    </w:p>
    <w:p>
      <w:pPr>
        <w:pStyle w:val="Heading2"/>
      </w:pPr>
      <w:r>
        <w:t>12. Personal-data breach response</w:t>
      </w:r>
    </w:p>
    <w:p>
      <w:r>
        <w:t>The controller must use the breach runbook to contain, preserve evidence, assess confidentiality/integrity/availability effects, identify affected people and data, and decide notification. GDPR supervisory-authority notification is required without undue delay and, where feasible, within 72 hours after awareness when the breach is likely to result in risk. High-risk affected people must be informed without undue delay unless an applicable exception is documented. Processor contracts must support sufficiently fast notification.</w:t>
      </w:r>
    </w:p>
    <w:p>
      <w:pPr>
        <w:pStyle w:val="Heading2"/>
      </w:pPr>
      <w:r>
        <w:t>13. Consumer and digital-content obligations</w:t>
      </w:r>
    </w:p>
    <w:p>
      <w:r>
        <w:t>The checkout must clearly show trader identity, total price, currency, package scope, delivery method, complaint/support route, and digital performance terms before payment. The order button must unambiguously indicate an obligation to pay. Where immediate digital performance affects the withdrawal right, the adult must expressly request immediate performance and acknowledge the consequence; the controller must then provide durable-medium contract confirmation. Mandatory conformity/remedy rights for digital content cannot be waived by UI text.</w:t>
      </w:r>
    </w:p>
    <w:p>
      <w:r>
        <w:t>Exact national implementation, VAT/invoice language and withdrawal exceptions require counsel review for all target markets.</w:t>
      </w:r>
    </w:p>
    <w:p>
      <w:pPr>
        <w:pStyle w:val="Heading2"/>
      </w:pPr>
      <w:r>
        <w:t>14. Consultation</w:t>
      </w:r>
    </w:p>
    <w:p>
      <w:r>
        <w:t>Required consultation before approval:</w:t>
      </w:r>
    </w:p>
    <w:p>
      <w:pPr>
        <w:pStyle w:val="ListBullet"/>
      </w:pPr>
      <w:r>
        <w:t>qualified EU privacy counsel/DPO;</w:t>
      </w:r>
    </w:p>
    <w:p>
      <w:pPr>
        <w:pStyle w:val="ListBullet"/>
      </w:pPr>
      <w:r>
        <w:t>security owner and independent penetration tester;</w:t>
      </w:r>
    </w:p>
    <w:p>
      <w:pPr>
        <w:pStyle w:val="ListBullet"/>
      </w:pPr>
      <w:r>
        <w:t>qualified child-development/psychology reviewer;</w:t>
      </w:r>
    </w:p>
    <w:p>
      <w:pPr>
        <w:pStyle w:val="ListBullet"/>
      </w:pPr>
      <w:r>
        <w:t>native legal and content reviewers for all offered languages;</w:t>
      </w:r>
    </w:p>
    <w:p>
      <w:pPr>
        <w:pStyle w:val="ListBullet"/>
      </w:pPr>
      <w:r>
        <w:t>accounting/tax adviser for invoice retention;</w:t>
      </w:r>
    </w:p>
    <w:p>
      <w:pPr>
        <w:pStyle w:val="ListBullet"/>
      </w:pPr>
      <w:r>
        <w:t>representative adult users where feasible, without exposing real child data.</w:t>
      </w:r>
    </w:p>
    <w:p>
      <w:r>
        <w:t>If the completed DPIA still identifies high risk that the controller cannot mitigate, the controller must obtain advice on prior consultation with the competent supervisory authority under GDPR Article 36 before processing begins.</w:t>
      </w:r>
    </w:p>
    <w:p>
      <w:pPr>
        <w:pStyle w:val="Heading2"/>
      </w:pPr>
      <w:r>
        <w:t>15. Residual-risk decision</w:t>
      </w:r>
    </w:p>
    <w:p>
      <w:r>
        <w:rPr>
          <w:b/>
        </w:rPr>
        <w:t>Current decision: DO NOT MARK DPIA APPROVED.</w:t>
      </w:r>
      <w:r>
        <w:t xml:space="preserve"> Residual risk remains high because processor/transfer evidence, controller identity, DPO decision, external legal review, clinical/content validation, target-country rules, production security evidence and medical-device classification have not been signed off.</w:t>
      </w:r>
    </w:p>
    <w:p>
      <w:r>
        <w:t xml:space="preserve">Engineering controls materially reduce risk but do not close these governance items. </w:t>
      </w:r>
      <w:r>
        <w:rPr>
          <w:rFonts w:ascii="Consolas" w:hAnsi="Consolas"/>
          <w:sz w:val="20"/>
        </w:rPr>
        <w:t>DPIA_APPROVED</w:t>
      </w:r>
      <w:r>
        <w:t xml:space="preserve"> and related launch-gate variables must remain false until named approvers sign </w:t>
      </w:r>
      <w:r>
        <w:rPr>
          <w:rFonts w:ascii="Consolas" w:hAnsi="Consolas"/>
          <w:sz w:val="20"/>
        </w:rPr>
        <w:t>LEGAL_RELEASE_SIGNOFF.md</w:t>
      </w:r>
      <w:r>
        <w:t xml:space="preserve"> with evidence links.</w:t>
      </w:r>
    </w:p>
    <w:p>
      <w:pPr>
        <w:pStyle w:val="Heading2"/>
      </w:pPr>
      <w:r>
        <w:t>16. Review triggers</w:t>
      </w:r>
    </w:p>
    <w:p>
      <w:r>
        <w:t>Review at least annually and immediately when any of the following changes:</w:t>
      </w:r>
    </w:p>
    <w:p>
      <w:pPr>
        <w:pStyle w:val="ListBullet"/>
      </w:pPr>
      <w:r>
        <w:t>purposes, target users, target countries or advertising strategy;</w:t>
      </w:r>
    </w:p>
    <w:p>
      <w:pPr>
        <w:pStyle w:val="ListBullet"/>
      </w:pPr>
      <w:r>
        <w:t>questionnaire domains, clinical claims or scoring thresholds;</w:t>
      </w:r>
    </w:p>
    <w:p>
      <w:pPr>
        <w:pStyle w:val="ListBullet"/>
      </w:pPr>
      <w:r>
        <w:t>AI model, prompt, data use, processor or region;</w:t>
      </w:r>
    </w:p>
    <w:p>
      <w:pPr>
        <w:pStyle w:val="ListBullet"/>
      </w:pPr>
      <w:r>
        <w:t>retention period, new data category or new integration;</w:t>
      </w:r>
    </w:p>
    <w:p>
      <w:pPr>
        <w:pStyle w:val="ListBullet"/>
      </w:pPr>
      <w:r>
        <w:t>use by schools, clinicians, insurers, employers or public bodies;</w:t>
      </w:r>
    </w:p>
    <w:p>
      <w:pPr>
        <w:pStyle w:val="ListBullet"/>
      </w:pPr>
      <w:r>
        <w:t>a significant incident, complaint, rights trend or model safety issue;</w:t>
      </w:r>
    </w:p>
    <w:p>
      <w:pPr>
        <w:pStyle w:val="ListBullet"/>
      </w:pPr>
      <w:r>
        <w:t>evidence that the report affects consequential decisions;</w:t>
      </w:r>
    </w:p>
    <w:p>
      <w:pPr>
        <w:pStyle w:val="ListBullet"/>
      </w:pPr>
      <w:r>
        <w:t>legal or regulatory guidance affecting children, AI, health data, digital content or medical devices.</w:t>
      </w:r>
    </w:p>
    <w:p>
      <w:pPr>
        <w:pStyle w:val="Heading2"/>
      </w:pPr>
      <w:r>
        <w:t>17. Approval record</w:t>
      </w:r>
    </w:p>
    <w:tbl>
      <w:tblPr>
        <w:tblStyle w:val="TableGrid"/>
        <w:tblW w:type="auto" w:w="0"/>
        <w:jc w:val="left"/>
        <w:tblLook w:firstColumn="1" w:firstRow="1" w:lastColumn="0" w:lastRow="0" w:noHBand="0" w:noVBand="1" w:val="04A0"/>
        <w:tblCellMar>
          <w:top w:w="80" w:type="dxa"/>
          <w:start w:w="120" w:type="dxa"/>
          <w:bottom w:w="80" w:type="dxa"/>
          <w:end w:w="120" w:type="dxa"/>
        </w:tblCellMar>
        <w:tblInd w:w="120" w:type="dxa"/>
      </w:tblPr>
      <w:tblGrid>
        <w:gridCol w:w="1958"/>
        <w:gridCol w:w="1958"/>
        <w:gridCol w:w="1958"/>
        <w:gridCol w:w="1958"/>
        <w:gridCol w:w="1958"/>
      </w:tblGrid>
      <w:tr>
        <w:trPr>
          <w:tblHeader w:val="true"/>
        </w:trPr>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Approval</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Name</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Date</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Decision</w:t>
            </w:r>
          </w:p>
        </w:tc>
        <w:tc>
          <w:tcPr>
            <w:tcW w:type="dxa" w:w="1958"/>
            <w:tcBorders>
              <w:top w:val="single" w:sz="8" w:space="0" w:color="D0D7E2"/>
              <w:left w:val="single" w:sz="8" w:space="0" w:color="D0D7E2"/>
              <w:bottom w:val="single" w:sz="8" w:space="0" w:color="D0D7E2"/>
              <w:right w:val="single" w:sz="8" w:space="0" w:color="D0D7E2"/>
            </w:tcBorders>
            <w:shd w:fill="F2F4F7"/>
            <w:vAlign w:val="top"/>
          </w:tcPr>
          <w:p>
            <w:r>
              <w:rPr>
                <w:b/>
                <w:sz w:val="18"/>
              </w:rPr>
              <w:t>Evidence / conditions</w:t>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Controller</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Open</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Privacy counsel / DPO</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Open</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Security owner</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Open</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Clinical/content reviewer</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Open</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r>
        <w:tc>
          <w:tcPr>
            <w:tcW w:type="dxa" w:w="1958"/>
            <w:tcBorders>
              <w:top w:val="single" w:sz="8" w:space="0" w:color="D0D7E2"/>
              <w:left w:val="single" w:sz="8" w:space="0" w:color="D0D7E2"/>
              <w:bottom w:val="single" w:sz="8" w:space="0" w:color="D0D7E2"/>
              <w:right w:val="single" w:sz="8" w:space="0" w:color="D0D7E2"/>
            </w:tcBorders>
            <w:vAlign w:val="top"/>
          </w:tcPr>
          <w:p>
            <w:r>
              <w:rPr>
                <w:sz w:val="18"/>
              </w:rPr>
              <w:t>Product owner</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t>Open</w:t>
            </w:r>
          </w:p>
        </w:tc>
        <w:tc>
          <w:tcPr>
            <w:tcW w:type="dxa" w:w="1958"/>
            <w:tcBorders>
              <w:top w:val="single" w:sz="8" w:space="0" w:color="D0D7E2"/>
              <w:left w:val="single" w:sz="8" w:space="0" w:color="D0D7E2"/>
              <w:bottom w:val="single" w:sz="8" w:space="0" w:color="D0D7E2"/>
              <w:right w:val="single" w:sz="8" w:space="0" w:color="D0D7E2"/>
            </w:tcBorders>
            <w:vAlign w:val="top"/>
          </w:tcPr>
          <w:p>
            <w:r>
              <w:rPr>
                <w:sz w:val="18"/>
              </w:rPr>
            </w:r>
          </w:p>
        </w:tc>
      </w:tr>
    </w:tbl>
    <w:p>
      <w:r>
        <w:t>No blank row constitutes approval.</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980"/>
        <w:sz w:val="16"/>
      </w:rPr>
      <w:t>Controller working draft - not approved for reliance</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96980"/>
        <w:sz w:val="16"/>
      </w:rPr>
      <w:t>NeuroMap Kids DPIA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969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