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Subtitle"/>
        <w:spacing w:before="0" w:after="160"/>
      </w:pPr>
      <w:r>
        <w:rPr>
          <w:b/>
          <w:color w:val="098DCC"/>
          <w:sz w:val="22"/>
          <w:szCs w:val="22"/>
        </w:rPr>
        <w:t xml:space="preserve">NEUROMAP KIDS</w:t>
      </w:r>
    </w:p>
    <w:p>
      <w:pPr>
        <w:pStyle w:val="Title"/>
        <w:spacing w:before="0" w:after="180"/>
        <w:keepNext/>
      </w:pPr>
      <w:r>
        <w:t xml:space="preserve">NeuroMap Kids adatvédelmi hatásvizsgálat</w:t>
      </w:r>
    </w:p>
    <w:p>
      <w:pPr>
        <w:pStyle w:val="Subtitle"/>
        <w:spacing w:before="0" w:after="260"/>
      </w:pPr>
      <w:r>
        <w:rPr>
          <w:color w:val="5D6B82"/>
          <w:sz w:val="24"/>
          <w:szCs w:val="24"/>
        </w:rPr>
        <w:t xml:space="preserve">Adatvédelmi hatásvizsgálati munkapéldány</w:t>
      </w:r>
    </w:p>
    <w:tbl>
      <w:tblPr>
        <w:tblW w:w="10180" w:type="dxa"/>
        <w:tblLayout w:type="fixed"/>
        <w:tblBorders>
          <w:top w:val="single" w:sz="4" w:color="C9DCE8"/>
          <w:left w:val="single" w:sz="4" w:color="C9DCE8"/>
          <w:bottom w:val="single" w:sz="4" w:color="C9DCE8"/>
          <w:right w:val="single" w:sz="4" w:color="C9DCE8"/>
          <w:insideH w:val="single" w:sz="4" w:color="C9DCE8"/>
          <w:insideV w:val="single" w:sz="4" w:color="C9DCE8"/>
        </w:tblBorders>
        <w:tblCellMar>
          <w:top w:w="90" w:type="dxa"/>
          <w:left w:w="110" w:type="dxa"/>
          <w:bottom w:w="90" w:type="dxa"/>
          <w:right w:w="110" w:type="dxa"/>
        </w:tblCellMar>
      </w:tblPr>
      <w:tblGrid>
        <w:gridCol w:w="2800"/>
        <w:gridCol w:w="7380"/>
      </w:tblGrid>
      <w:tr>
        <w:trPr>
          <w:cantSplit/>
        </w:trPr>
        <w:tc>
          <w:tcPr>
            <w:tcW w:w="2800" w:type="dxa"/>
            <w:shd w:val="clear" w:color="auto" w:fill="F7FAFC"/>
            <w:vAlign w:val="center"/>
          </w:tcPr>
          <w:p>
            <w:pPr>
              <w:spacing w:before="45" w:after="45"/>
            </w:pPr>
            <w:r>
              <w:t xml:space="preserve">Status / Állapot</w:t>
            </w:r>
          </w:p>
        </w:tc>
        <w:tc>
          <w:tcPr>
            <w:tcW w:w="7380" w:type="dxa"/>
            <w:shd w:val="clear" w:color="auto" w:fill="F7FAFC"/>
            <w:vAlign w:val="center"/>
          </w:tcPr>
          <w:p>
            <w:pPr>
              <w:spacing w:before="45" w:after="45"/>
            </w:pPr>
            <w:r>
              <w:t xml:space="preserve">Állapot: ADATKEZELŐI MUNKAPÉLDÁNY - JOGI TÁMASZKODÁSRA MÉG NEM ALKALMAS</w:t>
            </w:r>
          </w:p>
        </w:tc>
      </w:tr>
      <w:tr>
        <w:trPr>
          <w:cantSplit/>
        </w:trPr>
        <w:tc>
          <w:tcPr>
            <w:tcW w:w="2800" w:type="dxa"/>
            <w:shd w:val="clear" w:color="auto" w:fill="FFFFFF"/>
            <w:vAlign w:val="center"/>
          </w:tcPr>
          <w:p>
            <w:pPr>
              <w:spacing w:before="45" w:after="45"/>
            </w:pPr>
            <w:r>
              <w:t xml:space="preserve">Version / Verzió</w:t>
            </w:r>
          </w:p>
        </w:tc>
        <w:tc>
          <w:tcPr>
            <w:tcW w:w="7380" w:type="dxa"/>
            <w:shd w:val="clear" w:color="auto" w:fill="FFFFFF"/>
            <w:vAlign w:val="center"/>
          </w:tcPr>
          <w:p>
            <w:pPr>
              <w:spacing w:before="45" w:after="45"/>
            </w:pPr>
            <w:r>
              <w:t xml:space="preserve">2026-07-26-draft-4-hu</w:t>
            </w:r>
          </w:p>
        </w:tc>
      </w:tr>
      <w:tr>
        <w:trPr>
          <w:cantSplit/>
        </w:trPr>
        <w:tc>
          <w:tcPr>
            <w:tcW w:w="2800" w:type="dxa"/>
            <w:shd w:val="clear" w:color="auto" w:fill="F7FAFC"/>
            <w:vAlign w:val="center"/>
          </w:tcPr>
          <w:p>
            <w:pPr>
              <w:spacing w:before="45" w:after="45"/>
            </w:pPr>
            <w:r>
              <w:t xml:space="preserve">Required approvers / Szükséges jóváhagyók</w:t>
            </w:r>
          </w:p>
        </w:tc>
        <w:tc>
          <w:tcPr>
            <w:tcW w:w="7380" w:type="dxa"/>
            <w:shd w:val="clear" w:color="auto" w:fill="F7FAFC"/>
            <w:vAlign w:val="center"/>
          </w:tcPr>
          <w:p>
            <w:pPr>
              <w:spacing w:before="45" w:after="45"/>
            </w:pPr>
            <w:r>
              <w:t xml:space="preserve">adatkezelő, képzett EU adatvédelmi jogász vagy DPO, biztonsági felelős, termékfelelős</w:t>
            </w:r>
          </w:p>
        </w:tc>
      </w:tr>
    </w:tbl>
    <w:p>
      <w:pPr>
        <w:spacing w:after="100"/>
      </w:pPr>
    </w:p>
    <w:p>
      <w:pPr>
        <w:pStyle w:val="Callout"/>
        <w:spacing w:before="120" w:after="100"/>
        <w:shd w:val="clear" w:color="auto" w:fill="FFF4E6"/>
        <w:pBdr>
          <w:left w:val="single" w:sz="18" w:space="8" w:color="F59E0B"/>
        </w:pBdr>
      </w:pPr>
      <w:r>
        <w:rPr>
          <w:b/>
          <w:color w:val="9A4D00"/>
          <w:sz w:val="19"/>
          <w:szCs w:val="19"/>
        </w:rPr>
        <w:t xml:space="preserve">MUNKAPÉLDÁNY - NEM JOGI SZAKVÉLEMÉNY VAGY TANÚSÍTVÁNY</w:t>
      </w:r>
    </w:p>
    <w:p>
      <w:pPr>
        <w:pStyle w:val="Callout"/>
        <w:spacing w:before="0" w:after="180"/>
        <w:shd w:val="clear" w:color="auto" w:fill="FFF4E6"/>
        <w:pBdr>
          <w:left w:val="single" w:sz="18" w:space="8" w:color="F59E0B"/>
        </w:pBdr>
      </w:pPr>
      <w:r>
        <w:t xml:space="preserve">A dokumentum mérnöki támogatással készült adatkezelői munkapéldány. Képzett uniós adatvédelmi jogász vagy DPO, az adatkezelő és a kijelölt felelősök jóváhagyása nélkül nem használható GDPR-megfelelőség igazolására.</w:t>
      </w:r>
    </w:p>
    <w:p>
      <w:r>
        <w:br w:type="page"/>
      </w:r>
    </w:p>
    <w:p>
      <w:pPr>
        <w:pStyle w:val="Heading1"/>
        <w:spacing w:before="260" w:after="150"/>
        <w:keepNext/>
      </w:pPr>
      <w:r>
        <w:t xml:space="preserve">1. Döntés és hatókör</w:t>
      </w:r>
    </w:p>
    <w:p>
      <w:pPr>
        <w:pStyle w:val="BodyText"/>
        <w:spacing w:before="0" w:after="110"/>
      </w:pPr>
      <w:r>
        <w:t xml:space="preserve">Az adatkezelést az éles indulás előtt adatvédelmi hatásvizsgálatot igénylő folyamatként kell kezelni. A szolgáltatás gyermekre vonatkozó, potenciálisan különleges kategóriájú információkat, sérülékeny érintetteket, szisztematikus pontozást/profilalkotást, AI-támogatott riportgenerálást, online fizetést, valamint több országra és nyelvre kiterjedő skálázást érint.</w:t>
      </w:r>
    </w:p>
    <w:p>
      <w:pPr>
        <w:pStyle w:val="BodyText"/>
        <w:spacing w:before="0" w:after="110"/>
      </w:pPr>
      <w:r>
        <w:t xml:space="preserve">Ez a DPIA a teljes fizetős kérdőívfolyamatot lefedi:</w:t>
      </w:r>
    </w:p>
    <w:p>
      <w:pPr>
        <w:pStyle w:val="BodyText"/>
        <w:spacing w:before="0" w:after="110"/>
      </w:pPr>
      <w:r>
        <w:t xml:space="preserve">1. felnőtt nyelvválasztása és jogi tájékoztatása; 2. az ÁSZF/adatkezelési tájékoztató külön elfogadása, a 9. cikk szerinti kifejezett hozzájárulás és az opcionális analitikai döntés; 3. felnőtt vásárló kapcsolattartási adatai és gyermekre vonatkozó megfigyelések; 4. determinisztikus kérdőívpontozás és fókuszterület-kiválasztás; 5. Stripe checkout és fizetési webhook; 6. sorba állított AI-támogatott riportgenerálás; 7. PDF és tranzakciós email kézbesítése; 8. számlagenerálás a Számlázz.hu rendszerén keresztül; 9. opcionális megfigyelési napló és follow-up üzenetek; 10. támogatás, biztonsági naplózás, adatvédelmi jogok, megőrzés és törlés; 11. szigorúan minimalizált analitika ott, ahol ehhez opcionális hozzájárulás történt.</w:t>
      </w:r>
    </w:p>
    <w:p>
      <w:pPr>
        <w:pStyle w:val="BodyText"/>
        <w:spacing w:before="0" w:after="110"/>
      </w:pPr>
      <w:r>
        <w:t xml:space="preserve">A DPIA nem hagy jóvá klinikai felhasználást, diagnózist, kezelés kiválasztását, automatizált jogosultsági döntést, iskolai vagy munkáltatói felhasználást, kérdőíveredményeken alapuló hirdetési célzást vagy személyes adatok értékesítését.</w:t>
      </w:r>
    </w:p>
    <w:p>
      <w:pPr>
        <w:pStyle w:val="Heading1"/>
        <w:spacing w:before="260" w:after="150"/>
        <w:keepNext/>
      </w:pPr>
      <w:r>
        <w:t xml:space="preserve">2. Irányítás és elszámoltathatóság</w:t>
      </w:r>
    </w:p>
    <w:tbl>
      <w:tblPr>
        <w:tblW w:w="10180" w:type="dxa"/>
        <w:tblLayout w:type="fixed"/>
        <w:tblBorders>
          <w:top w:val="single" w:sz="4" w:color="C9DCE8"/>
          <w:left w:val="single" w:sz="4" w:color="C9DCE8"/>
          <w:bottom w:val="single" w:sz="4" w:color="C9DCE8"/>
          <w:right w:val="single" w:sz="4" w:color="C9DCE8"/>
          <w:insideH w:val="single" w:sz="4" w:color="C9DCE8"/>
          <w:insideV w:val="single" w:sz="4" w:color="C9DCE8"/>
        </w:tblBorders>
        <w:tblCellMar>
          <w:top w:w="90" w:type="dxa"/>
          <w:left w:w="110" w:type="dxa"/>
          <w:bottom w:w="90" w:type="dxa"/>
          <w:right w:w="110" w:type="dxa"/>
        </w:tblCellMar>
      </w:tblPr>
      <w:tblGrid>
        <w:gridCol w:w="3393"/>
        <w:gridCol w:w="3393"/>
        <w:gridCol w:w="3394"/>
      </w:tblGrid>
      <w:tr>
        <w:trPr>
          <w:cantSplit/>
          <w:tblHeader/>
        </w:trPr>
        <w:tc>
          <w:tcPr>
            <w:tcW w:w="3393" w:type="dxa"/>
            <w:shd w:val="clear" w:color="auto" w:fill="075985"/>
            <w:vAlign w:val="center"/>
          </w:tcPr>
          <w:p>
            <w:pPr>
              <w:spacing w:before="45" w:after="45"/>
            </w:pPr>
            <w:r>
              <w:rPr>
                <w:b/>
                <w:color w:val="FFFFFF"/>
                <w:sz w:val="17"/>
                <w:szCs w:val="17"/>
              </w:rPr>
              <w:t xml:space="preserve">Szerep</w:t>
            </w:r>
          </w:p>
        </w:tc>
        <w:tc>
          <w:tcPr>
            <w:tcW w:w="3393" w:type="dxa"/>
            <w:shd w:val="clear" w:color="auto" w:fill="075985"/>
            <w:vAlign w:val="center"/>
          </w:tcPr>
          <w:p>
            <w:pPr>
              <w:spacing w:before="45" w:after="45"/>
            </w:pPr>
            <w:r>
              <w:rPr>
                <w:b/>
                <w:color w:val="FFFFFF"/>
                <w:sz w:val="17"/>
                <w:szCs w:val="17"/>
              </w:rPr>
              <w:t xml:space="preserve">Felelősség</w:t>
            </w:r>
          </w:p>
        </w:tc>
        <w:tc>
          <w:tcPr>
            <w:tcW w:w="3394" w:type="dxa"/>
            <w:shd w:val="clear" w:color="auto" w:fill="075985"/>
            <w:vAlign w:val="center"/>
          </w:tcPr>
          <w:p>
            <w:pPr>
              <w:spacing w:before="45" w:after="45"/>
            </w:pPr>
            <w:r>
              <w:rPr>
                <w:b/>
                <w:color w:val="FFFFFF"/>
                <w:sz w:val="17"/>
                <w:szCs w:val="17"/>
              </w:rPr>
              <w:t xml:space="preserve">Megnevezett felelős / állapot</w:t>
            </w:r>
          </w:p>
        </w:tc>
      </w:tr>
      <w:tr>
        <w:trPr>
          <w:cantSplit/>
        </w:trPr>
        <w:tc>
          <w:tcPr>
            <w:tcW w:w="3393" w:type="dxa"/>
            <w:shd w:val="clear" w:color="auto" w:fill="FFFFFF"/>
            <w:vAlign w:val="center"/>
          </w:tcPr>
          <w:p>
            <w:pPr>
              <w:spacing w:before="45" w:after="45"/>
            </w:pPr>
            <w:r>
              <w:t xml:space="preserve">Adatkezelő</w:t>
            </w:r>
          </w:p>
        </w:tc>
        <w:tc>
          <w:tcPr>
            <w:tcW w:w="3393" w:type="dxa"/>
            <w:shd w:val="clear" w:color="auto" w:fill="FFFFFF"/>
            <w:vAlign w:val="center"/>
          </w:tcPr>
          <w:p>
            <w:pPr>
              <w:spacing w:before="45" w:after="45"/>
            </w:pPr>
            <w:r>
              <w:t xml:space="preserve">Meghatározza a célokat és eszközöket; jóváhagyja a DPIA-t</w:t>
            </w:r>
          </w:p>
        </w:tc>
        <w:tc>
          <w:tcPr>
            <w:tcW w:w="3394" w:type="dxa"/>
            <w:shd w:val="clear" w:color="auto" w:fill="FFFFFF"/>
            <w:vAlign w:val="center"/>
          </w:tcPr>
          <w:p>
            <w:pPr>
              <w:spacing w:before="45" w:after="45"/>
            </w:pPr>
            <w:r>
              <w:rPr>
                <w:b/>
              </w:rPr>
              <w:t xml:space="preserve">Nyitott - a jogi személyt, székhelyet és letelepedési országot meg kell erősíteni</w:t>
            </w:r>
          </w:p>
        </w:tc>
      </w:tr>
      <w:tr>
        <w:trPr>
          <w:cantSplit/>
        </w:trPr>
        <w:tc>
          <w:tcPr>
            <w:tcW w:w="3393" w:type="dxa"/>
            <w:shd w:val="clear" w:color="auto" w:fill="F7FAFC"/>
            <w:vAlign w:val="center"/>
          </w:tcPr>
          <w:p>
            <w:pPr>
              <w:spacing w:before="45" w:after="45"/>
            </w:pPr>
            <w:r>
              <w:t xml:space="preserve">Termékfelelős</w:t>
            </w:r>
          </w:p>
        </w:tc>
        <w:tc>
          <w:tcPr>
            <w:tcW w:w="3393" w:type="dxa"/>
            <w:shd w:val="clear" w:color="auto" w:fill="F7FAFC"/>
            <w:vAlign w:val="center"/>
          </w:tcPr>
          <w:p>
            <w:pPr>
              <w:spacing w:before="45" w:after="45"/>
            </w:pPr>
            <w:r>
              <w:t xml:space="preserve">Termékkör, nem diagnosztikus pozicionálás és kiadási döntés</w:t>
            </w:r>
          </w:p>
        </w:tc>
        <w:tc>
          <w:tcPr>
            <w:tcW w:w="3394" w:type="dxa"/>
            <w:shd w:val="clear" w:color="auto" w:fill="F7FAFC"/>
            <w:vAlign w:val="center"/>
          </w:tcPr>
          <w:p>
            <w:pPr>
              <w:spacing w:before="45" w:after="45"/>
            </w:pPr>
            <w:r>
              <w:rPr>
                <w:b/>
              </w:rPr>
              <w:t xml:space="preserve">Nyitott - név szerinti felelős kijelölése szükséges</w:t>
            </w:r>
          </w:p>
        </w:tc>
      </w:tr>
      <w:tr>
        <w:trPr>
          <w:cantSplit/>
        </w:trPr>
        <w:tc>
          <w:tcPr>
            <w:tcW w:w="3393" w:type="dxa"/>
            <w:shd w:val="clear" w:color="auto" w:fill="FFFFFF"/>
            <w:vAlign w:val="center"/>
          </w:tcPr>
          <w:p>
            <w:pPr>
              <w:spacing w:before="45" w:after="45"/>
            </w:pPr>
            <w:r>
              <w:t xml:space="preserve">Adatvédelmi vezető / DPO</w:t>
            </w:r>
          </w:p>
        </w:tc>
        <w:tc>
          <w:tcPr>
            <w:tcW w:w="3393" w:type="dxa"/>
            <w:shd w:val="clear" w:color="auto" w:fill="FFFFFF"/>
            <w:vAlign w:val="center"/>
          </w:tcPr>
          <w:p>
            <w:pPr>
              <w:spacing w:before="45" w:after="45"/>
            </w:pPr>
            <w:r>
              <w:t xml:space="preserve">Független felülvizsgálat, tanácsadás és monitorozás</w:t>
            </w:r>
          </w:p>
        </w:tc>
        <w:tc>
          <w:tcPr>
            <w:tcW w:w="3394" w:type="dxa"/>
            <w:shd w:val="clear" w:color="auto" w:fill="FFFFFF"/>
            <w:vAlign w:val="center"/>
          </w:tcPr>
          <w:p>
            <w:pPr>
              <w:spacing w:before="45" w:after="45"/>
            </w:pPr>
            <w:r>
              <w:rPr>
                <w:b/>
              </w:rPr>
              <w:t xml:space="preserve">Nyitott - dokumentálni kell, hogy a GDPR 37. cikk alapján szükséges-e DPO</w:t>
            </w:r>
          </w:p>
        </w:tc>
      </w:tr>
      <w:tr>
        <w:trPr>
          <w:cantSplit/>
        </w:trPr>
        <w:tc>
          <w:tcPr>
            <w:tcW w:w="3393" w:type="dxa"/>
            <w:shd w:val="clear" w:color="auto" w:fill="F7FAFC"/>
            <w:vAlign w:val="center"/>
          </w:tcPr>
          <w:p>
            <w:pPr>
              <w:spacing w:before="45" w:after="45"/>
            </w:pPr>
            <w:r>
              <w:t xml:space="preserve">Biztonsági felelős</w:t>
            </w:r>
          </w:p>
        </w:tc>
        <w:tc>
          <w:tcPr>
            <w:tcW w:w="3393" w:type="dxa"/>
            <w:shd w:val="clear" w:color="auto" w:fill="F7FAFC"/>
            <w:vAlign w:val="center"/>
          </w:tcPr>
          <w:p>
            <w:pPr>
              <w:spacing w:before="45" w:after="45"/>
            </w:pPr>
            <w:r>
              <w:t xml:space="preserve">Hozzáférés-kezelés, incidenskezelés, bizonyítékok és felülvizsgálat</w:t>
            </w:r>
          </w:p>
        </w:tc>
        <w:tc>
          <w:tcPr>
            <w:tcW w:w="3394" w:type="dxa"/>
            <w:shd w:val="clear" w:color="auto" w:fill="F7FAFC"/>
            <w:vAlign w:val="center"/>
          </w:tcPr>
          <w:p>
            <w:pPr>
              <w:spacing w:before="45" w:after="45"/>
            </w:pPr>
            <w:r>
              <w:rPr>
                <w:b/>
              </w:rPr>
              <w:t xml:space="preserve">Nyitott - név szerinti felelős kijelölése szükséges</w:t>
            </w:r>
          </w:p>
        </w:tc>
      </w:tr>
      <w:tr>
        <w:trPr>
          <w:cantSplit/>
        </w:trPr>
        <w:tc>
          <w:tcPr>
            <w:tcW w:w="3393" w:type="dxa"/>
            <w:shd w:val="clear" w:color="auto" w:fill="FFFFFF"/>
            <w:vAlign w:val="center"/>
          </w:tcPr>
          <w:p>
            <w:pPr>
              <w:spacing w:before="45" w:after="45"/>
            </w:pPr>
            <w:r>
              <w:t xml:space="preserve">Klinikai/tartalmi szakértő</w:t>
            </w:r>
          </w:p>
        </w:tc>
        <w:tc>
          <w:tcPr>
            <w:tcW w:w="3393" w:type="dxa"/>
            <w:shd w:val="clear" w:color="auto" w:fill="FFFFFF"/>
            <w:vAlign w:val="center"/>
          </w:tcPr>
          <w:p>
            <w:pPr>
              <w:spacing w:before="45" w:after="45"/>
            </w:pPr>
            <w:r>
              <w:t xml:space="preserve">Kérdőív- és riportállítások felülvizsgálata</w:t>
            </w:r>
          </w:p>
        </w:tc>
        <w:tc>
          <w:tcPr>
            <w:tcW w:w="3394" w:type="dxa"/>
            <w:shd w:val="clear" w:color="auto" w:fill="FFFFFF"/>
            <w:vAlign w:val="center"/>
          </w:tcPr>
          <w:p>
            <w:pPr>
              <w:spacing w:before="45" w:after="45"/>
            </w:pPr>
            <w:r>
              <w:rPr>
                <w:b/>
              </w:rPr>
              <w:t xml:space="preserve">Nyitott - képzett külső szakmai review szükséges</w:t>
            </w:r>
          </w:p>
        </w:tc>
      </w:tr>
      <w:tr>
        <w:trPr>
          <w:cantSplit/>
        </w:trPr>
        <w:tc>
          <w:tcPr>
            <w:tcW w:w="3393" w:type="dxa"/>
            <w:shd w:val="clear" w:color="auto" w:fill="F7FAFC"/>
            <w:vAlign w:val="center"/>
          </w:tcPr>
          <w:p>
            <w:pPr>
              <w:spacing w:before="45" w:after="45"/>
            </w:pPr>
            <w:r>
              <w:t xml:space="preserve">Adatfeldolgozók</w:t>
            </w:r>
          </w:p>
        </w:tc>
        <w:tc>
          <w:tcPr>
            <w:tcW w:w="3393" w:type="dxa"/>
            <w:shd w:val="clear" w:color="auto" w:fill="F7FAFC"/>
            <w:vAlign w:val="center"/>
          </w:tcPr>
          <w:p>
            <w:pPr>
              <w:spacing w:before="45" w:after="45"/>
            </w:pPr>
            <w:r>
              <w:t xml:space="preserve">Railway, Stripe, OpenAI, Resend, Számlázz.hu, Webflow és releváns infrastruktúra</w:t>
            </w:r>
          </w:p>
        </w:tc>
        <w:tc>
          <w:tcPr>
            <w:tcW w:w="3394" w:type="dxa"/>
            <w:shd w:val="clear" w:color="auto" w:fill="F7FAFC"/>
            <w:vAlign w:val="center"/>
          </w:tcPr>
          <w:p>
            <w:pPr>
              <w:spacing w:before="45" w:after="45"/>
            </w:pPr>
            <w:r>
              <w:rPr>
                <w:b/>
              </w:rPr>
              <w:t xml:space="preserve">Szerződéses és adattovábbítási felülvizsgálat hiányos</w:t>
            </w:r>
          </w:p>
        </w:tc>
      </w:tr>
    </w:tbl>
    <w:p>
      <w:pPr>
        <w:spacing w:after="100"/>
      </w:pPr>
    </w:p>
    <w:p>
      <w:pPr>
        <w:pStyle w:val="BodyText"/>
        <w:spacing w:before="0" w:after="110"/>
      </w:pPr>
      <w:r>
        <w:t xml:space="preserve">Az adatkezelőnek fenn kell tartania a kapcsolódó adatkezelési nyilvántartást, adatfeldolgozói nyilvántartást, adattovábbítási értékelést, megőrzési ütemezést, érintetti jogi naplót, incidensnaplót, hozzájárulási bizonyítékokat és a DPIA által hivatkozott release sign-off dokumentációt.</w:t>
      </w:r>
    </w:p>
    <w:p>
      <w:pPr>
        <w:pStyle w:val="Heading1"/>
        <w:spacing w:before="260" w:after="150"/>
        <w:keepNext/>
      </w:pPr>
      <w:r>
        <w:t xml:space="preserve">3. Az adatkezelés leírása és adatáramlás</w:t>
      </w:r>
    </w:p>
    <w:p>
      <w:pPr>
        <w:pStyle w:val="Heading3"/>
        <w:spacing w:before="210" w:after="100"/>
        <w:keepNext/>
      </w:pPr>
      <w:r>
        <w:t xml:space="preserve">3.1 Adatáramlás</w:t>
      </w:r>
    </w:p>
    <w:p>
      <w:pPr>
        <w:pStyle w:val="BodyText"/>
        <w:spacing w:before="0" w:after="110"/>
      </w:pPr>
      <w:r>
        <w:t xml:space="preserve">Felnőtt böngésző -&gt; Webflow UI -&gt; Railway API -&gt; PostgreSQL -&gt; Stripe checkout -&gt; Stripe webhook -&gt; elemzési sor/worker -&gt; OpenAI API -&gt; PDF-generátor -&gt; Resend email -&gt; felnőtt email címe. A számlázási adatok a fizetett sessionből a Számlázz.hu felé áramlanak. A megfigyelési napló adatai később tokenizált linken keresztül térhetnek vissza. Marketingeszközök csak durva, nem egészségügyi konverziós eseményeket kaphatnak, és csak akkor, ha az alkalmazandó hozzájárulás/konfiguráció ezt megengedi.</w:t>
      </w:r>
    </w:p>
    <w:p>
      <w:pPr>
        <w:pStyle w:val="Heading3"/>
        <w:spacing w:before="210" w:after="100"/>
        <w:keepNext/>
      </w:pPr>
      <w:r>
        <w:t xml:space="preserve">3.2 Érintettek</w:t>
      </w:r>
    </w:p>
    <w:p>
      <w:pPr>
        <w:pStyle w:val="ListParagraph"/>
        <w:spacing w:before="0" w:after="55"/>
        <w:keepLines/>
        <w:ind w:left="480" w:hanging="240"/>
        <w:numPr>
          <w:ilvl w:val="0"/>
          <w:numId w:val="1"/>
        </w:numPr>
      </w:pPr>
      <w:r>
        <w:t xml:space="preserve">a felnőtt vásárló, szülő, törvényes képviselő vagy felhatalmazott felnőtt;</w:t>
      </w:r>
    </w:p>
    <w:p>
      <w:pPr>
        <w:pStyle w:val="ListParagraph"/>
        <w:spacing w:before="0" w:after="55"/>
        <w:keepLines/>
        <w:ind w:left="480" w:hanging="240"/>
        <w:numPr>
          <w:ilvl w:val="0"/>
          <w:numId w:val="1"/>
        </w:numPr>
      </w:pPr>
      <w:r>
        <w:t xml:space="preserve">a felnőtt által leírt gyermek, aki nem a szerződő felhasználó;</w:t>
      </w:r>
    </w:p>
    <w:p>
      <w:pPr>
        <w:pStyle w:val="ListParagraph"/>
        <w:spacing w:before="0" w:after="55"/>
        <w:keepLines/>
        <w:ind w:left="480" w:hanging="240"/>
        <w:numPr>
          <w:ilvl w:val="0"/>
          <w:numId w:val="1"/>
        </w:numPr>
      </w:pPr>
      <w:r>
        <w:t xml:space="preserve">támogatási kapcsolattartók és adminisztrátorok, akiknek műveletei biztonsági naplókban megjelenhetnek.</w:t>
      </w:r>
    </w:p>
    <w:p>
      <w:pPr>
        <w:pStyle w:val="BodyText"/>
        <w:spacing w:before="0" w:after="110"/>
      </w:pPr>
      <w:r>
        <w:t xml:space="preserve">A szolgáltatás nem kérheti a gyermek nevét. Egy becenév is személyes adat lehet, ha sessionnel, email címmel, válaszokkal vagy riporttal összekapcsolható, ezért a terméknek továbbra is csak a szülő vagy felnőtt vásárló nevét szabad kérnie.</w:t>
      </w:r>
    </w:p>
    <w:p>
      <w:pPr>
        <w:pStyle w:val="Heading3"/>
        <w:spacing w:before="210" w:after="100"/>
        <w:keepNext/>
      </w:pPr>
      <w:r>
        <w:t xml:space="preserve">3.3 Adatkategóriák</w:t>
      </w:r>
    </w:p>
    <w:tbl>
      <w:tblPr>
        <w:tblW w:w="10180" w:type="dxa"/>
        <w:tblLayout w:type="fixed"/>
        <w:tblBorders>
          <w:top w:val="single" w:sz="4" w:color="C9DCE8"/>
          <w:left w:val="single" w:sz="4" w:color="C9DCE8"/>
          <w:bottom w:val="single" w:sz="4" w:color="C9DCE8"/>
          <w:right w:val="single" w:sz="4" w:color="C9DCE8"/>
          <w:insideH w:val="single" w:sz="4" w:color="C9DCE8"/>
          <w:insideV w:val="single" w:sz="4" w:color="C9DCE8"/>
        </w:tblBorders>
        <w:tblCellMar>
          <w:top w:w="90" w:type="dxa"/>
          <w:left w:w="110" w:type="dxa"/>
          <w:bottom w:w="90" w:type="dxa"/>
          <w:right w:w="110" w:type="dxa"/>
        </w:tblCellMar>
      </w:tblPr>
      <w:tblGrid>
        <w:gridCol w:w="3393"/>
        <w:gridCol w:w="3393"/>
        <w:gridCol w:w="3394"/>
      </w:tblGrid>
      <w:tr>
        <w:trPr>
          <w:cantSplit/>
          <w:tblHeader/>
        </w:trPr>
        <w:tc>
          <w:tcPr>
            <w:tcW w:w="3393" w:type="dxa"/>
            <w:shd w:val="clear" w:color="auto" w:fill="075985"/>
            <w:vAlign w:val="center"/>
          </w:tcPr>
          <w:p>
            <w:pPr>
              <w:spacing w:before="45" w:after="45"/>
            </w:pPr>
            <w:r>
              <w:rPr>
                <w:b/>
                <w:color w:val="FFFFFF"/>
                <w:sz w:val="17"/>
                <w:szCs w:val="17"/>
              </w:rPr>
              <w:t xml:space="preserve">Kategória</w:t>
            </w:r>
          </w:p>
        </w:tc>
        <w:tc>
          <w:tcPr>
            <w:tcW w:w="3393" w:type="dxa"/>
            <w:shd w:val="clear" w:color="auto" w:fill="075985"/>
            <w:vAlign w:val="center"/>
          </w:tcPr>
          <w:p>
            <w:pPr>
              <w:spacing w:before="45" w:after="45"/>
            </w:pPr>
            <w:r>
              <w:rPr>
                <w:b/>
                <w:color w:val="FFFFFF"/>
                <w:sz w:val="17"/>
                <w:szCs w:val="17"/>
              </w:rPr>
              <w:t xml:space="preserve">Példák</w:t>
            </w:r>
          </w:p>
        </w:tc>
        <w:tc>
          <w:tcPr>
            <w:tcW w:w="3394" w:type="dxa"/>
            <w:shd w:val="clear" w:color="auto" w:fill="075985"/>
            <w:vAlign w:val="center"/>
          </w:tcPr>
          <w:p>
            <w:pPr>
              <w:spacing w:before="45" w:after="45"/>
            </w:pPr>
            <w:r>
              <w:rPr>
                <w:b/>
                <w:color w:val="FFFFFF"/>
                <w:sz w:val="17"/>
                <w:szCs w:val="17"/>
              </w:rPr>
              <w:t xml:space="preserve">Érzékenység</w:t>
            </w:r>
          </w:p>
        </w:tc>
      </w:tr>
      <w:tr>
        <w:trPr>
          <w:cantSplit/>
        </w:trPr>
        <w:tc>
          <w:tcPr>
            <w:tcW w:w="3393" w:type="dxa"/>
            <w:shd w:val="clear" w:color="auto" w:fill="FFFFFF"/>
            <w:vAlign w:val="center"/>
          </w:tcPr>
          <w:p>
            <w:pPr>
              <w:spacing w:before="45" w:after="45"/>
            </w:pPr>
            <w:r>
              <w:t xml:space="preserve">Felnőtt azonosító/kapcsolati adat</w:t>
            </w:r>
          </w:p>
        </w:tc>
        <w:tc>
          <w:tcPr>
            <w:tcW w:w="3393" w:type="dxa"/>
            <w:shd w:val="clear" w:color="auto" w:fill="FFFFFF"/>
            <w:vAlign w:val="center"/>
          </w:tcPr>
          <w:p>
            <w:pPr>
              <w:spacing w:before="45" w:after="45"/>
            </w:pPr>
            <w:r>
              <w:t xml:space="preserve">felnőtt neve, email, nyelv</w:t>
            </w:r>
          </w:p>
        </w:tc>
        <w:tc>
          <w:tcPr>
            <w:tcW w:w="3394" w:type="dxa"/>
            <w:shd w:val="clear" w:color="auto" w:fill="FFFFFF"/>
            <w:vAlign w:val="center"/>
          </w:tcPr>
          <w:p>
            <w:pPr>
              <w:spacing w:before="45" w:after="45"/>
            </w:pPr>
            <w:r>
              <w:t xml:space="preserve">Személyes adat</w:t>
            </w:r>
          </w:p>
        </w:tc>
      </w:tr>
      <w:tr>
        <w:trPr>
          <w:cantSplit/>
        </w:trPr>
        <w:tc>
          <w:tcPr>
            <w:tcW w:w="3393" w:type="dxa"/>
            <w:shd w:val="clear" w:color="auto" w:fill="F7FAFC"/>
            <w:vAlign w:val="center"/>
          </w:tcPr>
          <w:p>
            <w:pPr>
              <w:spacing w:before="45" w:after="45"/>
            </w:pPr>
            <w:r>
              <w:t xml:space="preserve">Gyermekre vonatkozó megfigyelések</w:t>
            </w:r>
          </w:p>
        </w:tc>
        <w:tc>
          <w:tcPr>
            <w:tcW w:w="3393" w:type="dxa"/>
            <w:shd w:val="clear" w:color="auto" w:fill="F7FAFC"/>
            <w:vAlign w:val="center"/>
          </w:tcPr>
          <w:p>
            <w:pPr>
              <w:spacing w:before="45" w:after="45"/>
            </w:pPr>
            <w:r>
              <w:t xml:space="preserve">viselkedés, érzelmek, tanulás, rutinok, társas és szenzoros megfigyelések</w:t>
            </w:r>
          </w:p>
        </w:tc>
        <w:tc>
          <w:tcPr>
            <w:tcW w:w="3394" w:type="dxa"/>
            <w:shd w:val="clear" w:color="auto" w:fill="F7FAFC"/>
            <w:vAlign w:val="center"/>
          </w:tcPr>
          <w:p>
            <w:pPr>
              <w:spacing w:before="45" w:after="45"/>
            </w:pPr>
            <w:r>
              <w:t xml:space="preserve">Potenciális 9. cikk szerinti egészséghez kapcsolódó adat</w:t>
            </w:r>
          </w:p>
        </w:tc>
      </w:tr>
      <w:tr>
        <w:trPr>
          <w:cantSplit/>
        </w:trPr>
        <w:tc>
          <w:tcPr>
            <w:tcW w:w="3393" w:type="dxa"/>
            <w:shd w:val="clear" w:color="auto" w:fill="FFFFFF"/>
            <w:vAlign w:val="center"/>
          </w:tcPr>
          <w:p>
            <w:pPr>
              <w:spacing w:before="45" w:after="45"/>
            </w:pPr>
            <w:r>
              <w:t xml:space="preserve">Származtatott szűrési adatok</w:t>
            </w:r>
          </w:p>
        </w:tc>
        <w:tc>
          <w:tcPr>
            <w:tcW w:w="3393" w:type="dxa"/>
            <w:shd w:val="clear" w:color="auto" w:fill="FFFFFF"/>
            <w:vAlign w:val="center"/>
          </w:tcPr>
          <w:p>
            <w:pPr>
              <w:spacing w:before="45" w:after="45"/>
            </w:pPr>
            <w:r>
              <w:t xml:space="preserve">pontszámok, rangsor, fókusz, confidence, riportszöveg</w:t>
            </w:r>
          </w:p>
        </w:tc>
        <w:tc>
          <w:tcPr>
            <w:tcW w:w="3394" w:type="dxa"/>
            <w:shd w:val="clear" w:color="auto" w:fill="FFFFFF"/>
            <w:vAlign w:val="center"/>
          </w:tcPr>
          <w:p>
            <w:pPr>
              <w:spacing w:before="45" w:after="45"/>
            </w:pPr>
            <w:r>
              <w:t xml:space="preserve">Potenciális 9. cikk szerinti következtetett egészséghez kapcsolódó adat</w:t>
            </w:r>
          </w:p>
        </w:tc>
      </w:tr>
      <w:tr>
        <w:trPr>
          <w:cantSplit/>
        </w:trPr>
        <w:tc>
          <w:tcPr>
            <w:tcW w:w="3393" w:type="dxa"/>
            <w:shd w:val="clear" w:color="auto" w:fill="F7FAFC"/>
            <w:vAlign w:val="center"/>
          </w:tcPr>
          <w:p>
            <w:pPr>
              <w:spacing w:before="45" w:after="45"/>
            </w:pPr>
            <w:r>
              <w:t xml:space="preserve">Szerződés/fizetés</w:t>
            </w:r>
          </w:p>
        </w:tc>
        <w:tc>
          <w:tcPr>
            <w:tcW w:w="3393" w:type="dxa"/>
            <w:shd w:val="clear" w:color="auto" w:fill="F7FAFC"/>
            <w:vAlign w:val="center"/>
          </w:tcPr>
          <w:p>
            <w:pPr>
              <w:spacing w:before="45" w:after="45"/>
            </w:pPr>
            <w:r>
              <w:t xml:space="preserve">csomag, ár, pénznem, Stripe-hivatkozások, időbélyegek</w:t>
            </w:r>
          </w:p>
        </w:tc>
        <w:tc>
          <w:tcPr>
            <w:tcW w:w="3394" w:type="dxa"/>
            <w:shd w:val="clear" w:color="auto" w:fill="F7FAFC"/>
            <w:vAlign w:val="center"/>
          </w:tcPr>
          <w:p>
            <w:pPr>
              <w:spacing w:before="45" w:after="45"/>
            </w:pPr>
            <w:r>
              <w:t xml:space="preserve">Személyes/pénzügyi metaadat</w:t>
            </w:r>
          </w:p>
        </w:tc>
      </w:tr>
      <w:tr>
        <w:trPr>
          <w:cantSplit/>
        </w:trPr>
        <w:tc>
          <w:tcPr>
            <w:tcW w:w="3393" w:type="dxa"/>
            <w:shd w:val="clear" w:color="auto" w:fill="FFFFFF"/>
            <w:vAlign w:val="center"/>
          </w:tcPr>
          <w:p>
            <w:pPr>
              <w:spacing w:before="45" w:after="45"/>
            </w:pPr>
            <w:r>
              <w:t xml:space="preserve">Számla</w:t>
            </w:r>
          </w:p>
        </w:tc>
        <w:tc>
          <w:tcPr>
            <w:tcW w:w="3393" w:type="dxa"/>
            <w:shd w:val="clear" w:color="auto" w:fill="FFFFFF"/>
            <w:vAlign w:val="center"/>
          </w:tcPr>
          <w:p>
            <w:pPr>
              <w:spacing w:before="45" w:after="45"/>
            </w:pPr>
            <w:r>
              <w:t xml:space="preserve">számlázási név/cím/adószám, számlaszám és státusz</w:t>
            </w:r>
          </w:p>
        </w:tc>
        <w:tc>
          <w:tcPr>
            <w:tcW w:w="3394" w:type="dxa"/>
            <w:shd w:val="clear" w:color="auto" w:fill="FFFFFF"/>
            <w:vAlign w:val="center"/>
          </w:tcPr>
          <w:p>
            <w:pPr>
              <w:spacing w:before="45" w:after="45"/>
            </w:pPr>
            <w:r>
              <w:t xml:space="preserve">Jogszabályi pénzügyi nyilvántartás</w:t>
            </w:r>
          </w:p>
        </w:tc>
      </w:tr>
      <w:tr>
        <w:trPr>
          <w:cantSplit/>
        </w:trPr>
        <w:tc>
          <w:tcPr>
            <w:tcW w:w="3393" w:type="dxa"/>
            <w:shd w:val="clear" w:color="auto" w:fill="F7FAFC"/>
            <w:vAlign w:val="center"/>
          </w:tcPr>
          <w:p>
            <w:pPr>
              <w:spacing w:before="45" w:after="45"/>
            </w:pPr>
            <w:r>
              <w:t xml:space="preserve">Hozzájárulási/jogi bizonyíték</w:t>
            </w:r>
          </w:p>
        </w:tc>
        <w:tc>
          <w:tcPr>
            <w:tcW w:w="3393" w:type="dxa"/>
            <w:shd w:val="clear" w:color="auto" w:fill="F7FAFC"/>
            <w:vAlign w:val="center"/>
          </w:tcPr>
          <w:p>
            <w:pPr>
              <w:spacing w:before="45" w:after="45"/>
            </w:pPr>
            <w:r>
              <w:t xml:space="preserve">szerepkör, szabályzatverziók, kifejezett hozzájárulás, időbélyegek, visszavonás</w:t>
            </w:r>
          </w:p>
        </w:tc>
        <w:tc>
          <w:tcPr>
            <w:tcW w:w="3394" w:type="dxa"/>
            <w:shd w:val="clear" w:color="auto" w:fill="F7FAFC"/>
            <w:vAlign w:val="center"/>
          </w:tcPr>
          <w:p>
            <w:pPr>
              <w:spacing w:before="45" w:after="45"/>
            </w:pPr>
            <w:r>
              <w:t xml:space="preserve">Elszámoltathatósági adat</w:t>
            </w:r>
          </w:p>
        </w:tc>
      </w:tr>
      <w:tr>
        <w:trPr>
          <w:cantSplit/>
        </w:trPr>
        <w:tc>
          <w:tcPr>
            <w:tcW w:w="3393" w:type="dxa"/>
            <w:shd w:val="clear" w:color="auto" w:fill="FFFFFF"/>
            <w:vAlign w:val="center"/>
          </w:tcPr>
          <w:p>
            <w:pPr>
              <w:spacing w:before="45" w:after="45"/>
            </w:pPr>
            <w:r>
              <w:t xml:space="preserve">Follow-up/napló</w:t>
            </w:r>
          </w:p>
        </w:tc>
        <w:tc>
          <w:tcPr>
            <w:tcW w:w="3393" w:type="dxa"/>
            <w:shd w:val="clear" w:color="auto" w:fill="FFFFFF"/>
            <w:vAlign w:val="center"/>
          </w:tcPr>
          <w:p>
            <w:pPr>
              <w:spacing w:before="45" w:after="45"/>
            </w:pPr>
            <w:r>
              <w:t xml:space="preserve">stratégiák, kontextus, jegyzetek és időbeli változások</w:t>
            </w:r>
          </w:p>
        </w:tc>
        <w:tc>
          <w:tcPr>
            <w:tcW w:w="3394" w:type="dxa"/>
            <w:shd w:val="clear" w:color="auto" w:fill="FFFFFF"/>
            <w:vAlign w:val="center"/>
          </w:tcPr>
          <w:p>
            <w:pPr>
              <w:spacing w:before="45" w:after="45"/>
            </w:pPr>
            <w:r>
              <w:t xml:space="preserve">Potenciális 9. cikk szerinti egészséghez kapcsolódó adat</w:t>
            </w:r>
          </w:p>
        </w:tc>
      </w:tr>
      <w:tr>
        <w:trPr>
          <w:cantSplit/>
        </w:trPr>
        <w:tc>
          <w:tcPr>
            <w:tcW w:w="3393" w:type="dxa"/>
            <w:shd w:val="clear" w:color="auto" w:fill="F7FAFC"/>
            <w:vAlign w:val="center"/>
          </w:tcPr>
          <w:p>
            <w:pPr>
              <w:spacing w:before="45" w:after="45"/>
            </w:pPr>
            <w:r>
              <w:t xml:space="preserve">Üzemeltetés/biztonság</w:t>
            </w:r>
          </w:p>
        </w:tc>
        <w:tc>
          <w:tcPr>
            <w:tcW w:w="3393" w:type="dxa"/>
            <w:shd w:val="clear" w:color="auto" w:fill="F7FAFC"/>
            <w:vAlign w:val="center"/>
          </w:tcPr>
          <w:p>
            <w:pPr>
              <w:spacing w:before="45" w:after="45"/>
            </w:pPr>
            <w:r>
              <w:t xml:space="preserve">job státusz, kézbesítési státusz, minimalizált request log, admin audit események</w:t>
            </w:r>
          </w:p>
        </w:tc>
        <w:tc>
          <w:tcPr>
            <w:tcW w:w="3394" w:type="dxa"/>
            <w:shd w:val="clear" w:color="auto" w:fill="F7FAFC"/>
            <w:vAlign w:val="center"/>
          </w:tcPr>
          <w:p>
            <w:pPr>
              <w:spacing w:before="45" w:after="45"/>
            </w:pPr>
            <w:r>
              <w:t xml:space="preserve">Személyes adat, ha összekapcsolható</w:t>
            </w:r>
          </w:p>
        </w:tc>
      </w:tr>
    </w:tbl>
    <w:p>
      <w:pPr>
        <w:spacing w:after="100"/>
      </w:pPr>
    </w:p>
    <w:p>
      <w:pPr>
        <w:pStyle w:val="BodyText"/>
        <w:spacing w:before="0" w:after="110"/>
      </w:pPr>
      <w:r>
        <w:t xml:space="preserve">A core riporthoz nem szükséges szabad szöveges gyermeknév, pontos lokáció, iskola neve, orvosi dokumentáció, genetikai adat, biometrikus adat, hirdetési profil vagy közösségimédia-azonosító.</w:t>
      </w:r>
    </w:p>
    <w:p>
      <w:pPr>
        <w:pStyle w:val="Heading1"/>
        <w:spacing w:before="260" w:after="150"/>
        <w:keepNext/>
      </w:pPr>
      <w:r>
        <w:t xml:space="preserve">4. Célok és javasolt jogalapok</w:t>
      </w:r>
    </w:p>
    <w:p>
      <w:pPr>
        <w:pStyle w:val="BodyText"/>
        <w:spacing w:before="0" w:after="110"/>
      </w:pPr>
      <w:r>
        <w:t xml:space="preserve">A végleges jogalapokat minden célpiacra és letelepedési helyre jóvá kell hagyatni. A mérnöki kialakítás jelenleg az alábbi konzervatív megfeleltetést támogatja:</w:t>
      </w:r>
    </w:p>
    <w:tbl>
      <w:tblPr>
        <w:tblW w:w="10180" w:type="dxa"/>
        <w:tblLayout w:type="fixed"/>
        <w:tblBorders>
          <w:top w:val="single" w:sz="4" w:color="C9DCE8"/>
          <w:left w:val="single" w:sz="4" w:color="C9DCE8"/>
          <w:bottom w:val="single" w:sz="4" w:color="C9DCE8"/>
          <w:right w:val="single" w:sz="4" w:color="C9DCE8"/>
          <w:insideH w:val="single" w:sz="4" w:color="C9DCE8"/>
          <w:insideV w:val="single" w:sz="4" w:color="C9DCE8"/>
        </w:tblBorders>
        <w:tblCellMar>
          <w:top w:w="90" w:type="dxa"/>
          <w:left w:w="110" w:type="dxa"/>
          <w:bottom w:w="90" w:type="dxa"/>
          <w:right w:w="110" w:type="dxa"/>
        </w:tblCellMar>
      </w:tblPr>
      <w:tblGrid>
        <w:gridCol w:w="1800"/>
        <w:gridCol w:w="1700"/>
        <w:gridCol w:w="1500"/>
        <w:gridCol w:w="5180"/>
      </w:tblGrid>
      <w:tr>
        <w:trPr>
          <w:cantSplit/>
          <w:tblHeader/>
        </w:trPr>
        <w:tc>
          <w:tcPr>
            <w:tcW w:w="1800" w:type="dxa"/>
            <w:shd w:val="clear" w:color="auto" w:fill="075985"/>
            <w:vAlign w:val="center"/>
          </w:tcPr>
          <w:p>
            <w:pPr>
              <w:spacing w:before="45" w:after="45"/>
            </w:pPr>
            <w:r>
              <w:rPr>
                <w:b/>
                <w:color w:val="FFFFFF"/>
                <w:sz w:val="17"/>
                <w:szCs w:val="17"/>
              </w:rPr>
              <w:t xml:space="preserve">Cél</w:t>
            </w:r>
          </w:p>
        </w:tc>
        <w:tc>
          <w:tcPr>
            <w:tcW w:w="1700" w:type="dxa"/>
            <w:shd w:val="clear" w:color="auto" w:fill="075985"/>
            <w:vAlign w:val="center"/>
          </w:tcPr>
          <w:p>
            <w:pPr>
              <w:spacing w:before="45" w:after="45"/>
            </w:pPr>
            <w:r>
              <w:rPr>
                <w:b/>
                <w:color w:val="FFFFFF"/>
                <w:sz w:val="17"/>
                <w:szCs w:val="17"/>
              </w:rPr>
              <w:t xml:space="preserve">GDPR 6. cikk szerinti jogalap</w:t>
            </w:r>
          </w:p>
        </w:tc>
        <w:tc>
          <w:tcPr>
            <w:tcW w:w="1500" w:type="dxa"/>
            <w:shd w:val="clear" w:color="auto" w:fill="075985"/>
            <w:vAlign w:val="center"/>
          </w:tcPr>
          <w:p>
            <w:pPr>
              <w:spacing w:before="45" w:after="45"/>
            </w:pPr>
            <w:r>
              <w:rPr>
                <w:b/>
                <w:color w:val="FFFFFF"/>
                <w:sz w:val="17"/>
                <w:szCs w:val="17"/>
              </w:rPr>
              <w:t xml:space="preserve">GDPR 9. cikk szerinti feltétel</w:t>
            </w:r>
          </w:p>
        </w:tc>
        <w:tc>
          <w:tcPr>
            <w:tcW w:w="5180" w:type="dxa"/>
            <w:shd w:val="clear" w:color="auto" w:fill="075985"/>
            <w:vAlign w:val="center"/>
          </w:tcPr>
          <w:p>
            <w:pPr>
              <w:spacing w:before="45" w:after="45"/>
            </w:pPr>
            <w:r>
              <w:rPr>
                <w:b/>
                <w:color w:val="FFFFFF"/>
                <w:sz w:val="17"/>
                <w:szCs w:val="17"/>
              </w:rPr>
              <w:t xml:space="preserve">Megjegyzés</w:t>
            </w:r>
          </w:p>
        </w:tc>
      </w:tr>
      <w:tr>
        <w:trPr>
          <w:cantSplit/>
        </w:trPr>
        <w:tc>
          <w:tcPr>
            <w:tcW w:w="1800" w:type="dxa"/>
            <w:shd w:val="clear" w:color="auto" w:fill="FFFFFF"/>
            <w:vAlign w:val="center"/>
          </w:tcPr>
          <w:p>
            <w:pPr>
              <w:spacing w:before="45" w:after="45"/>
            </w:pPr>
            <w:r>
              <w:t xml:space="preserve">Fizetett riport készítése, fizetés, kézbesítés és támogatás</w:t>
            </w:r>
          </w:p>
        </w:tc>
        <w:tc>
          <w:tcPr>
            <w:tcW w:w="1700" w:type="dxa"/>
            <w:shd w:val="clear" w:color="auto" w:fill="FFFFFF"/>
            <w:vAlign w:val="center"/>
          </w:tcPr>
          <w:p>
            <w:pPr>
              <w:spacing w:before="45" w:after="45"/>
            </w:pPr>
            <w:r>
              <w:t xml:space="preserve">6(1)(b), szerződés / szerződéskötést megelőző lépések</w:t>
            </w:r>
          </w:p>
        </w:tc>
        <w:tc>
          <w:tcPr>
            <w:tcW w:w="1500" w:type="dxa"/>
            <w:shd w:val="clear" w:color="auto" w:fill="FFFFFF"/>
            <w:vAlign w:val="center"/>
          </w:tcPr>
          <w:p>
            <w:pPr>
              <w:spacing w:before="45" w:after="45"/>
            </w:pPr>
            <w:r>
              <w:t xml:space="preserve">9(2)(a), kifejezett hozzájárulás a kérdőívhez és következtetett egészséghez kapcsolódó adatokhoz</w:t>
            </w:r>
          </w:p>
        </w:tc>
        <w:tc>
          <w:tcPr>
            <w:tcW w:w="5180" w:type="dxa"/>
            <w:shd w:val="clear" w:color="auto" w:fill="FFFFFF"/>
            <w:vAlign w:val="center"/>
          </w:tcPr>
          <w:p>
            <w:pPr>
              <w:spacing w:before="45" w:after="45"/>
            </w:pPr>
            <w:r>
              <w:t xml:space="preserve">A visszavonás leállítja a jövőbeli érzékeny feldolgozást; a szerződés nem írhatja felül a 9. cikket</w:t>
            </w:r>
          </w:p>
        </w:tc>
      </w:tr>
      <w:tr>
        <w:trPr>
          <w:cantSplit/>
        </w:trPr>
        <w:tc>
          <w:tcPr>
            <w:tcW w:w="1800" w:type="dxa"/>
            <w:shd w:val="clear" w:color="auto" w:fill="F7FAFC"/>
            <w:vAlign w:val="center"/>
          </w:tcPr>
          <w:p>
            <w:pPr>
              <w:spacing w:before="45" w:after="45"/>
            </w:pPr>
            <w:r>
              <w:t xml:space="preserve">Számlázás és kötelező számviteli/fogyasztóvédelmi nyilvántartás</w:t>
            </w:r>
          </w:p>
        </w:tc>
        <w:tc>
          <w:tcPr>
            <w:tcW w:w="1700" w:type="dxa"/>
            <w:shd w:val="clear" w:color="auto" w:fill="F7FAFC"/>
            <w:vAlign w:val="center"/>
          </w:tcPr>
          <w:p>
            <w:pPr>
              <w:spacing w:before="45" w:after="45"/>
            </w:pPr>
            <w:r>
              <w:t xml:space="preserve">6(1)(c), jogi kötelezettség</w:t>
            </w:r>
          </w:p>
        </w:tc>
        <w:tc>
          <w:tcPr>
            <w:tcW w:w="1500" w:type="dxa"/>
            <w:shd w:val="clear" w:color="auto" w:fill="F7FAFC"/>
            <w:vAlign w:val="center"/>
          </w:tcPr>
          <w:p>
            <w:pPr>
              <w:spacing w:before="45" w:after="45"/>
            </w:pPr>
            <w:r>
              <w:t xml:space="preserve">Általában nem szükséges kérdőíves adatra; a számlaadatokat el kell különíteni</w:t>
            </w:r>
          </w:p>
        </w:tc>
        <w:tc>
          <w:tcPr>
            <w:tcW w:w="5180" w:type="dxa"/>
            <w:shd w:val="clear" w:color="auto" w:fill="F7FAFC"/>
            <w:vAlign w:val="center"/>
          </w:tcPr>
          <w:p>
            <w:pPr>
              <w:spacing w:before="45" w:after="45"/>
            </w:pPr>
            <w:r>
              <w:t xml:space="preserve">A pontos nemzeti megőrzési időt meg kell erősíteni</w:t>
            </w:r>
          </w:p>
        </w:tc>
      </w:tr>
      <w:tr>
        <w:trPr>
          <w:cantSplit/>
        </w:trPr>
        <w:tc>
          <w:tcPr>
            <w:tcW w:w="1800" w:type="dxa"/>
            <w:shd w:val="clear" w:color="auto" w:fill="FFFFFF"/>
            <w:vAlign w:val="center"/>
          </w:tcPr>
          <w:p>
            <w:pPr>
              <w:spacing w:before="45" w:after="45"/>
            </w:pPr>
            <w:r>
              <w:t xml:space="preserve">Biztonság, visszaélés-megelőzés és szolgáltatásintegritás</w:t>
            </w:r>
          </w:p>
        </w:tc>
        <w:tc>
          <w:tcPr>
            <w:tcW w:w="1700" w:type="dxa"/>
            <w:shd w:val="clear" w:color="auto" w:fill="FFFFFF"/>
            <w:vAlign w:val="center"/>
          </w:tcPr>
          <w:p>
            <w:pPr>
              <w:spacing w:before="45" w:after="45"/>
            </w:pPr>
            <w:r>
              <w:t xml:space="preserve">6(1)(f), jogos érdek</w:t>
            </w:r>
          </w:p>
        </w:tc>
        <w:tc>
          <w:tcPr>
            <w:tcW w:w="1500" w:type="dxa"/>
            <w:shd w:val="clear" w:color="auto" w:fill="FFFFFF"/>
            <w:vAlign w:val="center"/>
          </w:tcPr>
          <w:p>
            <w:pPr>
              <w:spacing w:before="45" w:after="45"/>
            </w:pPr>
            <w:r>
              <w:t xml:space="preserve">Kerülni kell a különleges kategóriájú tartalmat a logokban; ha elkerülhetetlen, jogi jóváhagyás szükséges</w:t>
            </w:r>
          </w:p>
        </w:tc>
        <w:tc>
          <w:tcPr>
            <w:tcW w:w="5180" w:type="dxa"/>
            <w:shd w:val="clear" w:color="auto" w:fill="FFFFFF"/>
            <w:vAlign w:val="center"/>
          </w:tcPr>
          <w:p>
            <w:pPr>
              <w:spacing w:before="45" w:after="45"/>
            </w:pPr>
            <w:r>
              <w:t xml:space="preserve">Dokumentált érdekmérlegelés szükséges</w:t>
            </w:r>
          </w:p>
        </w:tc>
      </w:tr>
      <w:tr>
        <w:trPr>
          <w:cantSplit/>
        </w:trPr>
        <w:tc>
          <w:tcPr>
            <w:tcW w:w="1800" w:type="dxa"/>
            <w:shd w:val="clear" w:color="auto" w:fill="F7FAFC"/>
            <w:vAlign w:val="center"/>
          </w:tcPr>
          <w:p>
            <w:pPr>
              <w:spacing w:before="45" w:after="45"/>
            </w:pPr>
            <w:r>
              <w:t xml:space="preserve">Adatvédelmi jogok és panaszkezelés</w:t>
            </w:r>
          </w:p>
        </w:tc>
        <w:tc>
          <w:tcPr>
            <w:tcW w:w="1700" w:type="dxa"/>
            <w:shd w:val="clear" w:color="auto" w:fill="F7FAFC"/>
            <w:vAlign w:val="center"/>
          </w:tcPr>
          <w:p>
            <w:pPr>
              <w:spacing w:before="45" w:after="45"/>
            </w:pPr>
            <w:r>
              <w:t xml:space="preserve">6(1)(c), jogi kötelezettség</w:t>
            </w:r>
          </w:p>
        </w:tc>
        <w:tc>
          <w:tcPr>
            <w:tcW w:w="1500" w:type="dxa"/>
            <w:shd w:val="clear" w:color="auto" w:fill="F7FAFC"/>
            <w:vAlign w:val="center"/>
          </w:tcPr>
          <w:p>
            <w:pPr>
              <w:spacing w:before="45" w:after="45"/>
            </w:pPr>
            <w:r>
              <w:t xml:space="preserve">9(2)(f) releváns lehet jogi igényeknél; jogász erősítse meg</w:t>
            </w:r>
          </w:p>
        </w:tc>
        <w:tc>
          <w:tcPr>
            <w:tcW w:w="5180" w:type="dxa"/>
            <w:shd w:val="clear" w:color="auto" w:fill="F7FAFC"/>
            <w:vAlign w:val="center"/>
          </w:tcPr>
          <w:p>
            <w:pPr>
              <w:spacing w:before="45" w:after="45"/>
            </w:pPr>
            <w:r>
              <w:t xml:space="preserve">A kérelmet a session email-címére küldött egyszer használatos kóddal kell megerősíteni; csak a kód hash-e tárolódik, 15 perces lejárattal és öt próbálkozásos korláttal</w:t>
            </w:r>
          </w:p>
        </w:tc>
      </w:tr>
      <w:tr>
        <w:trPr>
          <w:cantSplit/>
        </w:trPr>
        <w:tc>
          <w:tcPr>
            <w:tcW w:w="1800" w:type="dxa"/>
            <w:shd w:val="clear" w:color="auto" w:fill="FFFFFF"/>
            <w:vAlign w:val="center"/>
          </w:tcPr>
          <w:p>
            <w:pPr>
              <w:spacing w:before="45" w:after="45"/>
            </w:pPr>
            <w:r>
              <w:t xml:space="preserve">Termékbiztonsági és tartalmi minőségellenőrzés</w:t>
            </w:r>
          </w:p>
        </w:tc>
        <w:tc>
          <w:tcPr>
            <w:tcW w:w="1700" w:type="dxa"/>
            <w:shd w:val="clear" w:color="auto" w:fill="FFFFFF"/>
            <w:vAlign w:val="center"/>
          </w:tcPr>
          <w:p>
            <w:pPr>
              <w:spacing w:before="45" w:after="45"/>
            </w:pPr>
            <w:r>
              <w:t xml:space="preserve">6(1)(f) vagy 6(1)(b), körülményektől függően</w:t>
            </w:r>
          </w:p>
        </w:tc>
        <w:tc>
          <w:tcPr>
            <w:tcW w:w="1500" w:type="dxa"/>
            <w:shd w:val="clear" w:color="auto" w:fill="FFFFFF"/>
            <w:vAlign w:val="center"/>
          </w:tcPr>
          <w:p>
            <w:pPr>
              <w:spacing w:before="45" w:after="45"/>
            </w:pPr>
            <w:r>
              <w:t xml:space="preserve">9(2)(a) vagy anonimizálás</w:t>
            </w:r>
          </w:p>
        </w:tc>
        <w:tc>
          <w:tcPr>
            <w:tcW w:w="5180" w:type="dxa"/>
            <w:shd w:val="clear" w:color="auto" w:fill="FFFFFF"/>
            <w:vAlign w:val="center"/>
          </w:tcPr>
          <w:p>
            <w:pPr>
              <w:spacing w:before="45" w:after="45"/>
            </w:pPr>
            <w:r>
              <w:t xml:space="preserve">Csak minimalizált mintákkal és reviewer-hozzáféréssel</w:t>
            </w:r>
          </w:p>
        </w:tc>
      </w:tr>
      <w:tr>
        <w:trPr>
          <w:cantSplit/>
        </w:trPr>
        <w:tc>
          <w:tcPr>
            <w:tcW w:w="1800" w:type="dxa"/>
            <w:shd w:val="clear" w:color="auto" w:fill="F7FAFC"/>
            <w:vAlign w:val="center"/>
          </w:tcPr>
          <w:p>
            <w:pPr>
              <w:spacing w:before="45" w:after="45"/>
            </w:pPr>
            <w:r>
              <w:t xml:space="preserve">Opcionális analitika és hirdetési mérés</w:t>
            </w:r>
          </w:p>
        </w:tc>
        <w:tc>
          <w:tcPr>
            <w:tcW w:w="1700" w:type="dxa"/>
            <w:shd w:val="clear" w:color="auto" w:fill="F7FAFC"/>
            <w:vAlign w:val="center"/>
          </w:tcPr>
          <w:p>
            <w:pPr>
              <w:spacing w:before="45" w:after="45"/>
            </w:pPr>
            <w:r>
              <w:t xml:space="preserve">6(1)(a), hozzájárulás</w:t>
            </w:r>
          </w:p>
        </w:tc>
        <w:tc>
          <w:tcPr>
            <w:tcW w:w="1500" w:type="dxa"/>
            <w:shd w:val="clear" w:color="auto" w:fill="F7FAFC"/>
            <w:vAlign w:val="center"/>
          </w:tcPr>
          <w:p>
            <w:pPr>
              <w:spacing w:before="45" w:after="45"/>
            </w:pPr>
            <w:r>
              <w:t xml:space="preserve">Nem kaphat különleges kategóriájú adatot</w:t>
            </w:r>
          </w:p>
        </w:tc>
        <w:tc>
          <w:tcPr>
            <w:tcW w:w="5180" w:type="dxa"/>
            <w:shd w:val="clear" w:color="auto" w:fill="F7FAFC"/>
            <w:vAlign w:val="center"/>
          </w:tcPr>
          <w:p>
            <w:pPr>
              <w:spacing w:before="45" w:after="45"/>
            </w:pPr>
            <w:r>
              <w:t xml:space="preserve">Külön hozzájárulás, visszavonhatóság, minimalizált események</w:t>
            </w:r>
          </w:p>
        </w:tc>
      </w:tr>
    </w:tbl>
    <w:p>
      <w:pPr>
        <w:spacing w:after="100"/>
      </w:pPr>
    </w:p>
    <w:p>
      <w:pPr>
        <w:pStyle w:val="Heading1"/>
        <w:spacing w:before="260" w:after="150"/>
        <w:keepNext/>
      </w:pPr>
      <w:r>
        <w:t xml:space="preserve">5. Szükségesség és arányosság</w:t>
      </w:r>
    </w:p>
    <w:p>
      <w:pPr>
        <w:pStyle w:val="BodyText"/>
        <w:spacing w:before="0" w:after="110"/>
      </w:pPr>
      <w:r>
        <w:t xml:space="preserve">A kifejezett hozzájárulásnak konkrétnak, megfelelő tájékoztatáson alapulónak, egyértelműnek, bizonyíthatónak, a választott nyelvhez illeszkedőnek és az opcionális analitikától elkülönítettnek kell lennie. A checkout ettől külön rögzíti az azonnali digitális teljesítés kifejezett kérését és az elállási jogra gyakorolt következmény tudomásulvételét; ezek nem előre kijelölt mezők, és nem minősülnek a GDPR 9. cikke szerinti hozzájárulásnak.</w:t>
      </w:r>
    </w:p>
    <w:p>
      <w:pPr>
        <w:pStyle w:val="Heading3"/>
        <w:spacing w:before="210" w:after="100"/>
        <w:keepNext/>
      </w:pPr>
      <w:r>
        <w:t xml:space="preserve">5.1 Szükségesség</w:t>
      </w:r>
    </w:p>
    <w:p>
      <w:pPr>
        <w:pStyle w:val="BodyText"/>
        <w:spacing w:before="0" w:after="110"/>
      </w:pPr>
      <w:r>
        <w:t xml:space="preserve">Az adatkezelés célja, hogy a felnőtt strukturált, nem diagnosztikus, szülőbarát előszűrési riportot kapjon. A kérdőívválaszok nélkül a szolgáltatás nem tud személyre szabott mintázatot és gyakorlati javaslatot adni. A fizetési, email- és számlaadatok a szerződés teljesítéséhez, kézbesítéshez és jogszabályi kötelezettségekhez szükségesek.</w:t>
      </w:r>
    </w:p>
    <w:p>
      <w:pPr>
        <w:pStyle w:val="Heading3"/>
        <w:spacing w:before="210" w:after="100"/>
        <w:keepNext/>
      </w:pPr>
      <w:r>
        <w:t xml:space="preserve">5.2 Kevésbé beavatkozó alternatívák</w:t>
      </w:r>
    </w:p>
    <w:p>
      <w:pPr>
        <w:pStyle w:val="BodyText"/>
        <w:spacing w:before="0" w:after="110"/>
      </w:pPr>
      <w:r>
        <w:t xml:space="preserve">A rendszernek továbbra is minimalizálnia kell az adatokat:</w:t>
      </w:r>
    </w:p>
    <w:p>
      <w:pPr>
        <w:pStyle w:val="ListParagraph"/>
        <w:spacing w:before="0" w:after="55"/>
        <w:keepLines/>
        <w:ind w:left="480" w:hanging="240"/>
        <w:numPr>
          <w:ilvl w:val="0"/>
          <w:numId w:val="1"/>
        </w:numPr>
      </w:pPr>
      <w:r>
        <w:t xml:space="preserve">gyermek neve helyett felnőtt vásárló neve;</w:t>
      </w:r>
    </w:p>
    <w:p>
      <w:pPr>
        <w:pStyle w:val="ListParagraph"/>
        <w:spacing w:before="0" w:after="55"/>
        <w:keepLines/>
        <w:ind w:left="480" w:hanging="240"/>
        <w:numPr>
          <w:ilvl w:val="0"/>
          <w:numId w:val="1"/>
        </w:numPr>
      </w:pPr>
      <w:r>
        <w:t xml:space="preserve">strukturált válaszok szabad szöveg helyett;</w:t>
      </w:r>
    </w:p>
    <w:p>
      <w:pPr>
        <w:pStyle w:val="ListParagraph"/>
        <w:spacing w:before="0" w:after="55"/>
        <w:keepLines/>
        <w:ind w:left="480" w:hanging="240"/>
        <w:numPr>
          <w:ilvl w:val="0"/>
          <w:numId w:val="1"/>
        </w:numPr>
      </w:pPr>
      <w:r>
        <w:t xml:space="preserve">rövid összefoglaló fizetés előtt, teljes riport csak fizetés után;</w:t>
      </w:r>
    </w:p>
    <w:p>
      <w:pPr>
        <w:pStyle w:val="ListParagraph"/>
        <w:spacing w:before="0" w:after="55"/>
        <w:keepLines/>
        <w:ind w:left="480" w:hanging="240"/>
        <w:numPr>
          <w:ilvl w:val="0"/>
          <w:numId w:val="1"/>
        </w:numPr>
      </w:pPr>
      <w:r>
        <w:t xml:space="preserve">érzékeny adatok kizárása marketing/analitika felé;</w:t>
      </w:r>
    </w:p>
    <w:p>
      <w:pPr>
        <w:pStyle w:val="ListParagraph"/>
        <w:spacing w:before="0" w:after="55"/>
        <w:keepLines/>
        <w:ind w:left="480" w:hanging="240"/>
        <w:numPr>
          <w:ilvl w:val="0"/>
          <w:numId w:val="1"/>
        </w:numPr>
      </w:pPr>
      <w:r>
        <w:t xml:space="preserve">tokenizált hozzáférés közvetlen emailes személyazonosság-feltárás helyett;</w:t>
      </w:r>
    </w:p>
    <w:p>
      <w:pPr>
        <w:pStyle w:val="ListParagraph"/>
        <w:spacing w:before="0" w:after="55"/>
        <w:keepLines/>
        <w:ind w:left="480" w:hanging="240"/>
        <w:numPr>
          <w:ilvl w:val="0"/>
          <w:numId w:val="1"/>
        </w:numPr>
      </w:pPr>
      <w:r>
        <w:t xml:space="preserve">megőrzési idő és törlés automatizálása.</w:t>
      </w:r>
    </w:p>
    <w:p>
      <w:pPr>
        <w:pStyle w:val="Heading3"/>
        <w:spacing w:before="210" w:after="100"/>
        <w:keepNext/>
      </w:pPr>
      <w:r>
        <w:t xml:space="preserve">5.3 Pontosság és méltányosság</w:t>
      </w:r>
    </w:p>
    <w:p>
      <w:pPr>
        <w:pStyle w:val="BodyText"/>
        <w:spacing w:before="0" w:after="110"/>
      </w:pPr>
      <w:r>
        <w:t xml:space="preserve">A szolgáltatás nem diagnózis. A scoring determinisztikus, a riport AI-támogatott magyarázatot ad, de nem helyettesíthet szakembert. Az UI-nak és a PDF-nek minden nyelven egyértelműen jeleznie kell a korlátokat, a bizonytalanságot és azt, mikor érdemes szakemberhez fordulni.</w:t>
      </w:r>
    </w:p>
    <w:p>
      <w:pPr>
        <w:pStyle w:val="Heading1"/>
        <w:spacing w:before="260" w:after="150"/>
        <w:keepNext/>
        <w:pageBreakBefore/>
      </w:pPr>
      <w:r>
        <w:t xml:space="preserve">6. Átláthatóság és érintetti jogok</w:t>
      </w:r>
    </w:p>
    <w:p>
      <w:pPr>
        <w:pStyle w:val="BodyText"/>
        <w:spacing w:before="0" w:after="110"/>
      </w:pPr>
      <w:r>
        <w:t xml:space="preserve">A folyamatnak a fizetés előtt közölnie kell:</w:t>
      </w:r>
    </w:p>
    <w:p>
      <w:pPr>
        <w:pStyle w:val="ListParagraph"/>
        <w:spacing w:before="0" w:after="55"/>
        <w:keepLines/>
        <w:ind w:left="480" w:hanging="240"/>
        <w:numPr>
          <w:ilvl w:val="0"/>
          <w:numId w:val="1"/>
        </w:numPr>
      </w:pPr>
      <w:r>
        <w:t xml:space="preserve">ki az adatkezelő és hogyan érhető el;</w:t>
      </w:r>
    </w:p>
    <w:p>
      <w:pPr>
        <w:pStyle w:val="ListParagraph"/>
        <w:spacing w:before="0" w:after="55"/>
        <w:keepLines/>
        <w:ind w:left="480" w:hanging="240"/>
        <w:numPr>
          <w:ilvl w:val="0"/>
          <w:numId w:val="1"/>
        </w:numPr>
      </w:pPr>
      <w:r>
        <w:t xml:space="preserve">milyen adatokat kér a rendszer és miért;</w:t>
      </w:r>
    </w:p>
    <w:p>
      <w:pPr>
        <w:pStyle w:val="ListParagraph"/>
        <w:spacing w:before="0" w:after="55"/>
        <w:keepLines/>
        <w:ind w:left="480" w:hanging="240"/>
        <w:numPr>
          <w:ilvl w:val="0"/>
          <w:numId w:val="1"/>
        </w:numPr>
      </w:pPr>
      <w:r>
        <w:t xml:space="preserve">hogy gyermekre vonatkozó megfigyelések és következtetések keletkezhetnek;</w:t>
      </w:r>
    </w:p>
    <w:p>
      <w:pPr>
        <w:pStyle w:val="ListParagraph"/>
        <w:spacing w:before="0" w:after="55"/>
        <w:keepLines/>
        <w:ind w:left="480" w:hanging="240"/>
        <w:numPr>
          <w:ilvl w:val="0"/>
          <w:numId w:val="1"/>
        </w:numPr>
      </w:pPr>
      <w:r>
        <w:t xml:space="preserve">hogy a riport nem diagnózis, nem orvosi eszköz és nem kezelési döntés;</w:t>
      </w:r>
    </w:p>
    <w:p>
      <w:pPr>
        <w:pStyle w:val="ListParagraph"/>
        <w:spacing w:before="0" w:after="55"/>
        <w:keepLines/>
        <w:ind w:left="480" w:hanging="240"/>
        <w:numPr>
          <w:ilvl w:val="0"/>
          <w:numId w:val="1"/>
        </w:numPr>
      </w:pPr>
      <w:r>
        <w:t xml:space="preserve">mely adatfeldolgozók vesznek részt;</w:t>
      </w:r>
    </w:p>
    <w:p>
      <w:pPr>
        <w:pStyle w:val="ListParagraph"/>
        <w:spacing w:before="0" w:after="55"/>
        <w:keepLines/>
        <w:ind w:left="480" w:hanging="240"/>
        <w:numPr>
          <w:ilvl w:val="0"/>
          <w:numId w:val="1"/>
        </w:numPr>
      </w:pPr>
      <w:r>
        <w:t xml:space="preserve">milyen országokba vagy szolgáltatókhoz történhet adattovábbítás;</w:t>
      </w:r>
    </w:p>
    <w:p>
      <w:pPr>
        <w:pStyle w:val="ListParagraph"/>
        <w:spacing w:before="0" w:after="55"/>
        <w:keepLines/>
        <w:ind w:left="480" w:hanging="240"/>
        <w:numPr>
          <w:ilvl w:val="0"/>
          <w:numId w:val="1"/>
        </w:numPr>
      </w:pPr>
      <w:r>
        <w:t xml:space="preserve">mennyi ideig őrződnek meg az adatok;</w:t>
      </w:r>
    </w:p>
    <w:p>
      <w:pPr>
        <w:pStyle w:val="ListParagraph"/>
        <w:spacing w:before="0" w:after="55"/>
        <w:keepLines/>
        <w:ind w:left="480" w:hanging="240"/>
        <w:numPr>
          <w:ilvl w:val="0"/>
          <w:numId w:val="1"/>
        </w:numPr>
      </w:pPr>
      <w:r>
        <w:t xml:space="preserve">hogyan vonható vissza a hozzájárulás;</w:t>
      </w:r>
    </w:p>
    <w:p>
      <w:pPr>
        <w:pStyle w:val="ListParagraph"/>
        <w:spacing w:before="0" w:after="55"/>
        <w:keepLines/>
        <w:ind w:left="480" w:hanging="240"/>
        <w:numPr>
          <w:ilvl w:val="0"/>
          <w:numId w:val="1"/>
        </w:numPr>
      </w:pPr>
      <w:r>
        <w:t xml:space="preserve">hogyan gyakorolható hozzáférés, helyesbítés, törlés, korlátozás, tiltakozás és adathordozhatóság;</w:t>
      </w:r>
    </w:p>
    <w:p>
      <w:pPr>
        <w:pStyle w:val="ListParagraph"/>
        <w:spacing w:before="0" w:after="55"/>
        <w:keepLines/>
        <w:ind w:left="480" w:hanging="240"/>
        <w:numPr>
          <w:ilvl w:val="0"/>
          <w:numId w:val="1"/>
        </w:numPr>
      </w:pPr>
      <w:r>
        <w:t xml:space="preserve">hogyan lehet panaszt tenni.</w:t>
      </w:r>
    </w:p>
    <w:p>
      <w:pPr>
        <w:pStyle w:val="BodyText"/>
        <w:spacing w:before="0" w:after="110"/>
      </w:pPr>
      <w:r>
        <w:t xml:space="preserve">Érintetti jogok minimális elvárt működése:</w:t>
      </w:r>
    </w:p>
    <w:tbl>
      <w:tblPr>
        <w:tblW w:w="10180" w:type="dxa"/>
        <w:tblLayout w:type="fixed"/>
        <w:tblBorders>
          <w:top w:val="single" w:sz="4" w:color="C9DCE8"/>
          <w:left w:val="single" w:sz="4" w:color="C9DCE8"/>
          <w:bottom w:val="single" w:sz="4" w:color="C9DCE8"/>
          <w:right w:val="single" w:sz="4" w:color="C9DCE8"/>
          <w:insideH w:val="single" w:sz="4" w:color="C9DCE8"/>
          <w:insideV w:val="single" w:sz="4" w:color="C9DCE8"/>
        </w:tblBorders>
        <w:tblCellMar>
          <w:top w:w="90" w:type="dxa"/>
          <w:left w:w="110" w:type="dxa"/>
          <w:bottom w:w="90" w:type="dxa"/>
          <w:right w:w="110" w:type="dxa"/>
        </w:tblCellMar>
      </w:tblPr>
      <w:tblGrid>
        <w:gridCol w:w="3393"/>
        <w:gridCol w:w="3393"/>
        <w:gridCol w:w="3394"/>
      </w:tblGrid>
      <w:tr>
        <w:trPr>
          <w:cantSplit/>
          <w:tblHeader/>
        </w:trPr>
        <w:tc>
          <w:tcPr>
            <w:tcW w:w="3393" w:type="dxa"/>
            <w:shd w:val="clear" w:color="auto" w:fill="075985"/>
            <w:vAlign w:val="center"/>
          </w:tcPr>
          <w:p>
            <w:pPr>
              <w:spacing w:before="45" w:after="45"/>
            </w:pPr>
            <w:r>
              <w:rPr>
                <w:b/>
                <w:color w:val="FFFFFF"/>
                <w:sz w:val="17"/>
                <w:szCs w:val="17"/>
              </w:rPr>
              <w:t xml:space="preserve">Jog</w:t>
            </w:r>
          </w:p>
        </w:tc>
        <w:tc>
          <w:tcPr>
            <w:tcW w:w="3393" w:type="dxa"/>
            <w:shd w:val="clear" w:color="auto" w:fill="075985"/>
            <w:vAlign w:val="center"/>
          </w:tcPr>
          <w:p>
            <w:pPr>
              <w:spacing w:before="45" w:after="45"/>
            </w:pPr>
            <w:r>
              <w:rPr>
                <w:b/>
                <w:color w:val="FFFFFF"/>
                <w:sz w:val="17"/>
                <w:szCs w:val="17"/>
              </w:rPr>
              <w:t xml:space="preserve">Támogatás</w:t>
            </w:r>
          </w:p>
        </w:tc>
        <w:tc>
          <w:tcPr>
            <w:tcW w:w="3394" w:type="dxa"/>
            <w:shd w:val="clear" w:color="auto" w:fill="075985"/>
            <w:vAlign w:val="center"/>
          </w:tcPr>
          <w:p>
            <w:pPr>
              <w:spacing w:before="45" w:after="45"/>
            </w:pPr>
            <w:r>
              <w:rPr>
                <w:b/>
                <w:color w:val="FFFFFF"/>
                <w:sz w:val="17"/>
                <w:szCs w:val="17"/>
              </w:rPr>
              <w:t xml:space="preserve">Nyitott kockázat</w:t>
            </w:r>
          </w:p>
        </w:tc>
      </w:tr>
      <w:tr>
        <w:trPr>
          <w:cantSplit/>
        </w:trPr>
        <w:tc>
          <w:tcPr>
            <w:tcW w:w="3393" w:type="dxa"/>
            <w:shd w:val="clear" w:color="auto" w:fill="FFFFFF"/>
            <w:vAlign w:val="center"/>
          </w:tcPr>
          <w:p>
            <w:pPr>
              <w:spacing w:before="45" w:after="45"/>
            </w:pPr>
            <w:r>
              <w:t xml:space="preserve">Hozzáférés</w:t>
            </w:r>
          </w:p>
        </w:tc>
        <w:tc>
          <w:tcPr>
            <w:tcW w:w="3393" w:type="dxa"/>
            <w:shd w:val="clear" w:color="auto" w:fill="FFFFFF"/>
            <w:vAlign w:val="center"/>
          </w:tcPr>
          <w:p>
            <w:pPr>
              <w:spacing w:before="45" w:after="45"/>
            </w:pPr>
            <w:r>
              <w:t xml:space="preserve">tokenizált kérelem, majd a session email-címére küldött egyszer használatos kód ellenőrzése; siker után strukturált export</w:t>
            </w:r>
          </w:p>
        </w:tc>
        <w:tc>
          <w:tcPr>
            <w:tcW w:w="3394" w:type="dxa"/>
            <w:shd w:val="clear" w:color="auto" w:fill="FFFFFF"/>
            <w:vAlign w:val="center"/>
          </w:tcPr>
          <w:p>
            <w:pPr>
              <w:spacing w:before="45" w:after="45"/>
            </w:pPr>
            <w:r>
              <w:t xml:space="preserve">a manuális helyreállítási eljárás és külső visszaélési teszt még nyitott</w:t>
            </w:r>
          </w:p>
        </w:tc>
      </w:tr>
      <w:tr>
        <w:trPr>
          <w:cantSplit/>
        </w:trPr>
        <w:tc>
          <w:tcPr>
            <w:tcW w:w="3393" w:type="dxa"/>
            <w:shd w:val="clear" w:color="auto" w:fill="F7FAFC"/>
            <w:vAlign w:val="center"/>
          </w:tcPr>
          <w:p>
            <w:pPr>
              <w:spacing w:before="45" w:after="45"/>
            </w:pPr>
            <w:r>
              <w:t xml:space="preserve">Helyesbítés</w:t>
            </w:r>
          </w:p>
        </w:tc>
        <w:tc>
          <w:tcPr>
            <w:tcW w:w="3393" w:type="dxa"/>
            <w:shd w:val="clear" w:color="auto" w:fill="F7FAFC"/>
            <w:vAlign w:val="center"/>
          </w:tcPr>
          <w:p>
            <w:pPr>
              <w:spacing w:before="45" w:after="45"/>
            </w:pPr>
            <w:r>
              <w:t xml:space="preserve">email/support workflow és számlaadatoknál külön kezelés</w:t>
            </w:r>
          </w:p>
        </w:tc>
        <w:tc>
          <w:tcPr>
            <w:tcW w:w="3394" w:type="dxa"/>
            <w:shd w:val="clear" w:color="auto" w:fill="F7FAFC"/>
            <w:vAlign w:val="center"/>
          </w:tcPr>
          <w:p>
            <w:pPr>
              <w:spacing w:before="45" w:after="45"/>
            </w:pPr>
            <w:r>
              <w:t xml:space="preserve">érzékeny riport utólagos javítási hatása</w:t>
            </w:r>
          </w:p>
        </w:tc>
      </w:tr>
      <w:tr>
        <w:trPr>
          <w:cantSplit/>
        </w:trPr>
        <w:tc>
          <w:tcPr>
            <w:tcW w:w="3393" w:type="dxa"/>
            <w:shd w:val="clear" w:color="auto" w:fill="FFFFFF"/>
            <w:vAlign w:val="center"/>
          </w:tcPr>
          <w:p>
            <w:pPr>
              <w:spacing w:before="45" w:after="45"/>
            </w:pPr>
            <w:r>
              <w:t xml:space="preserve">Törlés</w:t>
            </w:r>
          </w:p>
        </w:tc>
        <w:tc>
          <w:tcPr>
            <w:tcW w:w="3393" w:type="dxa"/>
            <w:shd w:val="clear" w:color="auto" w:fill="FFFFFF"/>
            <w:vAlign w:val="center"/>
          </w:tcPr>
          <w:p>
            <w:pPr>
              <w:spacing w:before="45" w:after="45"/>
            </w:pPr>
            <w:r>
              <w:t xml:space="preserve">érzékeny session/report adatok törlése vagy pszeudonimizálása</w:t>
            </w:r>
          </w:p>
        </w:tc>
        <w:tc>
          <w:tcPr>
            <w:tcW w:w="3394" w:type="dxa"/>
            <w:shd w:val="clear" w:color="auto" w:fill="FFFFFF"/>
            <w:vAlign w:val="center"/>
          </w:tcPr>
          <w:p>
            <w:pPr>
              <w:spacing w:before="45" w:after="45"/>
            </w:pPr>
            <w:r>
              <w:t xml:space="preserve">számlázási és jogi megőrzés elkülönítése</w:t>
            </w:r>
          </w:p>
        </w:tc>
      </w:tr>
      <w:tr>
        <w:trPr>
          <w:cantSplit/>
        </w:trPr>
        <w:tc>
          <w:tcPr>
            <w:tcW w:w="3393" w:type="dxa"/>
            <w:shd w:val="clear" w:color="auto" w:fill="F7FAFC"/>
            <w:vAlign w:val="center"/>
          </w:tcPr>
          <w:p>
            <w:pPr>
              <w:spacing w:before="45" w:after="45"/>
            </w:pPr>
            <w:r>
              <w:t xml:space="preserve">Korlátozás</w:t>
            </w:r>
          </w:p>
        </w:tc>
        <w:tc>
          <w:tcPr>
            <w:tcW w:w="3393" w:type="dxa"/>
            <w:shd w:val="clear" w:color="auto" w:fill="F7FAFC"/>
            <w:vAlign w:val="center"/>
          </w:tcPr>
          <w:p>
            <w:pPr>
              <w:spacing w:before="45" w:after="45"/>
            </w:pPr>
            <w:r>
              <w:t xml:space="preserve">feldolgozási kapuk worker/email előtt</w:t>
            </w:r>
          </w:p>
        </w:tc>
        <w:tc>
          <w:tcPr>
            <w:tcW w:w="3394" w:type="dxa"/>
            <w:shd w:val="clear" w:color="auto" w:fill="F7FAFC"/>
            <w:vAlign w:val="center"/>
          </w:tcPr>
          <w:p>
            <w:pPr>
              <w:spacing w:before="45" w:after="45"/>
            </w:pPr>
            <w:r>
              <w:t xml:space="preserve">bizonyíték szükséges, hogy minden pipeline tiszteletben tartja</w:t>
            </w:r>
          </w:p>
        </w:tc>
      </w:tr>
      <w:tr>
        <w:trPr>
          <w:cantSplit/>
        </w:trPr>
        <w:tc>
          <w:tcPr>
            <w:tcW w:w="3393" w:type="dxa"/>
            <w:shd w:val="clear" w:color="auto" w:fill="FFFFFF"/>
            <w:vAlign w:val="center"/>
          </w:tcPr>
          <w:p>
            <w:pPr>
              <w:spacing w:before="45" w:after="45"/>
            </w:pPr>
            <w:r>
              <w:t xml:space="preserve">Hozzájárulás visszavonása</w:t>
            </w:r>
          </w:p>
        </w:tc>
        <w:tc>
          <w:tcPr>
            <w:tcW w:w="3393" w:type="dxa"/>
            <w:shd w:val="clear" w:color="auto" w:fill="FFFFFF"/>
            <w:vAlign w:val="center"/>
          </w:tcPr>
          <w:p>
            <w:pPr>
              <w:spacing w:before="45" w:after="45"/>
            </w:pPr>
            <w:r>
              <w:t xml:space="preserve">jövőbeli érzékeny feldolgozás leállítása</w:t>
            </w:r>
          </w:p>
        </w:tc>
        <w:tc>
          <w:tcPr>
            <w:tcW w:w="3394" w:type="dxa"/>
            <w:shd w:val="clear" w:color="auto" w:fill="FFFFFF"/>
            <w:vAlign w:val="center"/>
          </w:tcPr>
          <w:p>
            <w:pPr>
              <w:spacing w:before="45" w:after="45"/>
            </w:pPr>
            <w:r>
              <w:t xml:space="preserve">már teljesített digitális tartalom és számlázás kezelése</w:t>
            </w:r>
          </w:p>
        </w:tc>
      </w:tr>
      <w:tr>
        <w:trPr>
          <w:cantSplit/>
        </w:trPr>
        <w:tc>
          <w:tcPr>
            <w:tcW w:w="3393" w:type="dxa"/>
            <w:shd w:val="clear" w:color="auto" w:fill="F7FAFC"/>
            <w:vAlign w:val="center"/>
          </w:tcPr>
          <w:p>
            <w:pPr>
              <w:spacing w:before="45" w:after="45"/>
            </w:pPr>
            <w:r>
              <w:t xml:space="preserve">Tiltakozás</w:t>
            </w:r>
          </w:p>
        </w:tc>
        <w:tc>
          <w:tcPr>
            <w:tcW w:w="3393" w:type="dxa"/>
            <w:shd w:val="clear" w:color="auto" w:fill="F7FAFC"/>
            <w:vAlign w:val="center"/>
          </w:tcPr>
          <w:p>
            <w:pPr>
              <w:spacing w:before="45" w:after="45"/>
            </w:pPr>
            <w:r>
              <w:t xml:space="preserve">jogos érdeken alapuló log/biztonsági célok elbírálása</w:t>
            </w:r>
          </w:p>
        </w:tc>
        <w:tc>
          <w:tcPr>
            <w:tcW w:w="3394" w:type="dxa"/>
            <w:shd w:val="clear" w:color="auto" w:fill="F7FAFC"/>
            <w:vAlign w:val="center"/>
          </w:tcPr>
          <w:p>
            <w:pPr>
              <w:spacing w:before="45" w:after="45"/>
            </w:pPr>
            <w:r>
              <w:t xml:space="preserve">érdekmérlegelés szükséges</w:t>
            </w:r>
          </w:p>
        </w:tc>
      </w:tr>
      <w:tr>
        <w:trPr>
          <w:cantSplit/>
        </w:trPr>
        <w:tc>
          <w:tcPr>
            <w:tcW w:w="3393" w:type="dxa"/>
            <w:shd w:val="clear" w:color="auto" w:fill="FFFFFF"/>
            <w:vAlign w:val="center"/>
          </w:tcPr>
          <w:p>
            <w:pPr>
              <w:spacing w:before="45" w:after="45"/>
            </w:pPr>
            <w:r>
              <w:t xml:space="preserve">Adathordozhatóság</w:t>
            </w:r>
          </w:p>
        </w:tc>
        <w:tc>
          <w:tcPr>
            <w:tcW w:w="3393" w:type="dxa"/>
            <w:shd w:val="clear" w:color="auto" w:fill="FFFFFF"/>
            <w:vAlign w:val="center"/>
          </w:tcPr>
          <w:p>
            <w:pPr>
              <w:spacing w:before="45" w:after="45"/>
            </w:pPr>
            <w:r>
              <w:t xml:space="preserve">strukturált export a szerződés/hozzájárulás alapján kezelt adatokra</w:t>
            </w:r>
          </w:p>
        </w:tc>
        <w:tc>
          <w:tcPr>
            <w:tcW w:w="3394" w:type="dxa"/>
            <w:shd w:val="clear" w:color="auto" w:fill="FFFFFF"/>
            <w:vAlign w:val="center"/>
          </w:tcPr>
          <w:p>
            <w:pPr>
              <w:spacing w:before="45" w:after="45"/>
            </w:pPr>
            <w:r>
              <w:t xml:space="preserve">formátum és azonosítás véglegesítése</w:t>
            </w:r>
          </w:p>
        </w:tc>
      </w:tr>
    </w:tbl>
    <w:p>
      <w:pPr>
        <w:spacing w:after="100"/>
      </w:pPr>
    </w:p>
    <w:p>
      <w:pPr>
        <w:pStyle w:val="Heading1"/>
        <w:spacing w:before="260" w:after="150"/>
        <w:keepNext/>
        <w:pageBreakBefore/>
      </w:pPr>
      <w:r>
        <w:t xml:space="preserve">7. Megőrzés és törlés</w:t>
      </w:r>
    </w:p>
    <w:p>
      <w:pPr>
        <w:pStyle w:val="BodyText"/>
        <w:spacing w:before="0" w:after="110"/>
      </w:pPr>
      <w:r>
        <w:t xml:space="preserve">Javasolt adatmegőrzési logika:</w:t>
      </w:r>
    </w:p>
    <w:tbl>
      <w:tblPr>
        <w:tblW w:w="10180" w:type="dxa"/>
        <w:tblLayout w:type="fixed"/>
        <w:tblBorders>
          <w:top w:val="single" w:sz="4" w:color="C9DCE8"/>
          <w:left w:val="single" w:sz="4" w:color="C9DCE8"/>
          <w:bottom w:val="single" w:sz="4" w:color="C9DCE8"/>
          <w:right w:val="single" w:sz="4" w:color="C9DCE8"/>
          <w:insideH w:val="single" w:sz="4" w:color="C9DCE8"/>
          <w:insideV w:val="single" w:sz="4" w:color="C9DCE8"/>
        </w:tblBorders>
        <w:tblCellMar>
          <w:top w:w="90" w:type="dxa"/>
          <w:left w:w="110" w:type="dxa"/>
          <w:bottom w:w="90" w:type="dxa"/>
          <w:right w:w="110" w:type="dxa"/>
        </w:tblCellMar>
      </w:tblPr>
      <w:tblGrid>
        <w:gridCol w:w="3393"/>
        <w:gridCol w:w="3393"/>
        <w:gridCol w:w="3394"/>
      </w:tblGrid>
      <w:tr>
        <w:trPr>
          <w:cantSplit/>
          <w:tblHeader/>
        </w:trPr>
        <w:tc>
          <w:tcPr>
            <w:tcW w:w="3393" w:type="dxa"/>
            <w:shd w:val="clear" w:color="auto" w:fill="075985"/>
            <w:vAlign w:val="center"/>
          </w:tcPr>
          <w:p>
            <w:pPr>
              <w:spacing w:before="45" w:after="45"/>
            </w:pPr>
            <w:r>
              <w:rPr>
                <w:b/>
                <w:color w:val="FFFFFF"/>
                <w:sz w:val="17"/>
                <w:szCs w:val="17"/>
              </w:rPr>
              <w:t xml:space="preserve">Adatkör</w:t>
            </w:r>
          </w:p>
        </w:tc>
        <w:tc>
          <w:tcPr>
            <w:tcW w:w="3393" w:type="dxa"/>
            <w:shd w:val="clear" w:color="auto" w:fill="075985"/>
            <w:vAlign w:val="center"/>
          </w:tcPr>
          <w:p>
            <w:pPr>
              <w:spacing w:before="45" w:after="45"/>
            </w:pPr>
            <w:r>
              <w:rPr>
                <w:b/>
                <w:color w:val="FFFFFF"/>
                <w:sz w:val="17"/>
                <w:szCs w:val="17"/>
              </w:rPr>
              <w:t xml:space="preserve">Javasolt megőrzés</w:t>
            </w:r>
          </w:p>
        </w:tc>
        <w:tc>
          <w:tcPr>
            <w:tcW w:w="3394" w:type="dxa"/>
            <w:shd w:val="clear" w:color="auto" w:fill="075985"/>
            <w:vAlign w:val="center"/>
          </w:tcPr>
          <w:p>
            <w:pPr>
              <w:spacing w:before="45" w:after="45"/>
            </w:pPr>
            <w:r>
              <w:rPr>
                <w:b/>
                <w:color w:val="FFFFFF"/>
                <w:sz w:val="17"/>
                <w:szCs w:val="17"/>
              </w:rPr>
              <w:t xml:space="preserve">Megjegyzés</w:t>
            </w:r>
          </w:p>
        </w:tc>
      </w:tr>
      <w:tr>
        <w:trPr>
          <w:cantSplit/>
        </w:trPr>
        <w:tc>
          <w:tcPr>
            <w:tcW w:w="3393" w:type="dxa"/>
            <w:shd w:val="clear" w:color="auto" w:fill="FFFFFF"/>
            <w:vAlign w:val="center"/>
          </w:tcPr>
          <w:p>
            <w:pPr>
              <w:spacing w:before="45" w:after="45"/>
            </w:pPr>
            <w:r>
              <w:t xml:space="preserve">Kérdőívválaszok, scoring, riport, follow-up</w:t>
            </w:r>
          </w:p>
        </w:tc>
        <w:tc>
          <w:tcPr>
            <w:tcW w:w="3393" w:type="dxa"/>
            <w:shd w:val="clear" w:color="auto" w:fill="FFFFFF"/>
            <w:vAlign w:val="center"/>
          </w:tcPr>
          <w:p>
            <w:pPr>
              <w:spacing w:before="45" w:after="45"/>
            </w:pPr>
            <w:r>
              <w:t xml:space="preserve">alapértelmezés szerint 90 nap, majd törlés/pszeudonimizálás, ha rövidebb szerződéses szükséglet nem indokolható</w:t>
            </w:r>
          </w:p>
        </w:tc>
        <w:tc>
          <w:tcPr>
            <w:tcW w:w="3394" w:type="dxa"/>
            <w:shd w:val="clear" w:color="auto" w:fill="FFFFFF"/>
            <w:vAlign w:val="center"/>
          </w:tcPr>
          <w:p>
            <w:pPr>
              <w:spacing w:before="45" w:after="45"/>
            </w:pPr>
            <w:r>
              <w:t xml:space="preserve">a végleges időt jogász hagyja jóvá, a backup-életciklussal együtt</w:t>
            </w:r>
          </w:p>
        </w:tc>
      </w:tr>
      <w:tr>
        <w:trPr>
          <w:cantSplit/>
        </w:trPr>
        <w:tc>
          <w:tcPr>
            <w:tcW w:w="3393" w:type="dxa"/>
            <w:shd w:val="clear" w:color="auto" w:fill="F7FAFC"/>
            <w:vAlign w:val="center"/>
          </w:tcPr>
          <w:p>
            <w:pPr>
              <w:spacing w:before="45" w:after="45"/>
            </w:pPr>
            <w:r>
              <w:t xml:space="preserve">Email kézbesítési metaadat</w:t>
            </w:r>
          </w:p>
        </w:tc>
        <w:tc>
          <w:tcPr>
            <w:tcW w:w="3393" w:type="dxa"/>
            <w:shd w:val="clear" w:color="auto" w:fill="F7FAFC"/>
            <w:vAlign w:val="center"/>
          </w:tcPr>
          <w:p>
            <w:pPr>
              <w:spacing w:before="45" w:after="45"/>
            </w:pPr>
            <w:r>
              <w:t xml:space="preserve">rövid üzemeltetési idő, például 30-90 nap</w:t>
            </w:r>
          </w:p>
        </w:tc>
        <w:tc>
          <w:tcPr>
            <w:tcW w:w="3394" w:type="dxa"/>
            <w:shd w:val="clear" w:color="auto" w:fill="F7FAFC"/>
            <w:vAlign w:val="center"/>
          </w:tcPr>
          <w:p>
            <w:pPr>
              <w:spacing w:before="45" w:after="45"/>
            </w:pPr>
            <w:r>
              <w:t xml:space="preserve">tartalom nélkül</w:t>
            </w:r>
          </w:p>
        </w:tc>
      </w:tr>
      <w:tr>
        <w:trPr>
          <w:cantSplit/>
        </w:trPr>
        <w:tc>
          <w:tcPr>
            <w:tcW w:w="3393" w:type="dxa"/>
            <w:shd w:val="clear" w:color="auto" w:fill="FFFFFF"/>
            <w:vAlign w:val="center"/>
          </w:tcPr>
          <w:p>
            <w:pPr>
              <w:spacing w:before="45" w:after="45"/>
            </w:pPr>
            <w:r>
              <w:t xml:space="preserve">Számlaadatok</w:t>
            </w:r>
          </w:p>
        </w:tc>
        <w:tc>
          <w:tcPr>
            <w:tcW w:w="3393" w:type="dxa"/>
            <w:shd w:val="clear" w:color="auto" w:fill="FFFFFF"/>
            <w:vAlign w:val="center"/>
          </w:tcPr>
          <w:p>
            <w:pPr>
              <w:spacing w:before="45" w:after="45"/>
            </w:pPr>
            <w:r>
              <w:t xml:space="preserve">nemzeti számviteli és adózási szabályok szerint</w:t>
            </w:r>
          </w:p>
        </w:tc>
        <w:tc>
          <w:tcPr>
            <w:tcW w:w="3394" w:type="dxa"/>
            <w:shd w:val="clear" w:color="auto" w:fill="FFFFFF"/>
            <w:vAlign w:val="center"/>
          </w:tcPr>
          <w:p>
            <w:pPr>
              <w:spacing w:before="45" w:after="45"/>
            </w:pPr>
            <w:r>
              <w:t xml:space="preserve">elkülönítve az érzékeny kérdőíves adatoktól</w:t>
            </w:r>
          </w:p>
        </w:tc>
      </w:tr>
      <w:tr>
        <w:trPr>
          <w:cantSplit/>
        </w:trPr>
        <w:tc>
          <w:tcPr>
            <w:tcW w:w="3393" w:type="dxa"/>
            <w:shd w:val="clear" w:color="auto" w:fill="F7FAFC"/>
            <w:vAlign w:val="center"/>
          </w:tcPr>
          <w:p>
            <w:pPr>
              <w:spacing w:before="45" w:after="45"/>
            </w:pPr>
            <w:r>
              <w:t xml:space="preserve">Hozzájárulási bizonyíték</w:t>
            </w:r>
          </w:p>
        </w:tc>
        <w:tc>
          <w:tcPr>
            <w:tcW w:w="3393" w:type="dxa"/>
            <w:shd w:val="clear" w:color="auto" w:fill="F7FAFC"/>
            <w:vAlign w:val="center"/>
          </w:tcPr>
          <w:p>
            <w:pPr>
              <w:spacing w:before="45" w:after="45"/>
            </w:pPr>
            <w:r>
              <w:t xml:space="preserve">a jogi igényérvényesítési/elszámoltathatósági időig</w:t>
            </w:r>
          </w:p>
        </w:tc>
        <w:tc>
          <w:tcPr>
            <w:tcW w:w="3394" w:type="dxa"/>
            <w:shd w:val="clear" w:color="auto" w:fill="F7FAFC"/>
            <w:vAlign w:val="center"/>
          </w:tcPr>
          <w:p>
            <w:pPr>
              <w:spacing w:before="45" w:after="45"/>
            </w:pPr>
            <w:r>
              <w:t xml:space="preserve">minimalizált, verziózott</w:t>
            </w:r>
          </w:p>
        </w:tc>
      </w:tr>
      <w:tr>
        <w:trPr>
          <w:cantSplit/>
        </w:trPr>
        <w:tc>
          <w:tcPr>
            <w:tcW w:w="3393" w:type="dxa"/>
            <w:shd w:val="clear" w:color="auto" w:fill="FFFFFF"/>
            <w:vAlign w:val="center"/>
          </w:tcPr>
          <w:p>
            <w:pPr>
              <w:spacing w:before="45" w:after="45"/>
            </w:pPr>
            <w:r>
              <w:t xml:space="preserve">Biztonsági naplók</w:t>
            </w:r>
          </w:p>
        </w:tc>
        <w:tc>
          <w:tcPr>
            <w:tcW w:w="3393" w:type="dxa"/>
            <w:shd w:val="clear" w:color="auto" w:fill="FFFFFF"/>
            <w:vAlign w:val="center"/>
          </w:tcPr>
          <w:p>
            <w:pPr>
              <w:spacing w:before="45" w:after="45"/>
            </w:pPr>
            <w:r>
              <w:t xml:space="preserve">rövid, arányos idő</w:t>
            </w:r>
          </w:p>
        </w:tc>
        <w:tc>
          <w:tcPr>
            <w:tcW w:w="3394" w:type="dxa"/>
            <w:shd w:val="clear" w:color="auto" w:fill="FFFFFF"/>
            <w:vAlign w:val="center"/>
          </w:tcPr>
          <w:p>
            <w:pPr>
              <w:spacing w:before="45" w:after="45"/>
            </w:pPr>
            <w:r>
              <w:t xml:space="preserve">érzékeny tartalom nélkül</w:t>
            </w:r>
          </w:p>
        </w:tc>
      </w:tr>
      <w:tr>
        <w:trPr>
          <w:cantSplit/>
        </w:trPr>
        <w:tc>
          <w:tcPr>
            <w:tcW w:w="3393" w:type="dxa"/>
            <w:shd w:val="clear" w:color="auto" w:fill="F7FAFC"/>
            <w:vAlign w:val="center"/>
          </w:tcPr>
          <w:p>
            <w:pPr>
              <w:spacing w:before="45" w:after="45"/>
            </w:pPr>
            <w:r>
              <w:t xml:space="preserve">Admin audit események</w:t>
            </w:r>
          </w:p>
        </w:tc>
        <w:tc>
          <w:tcPr>
            <w:tcW w:w="3393" w:type="dxa"/>
            <w:shd w:val="clear" w:color="auto" w:fill="F7FAFC"/>
            <w:vAlign w:val="center"/>
          </w:tcPr>
          <w:p>
            <w:pPr>
              <w:spacing w:before="45" w:after="45"/>
            </w:pPr>
            <w:r>
              <w:t xml:space="preserve">belső ellenőrzési célra korlátozott idő</w:t>
            </w:r>
          </w:p>
        </w:tc>
        <w:tc>
          <w:tcPr>
            <w:tcW w:w="3394" w:type="dxa"/>
            <w:shd w:val="clear" w:color="auto" w:fill="F7FAFC"/>
            <w:vAlign w:val="center"/>
          </w:tcPr>
          <w:p>
            <w:pPr>
              <w:spacing w:before="45" w:after="45"/>
            </w:pPr>
            <w:r>
              <w:t xml:space="preserve">hozzáférés korlátozása</w:t>
            </w:r>
          </w:p>
        </w:tc>
      </w:tr>
    </w:tbl>
    <w:p>
      <w:pPr>
        <w:spacing w:after="100"/>
      </w:pPr>
    </w:p>
    <w:p>
      <w:pPr>
        <w:pStyle w:val="BodyText"/>
        <w:spacing w:before="0" w:after="110"/>
      </w:pPr>
      <w:r>
        <w:t xml:space="preserve">A backup törlésre, visszaállításra és pszeudonimizálásra külön bizonyíték szükséges az éles indulás előtt.</w:t>
      </w:r>
    </w:p>
    <w:p>
      <w:pPr>
        <w:pStyle w:val="Heading1"/>
        <w:spacing w:before="260" w:after="150"/>
        <w:keepNext/>
      </w:pPr>
      <w:r>
        <w:t xml:space="preserve">8. Címzettek, adatfeldolgozók és adattovábbítások</w:t>
      </w:r>
    </w:p>
    <w:tbl>
      <w:tblPr>
        <w:tblW w:w="10180" w:type="dxa"/>
        <w:tblLayout w:type="fixed"/>
        <w:tblBorders>
          <w:top w:val="single" w:sz="4" w:color="C9DCE8"/>
          <w:left w:val="single" w:sz="4" w:color="C9DCE8"/>
          <w:bottom w:val="single" w:sz="4" w:color="C9DCE8"/>
          <w:right w:val="single" w:sz="4" w:color="C9DCE8"/>
          <w:insideH w:val="single" w:sz="4" w:color="C9DCE8"/>
          <w:insideV w:val="single" w:sz="4" w:color="C9DCE8"/>
        </w:tblBorders>
        <w:tblCellMar>
          <w:top w:w="90" w:type="dxa"/>
          <w:left w:w="110" w:type="dxa"/>
          <w:bottom w:w="90" w:type="dxa"/>
          <w:right w:w="110" w:type="dxa"/>
        </w:tblCellMar>
      </w:tblPr>
      <w:tblGrid>
        <w:gridCol w:w="1800"/>
        <w:gridCol w:w="1700"/>
        <w:gridCol w:w="1500"/>
        <w:gridCol w:w="5180"/>
      </w:tblGrid>
      <w:tr>
        <w:trPr>
          <w:cantSplit/>
          <w:tblHeader/>
        </w:trPr>
        <w:tc>
          <w:tcPr>
            <w:tcW w:w="1800" w:type="dxa"/>
            <w:shd w:val="clear" w:color="auto" w:fill="075985"/>
            <w:vAlign w:val="center"/>
          </w:tcPr>
          <w:p>
            <w:pPr>
              <w:spacing w:before="45" w:after="45"/>
            </w:pPr>
            <w:r>
              <w:rPr>
                <w:b/>
                <w:color w:val="FFFFFF"/>
                <w:sz w:val="17"/>
                <w:szCs w:val="17"/>
              </w:rPr>
              <w:t xml:space="preserve">Szolgáltató</w:t>
            </w:r>
          </w:p>
        </w:tc>
        <w:tc>
          <w:tcPr>
            <w:tcW w:w="1700" w:type="dxa"/>
            <w:shd w:val="clear" w:color="auto" w:fill="075985"/>
            <w:vAlign w:val="center"/>
          </w:tcPr>
          <w:p>
            <w:pPr>
              <w:spacing w:before="45" w:after="45"/>
            </w:pPr>
            <w:r>
              <w:rPr>
                <w:b/>
                <w:color w:val="FFFFFF"/>
                <w:sz w:val="17"/>
                <w:szCs w:val="17"/>
              </w:rPr>
              <w:t xml:space="preserve">Funkció</w:t>
            </w:r>
          </w:p>
        </w:tc>
        <w:tc>
          <w:tcPr>
            <w:tcW w:w="1500" w:type="dxa"/>
            <w:shd w:val="clear" w:color="auto" w:fill="075985"/>
            <w:vAlign w:val="center"/>
          </w:tcPr>
          <w:p>
            <w:pPr>
              <w:spacing w:before="45" w:after="45"/>
            </w:pPr>
            <w:r>
              <w:rPr>
                <w:b/>
                <w:color w:val="FFFFFF"/>
                <w:sz w:val="17"/>
                <w:szCs w:val="17"/>
              </w:rPr>
              <w:t xml:space="preserve">Fő kockázat</w:t>
            </w:r>
          </w:p>
        </w:tc>
        <w:tc>
          <w:tcPr>
            <w:tcW w:w="5180" w:type="dxa"/>
            <w:shd w:val="clear" w:color="auto" w:fill="075985"/>
            <w:vAlign w:val="center"/>
          </w:tcPr>
          <w:p>
            <w:pPr>
              <w:spacing w:before="45" w:after="45"/>
            </w:pPr>
            <w:r>
              <w:rPr>
                <w:b/>
                <w:color w:val="FFFFFF"/>
                <w:sz w:val="17"/>
                <w:szCs w:val="17"/>
              </w:rPr>
              <w:t xml:space="preserve">Szükséges bizonyíték</w:t>
            </w:r>
          </w:p>
        </w:tc>
      </w:tr>
      <w:tr>
        <w:trPr>
          <w:cantSplit/>
        </w:trPr>
        <w:tc>
          <w:tcPr>
            <w:tcW w:w="1800" w:type="dxa"/>
            <w:shd w:val="clear" w:color="auto" w:fill="FFFFFF"/>
            <w:vAlign w:val="center"/>
          </w:tcPr>
          <w:p>
            <w:pPr>
              <w:spacing w:before="45" w:after="45"/>
            </w:pPr>
            <w:r>
              <w:t xml:space="preserve">Railway</w:t>
            </w:r>
          </w:p>
        </w:tc>
        <w:tc>
          <w:tcPr>
            <w:tcW w:w="1700" w:type="dxa"/>
            <w:shd w:val="clear" w:color="auto" w:fill="FFFFFF"/>
            <w:vAlign w:val="center"/>
          </w:tcPr>
          <w:p>
            <w:pPr>
              <w:spacing w:before="45" w:after="45"/>
            </w:pPr>
            <w:r>
              <w:t xml:space="preserve">hosting, API, adatbázis, worker</w:t>
            </w:r>
          </w:p>
        </w:tc>
        <w:tc>
          <w:tcPr>
            <w:tcW w:w="1500" w:type="dxa"/>
            <w:shd w:val="clear" w:color="auto" w:fill="FFFFFF"/>
            <w:vAlign w:val="center"/>
          </w:tcPr>
          <w:p>
            <w:pPr>
              <w:spacing w:before="45" w:after="45"/>
            </w:pPr>
            <w:r>
              <w:t xml:space="preserve">régió, hozzáférés, backup, naplók</w:t>
            </w:r>
          </w:p>
        </w:tc>
        <w:tc>
          <w:tcPr>
            <w:tcW w:w="5180" w:type="dxa"/>
            <w:shd w:val="clear" w:color="auto" w:fill="FFFFFF"/>
            <w:vAlign w:val="center"/>
          </w:tcPr>
          <w:p>
            <w:pPr>
              <w:spacing w:before="45" w:after="45"/>
            </w:pPr>
            <w:r>
              <w:t xml:space="preserve">DPA, régió, biztonsági bizonyíték, backup policy</w:t>
            </w:r>
          </w:p>
        </w:tc>
      </w:tr>
      <w:tr>
        <w:trPr>
          <w:cantSplit/>
        </w:trPr>
        <w:tc>
          <w:tcPr>
            <w:tcW w:w="1800" w:type="dxa"/>
            <w:shd w:val="clear" w:color="auto" w:fill="F7FAFC"/>
            <w:vAlign w:val="center"/>
          </w:tcPr>
          <w:p>
            <w:pPr>
              <w:spacing w:before="45" w:after="45"/>
            </w:pPr>
            <w:r>
              <w:t xml:space="preserve">Stripe</w:t>
            </w:r>
          </w:p>
        </w:tc>
        <w:tc>
          <w:tcPr>
            <w:tcW w:w="1700" w:type="dxa"/>
            <w:shd w:val="clear" w:color="auto" w:fill="F7FAFC"/>
            <w:vAlign w:val="center"/>
          </w:tcPr>
          <w:p>
            <w:pPr>
              <w:spacing w:before="45" w:after="45"/>
            </w:pPr>
            <w:r>
              <w:t xml:space="preserve">fizetés, checkout, webhook</w:t>
            </w:r>
          </w:p>
        </w:tc>
        <w:tc>
          <w:tcPr>
            <w:tcW w:w="1500" w:type="dxa"/>
            <w:shd w:val="clear" w:color="auto" w:fill="F7FAFC"/>
            <w:vAlign w:val="center"/>
          </w:tcPr>
          <w:p>
            <w:pPr>
              <w:spacing w:before="45" w:after="45"/>
            </w:pPr>
            <w:r>
              <w:t xml:space="preserve">pénzügyi adatok, nemzetközi továbbítás</w:t>
            </w:r>
          </w:p>
        </w:tc>
        <w:tc>
          <w:tcPr>
            <w:tcW w:w="5180" w:type="dxa"/>
            <w:shd w:val="clear" w:color="auto" w:fill="F7FAFC"/>
            <w:vAlign w:val="center"/>
          </w:tcPr>
          <w:p>
            <w:pPr>
              <w:spacing w:before="45" w:after="45"/>
            </w:pPr>
            <w:r>
              <w:t xml:space="preserve">DPA, adatáramlás, checkout jogi szöveg</w:t>
            </w:r>
          </w:p>
        </w:tc>
      </w:tr>
      <w:tr>
        <w:trPr>
          <w:cantSplit/>
        </w:trPr>
        <w:tc>
          <w:tcPr>
            <w:tcW w:w="1800" w:type="dxa"/>
            <w:shd w:val="clear" w:color="auto" w:fill="FFFFFF"/>
            <w:vAlign w:val="center"/>
          </w:tcPr>
          <w:p>
            <w:pPr>
              <w:spacing w:before="45" w:after="45"/>
            </w:pPr>
            <w:r>
              <w:t xml:space="preserve">OpenAI</w:t>
            </w:r>
          </w:p>
        </w:tc>
        <w:tc>
          <w:tcPr>
            <w:tcW w:w="1700" w:type="dxa"/>
            <w:shd w:val="clear" w:color="auto" w:fill="FFFFFF"/>
            <w:vAlign w:val="center"/>
          </w:tcPr>
          <w:p>
            <w:pPr>
              <w:spacing w:before="45" w:after="45"/>
            </w:pPr>
            <w:r>
              <w:t xml:space="preserve">AI-támogatott riportgenerálás</w:t>
            </w:r>
          </w:p>
        </w:tc>
        <w:tc>
          <w:tcPr>
            <w:tcW w:w="1500" w:type="dxa"/>
            <w:shd w:val="clear" w:color="auto" w:fill="FFFFFF"/>
            <w:vAlign w:val="center"/>
          </w:tcPr>
          <w:p>
            <w:pPr>
              <w:spacing w:before="45" w:after="45"/>
            </w:pPr>
            <w:r>
              <w:t xml:space="preserve">különleges kategóriájú tartalom, modellhasználat</w:t>
            </w:r>
          </w:p>
        </w:tc>
        <w:tc>
          <w:tcPr>
            <w:tcW w:w="5180" w:type="dxa"/>
            <w:shd w:val="clear" w:color="auto" w:fill="FFFFFF"/>
            <w:vAlign w:val="center"/>
          </w:tcPr>
          <w:p>
            <w:pPr>
              <w:spacing w:before="45" w:after="45"/>
            </w:pPr>
            <w:r>
              <w:t xml:space="preserve">DPA/terms, training kizárás, régió/transfer review</w:t>
            </w:r>
          </w:p>
        </w:tc>
      </w:tr>
      <w:tr>
        <w:trPr>
          <w:cantSplit/>
        </w:trPr>
        <w:tc>
          <w:tcPr>
            <w:tcW w:w="1800" w:type="dxa"/>
            <w:shd w:val="clear" w:color="auto" w:fill="F7FAFC"/>
            <w:vAlign w:val="center"/>
          </w:tcPr>
          <w:p>
            <w:pPr>
              <w:spacing w:before="45" w:after="45"/>
            </w:pPr>
            <w:r>
              <w:t xml:space="preserve">Resend</w:t>
            </w:r>
          </w:p>
        </w:tc>
        <w:tc>
          <w:tcPr>
            <w:tcW w:w="1700" w:type="dxa"/>
            <w:shd w:val="clear" w:color="auto" w:fill="F7FAFC"/>
            <w:vAlign w:val="center"/>
          </w:tcPr>
          <w:p>
            <w:pPr>
              <w:spacing w:before="45" w:after="45"/>
            </w:pPr>
            <w:r>
              <w:t xml:space="preserve">email kézbesítés</w:t>
            </w:r>
          </w:p>
        </w:tc>
        <w:tc>
          <w:tcPr>
            <w:tcW w:w="1500" w:type="dxa"/>
            <w:shd w:val="clear" w:color="auto" w:fill="F7FAFC"/>
            <w:vAlign w:val="center"/>
          </w:tcPr>
          <w:p>
            <w:pPr>
              <w:spacing w:before="45" w:after="45"/>
            </w:pPr>
            <w:r>
              <w:t xml:space="preserve">riport kézbesítése rossz címre, tracking</w:t>
            </w:r>
          </w:p>
        </w:tc>
        <w:tc>
          <w:tcPr>
            <w:tcW w:w="5180" w:type="dxa"/>
            <w:shd w:val="clear" w:color="auto" w:fill="F7FAFC"/>
            <w:vAlign w:val="center"/>
          </w:tcPr>
          <w:p>
            <w:pPr>
              <w:spacing w:before="45" w:after="45"/>
            </w:pPr>
            <w:r>
              <w:t xml:space="preserve">DPA, tracking beállítás, security review</w:t>
            </w:r>
          </w:p>
        </w:tc>
      </w:tr>
      <w:tr>
        <w:trPr>
          <w:cantSplit/>
        </w:trPr>
        <w:tc>
          <w:tcPr>
            <w:tcW w:w="1800" w:type="dxa"/>
            <w:shd w:val="clear" w:color="auto" w:fill="FFFFFF"/>
            <w:vAlign w:val="center"/>
          </w:tcPr>
          <w:p>
            <w:pPr>
              <w:spacing w:before="45" w:after="45"/>
            </w:pPr>
            <w:r>
              <w:t xml:space="preserve">Számlázz.hu</w:t>
            </w:r>
          </w:p>
        </w:tc>
        <w:tc>
          <w:tcPr>
            <w:tcW w:w="1700" w:type="dxa"/>
            <w:shd w:val="clear" w:color="auto" w:fill="FFFFFF"/>
            <w:vAlign w:val="center"/>
          </w:tcPr>
          <w:p>
            <w:pPr>
              <w:spacing w:before="45" w:after="45"/>
            </w:pPr>
            <w:r>
              <w:t xml:space="preserve">számlázás</w:t>
            </w:r>
          </w:p>
        </w:tc>
        <w:tc>
          <w:tcPr>
            <w:tcW w:w="1500" w:type="dxa"/>
            <w:shd w:val="clear" w:color="auto" w:fill="FFFFFF"/>
            <w:vAlign w:val="center"/>
          </w:tcPr>
          <w:p>
            <w:pPr>
              <w:spacing w:before="45" w:after="45"/>
            </w:pPr>
            <w:r>
              <w:t xml:space="preserve">jogszabályi megőrzés, adatpontosság</w:t>
            </w:r>
          </w:p>
        </w:tc>
        <w:tc>
          <w:tcPr>
            <w:tcW w:w="5180" w:type="dxa"/>
            <w:shd w:val="clear" w:color="auto" w:fill="FFFFFF"/>
            <w:vAlign w:val="center"/>
          </w:tcPr>
          <w:p>
            <w:pPr>
              <w:spacing w:before="45" w:after="45"/>
            </w:pPr>
            <w:r>
              <w:t xml:space="preserve">szerződés, adatmezők, megőrzés</w:t>
            </w:r>
          </w:p>
        </w:tc>
      </w:tr>
      <w:tr>
        <w:trPr>
          <w:cantSplit/>
        </w:trPr>
        <w:tc>
          <w:tcPr>
            <w:tcW w:w="1800" w:type="dxa"/>
            <w:shd w:val="clear" w:color="auto" w:fill="F7FAFC"/>
            <w:vAlign w:val="center"/>
          </w:tcPr>
          <w:p>
            <w:pPr>
              <w:spacing w:before="45" w:after="45"/>
            </w:pPr>
            <w:r>
              <w:t xml:space="preserve">Webflow</w:t>
            </w:r>
          </w:p>
        </w:tc>
        <w:tc>
          <w:tcPr>
            <w:tcW w:w="1700" w:type="dxa"/>
            <w:shd w:val="clear" w:color="auto" w:fill="F7FAFC"/>
            <w:vAlign w:val="center"/>
          </w:tcPr>
          <w:p>
            <w:pPr>
              <w:spacing w:before="45" w:after="45"/>
            </w:pPr>
            <w:r>
              <w:t xml:space="preserve">frontend hosting/embed</w:t>
            </w:r>
          </w:p>
        </w:tc>
        <w:tc>
          <w:tcPr>
            <w:tcW w:w="1500" w:type="dxa"/>
            <w:shd w:val="clear" w:color="auto" w:fill="F7FAFC"/>
            <w:vAlign w:val="center"/>
          </w:tcPr>
          <w:p>
            <w:pPr>
              <w:spacing w:before="45" w:after="45"/>
            </w:pPr>
            <w:r>
              <w:t xml:space="preserve">cookie/analytics, jogi modalok</w:t>
            </w:r>
          </w:p>
        </w:tc>
        <w:tc>
          <w:tcPr>
            <w:tcW w:w="5180" w:type="dxa"/>
            <w:shd w:val="clear" w:color="auto" w:fill="F7FAFC"/>
            <w:vAlign w:val="center"/>
          </w:tcPr>
          <w:p>
            <w:pPr>
              <w:spacing w:before="45" w:after="45"/>
            </w:pPr>
            <w:r>
              <w:t xml:space="preserve">adatfeldolgozói feltételek, cookie/consent review</w:t>
            </w:r>
          </w:p>
        </w:tc>
      </w:tr>
      <w:tr>
        <w:trPr>
          <w:cantSplit/>
        </w:trPr>
        <w:tc>
          <w:tcPr>
            <w:tcW w:w="1800" w:type="dxa"/>
            <w:shd w:val="clear" w:color="auto" w:fill="FFFFFF"/>
            <w:vAlign w:val="center"/>
          </w:tcPr>
          <w:p>
            <w:pPr>
              <w:spacing w:before="45" w:after="45"/>
            </w:pPr>
            <w:r>
              <w:t xml:space="preserve">Google/Meta/TikTok</w:t>
            </w:r>
          </w:p>
        </w:tc>
        <w:tc>
          <w:tcPr>
            <w:tcW w:w="1700" w:type="dxa"/>
            <w:shd w:val="clear" w:color="auto" w:fill="FFFFFF"/>
            <w:vAlign w:val="center"/>
          </w:tcPr>
          <w:p>
            <w:pPr>
              <w:spacing w:before="45" w:after="45"/>
            </w:pPr>
            <w:r>
              <w:t xml:space="preserve">opcionális marketing/analitika</w:t>
            </w:r>
          </w:p>
        </w:tc>
        <w:tc>
          <w:tcPr>
            <w:tcW w:w="1500" w:type="dxa"/>
            <w:shd w:val="clear" w:color="auto" w:fill="FFFFFF"/>
            <w:vAlign w:val="center"/>
          </w:tcPr>
          <w:p>
            <w:pPr>
              <w:spacing w:before="45" w:after="45"/>
            </w:pPr>
            <w:r>
              <w:t xml:space="preserve">különleges kategóriájú adat átadása tilos</w:t>
            </w:r>
          </w:p>
        </w:tc>
        <w:tc>
          <w:tcPr>
            <w:tcW w:w="5180" w:type="dxa"/>
            <w:shd w:val="clear" w:color="auto" w:fill="FFFFFF"/>
            <w:vAlign w:val="center"/>
          </w:tcPr>
          <w:p>
            <w:pPr>
              <w:spacing w:before="45" w:after="45"/>
            </w:pPr>
            <w:r>
              <w:t xml:space="preserve">consent, eseményminimalizálás, policy review</w:t>
            </w:r>
          </w:p>
        </w:tc>
      </w:tr>
    </w:tbl>
    <w:p>
      <w:pPr>
        <w:spacing w:after="100"/>
      </w:pPr>
    </w:p>
    <w:p>
      <w:pPr>
        <w:pStyle w:val="BodyText"/>
        <w:spacing w:before="0" w:after="110"/>
      </w:pPr>
      <w:r>
        <w:t xml:space="preserve">Az adattovábbítások és harmadik országbeli transzferek jogalapját, SCC-ket, TIA-t és regionális beállításokat az élesítés előtt dokumentálni kell. A szolgáltatónkénti nyilvános forrásvizsgálatot, tényleges payloadot, eltéréseket és bekérendő fiókszintű bizonyítékokat a 18-20. melléklet és a </w:t>
      </w:r>
      <w:r>
        <w:rPr>
          <w:rFonts w:ascii="Consolas" w:hAnsi="Consolas"/>
          <w:shd w:val="clear" w:color="auto" w:fill="E9EEF3"/>
          <w:sz w:val="18"/>
          <w:szCs w:val="18"/>
        </w:rPr>
        <w:t xml:space="preserve">VENDOR_AND_TRANSFER_REGISTER.md</w:t>
      </w:r>
      <w:r>
        <w:t xml:space="preserve"> tartalmazza. A nyilvános szolgáltatói dokumentum nem helyettesíti az elfogadott DPA-t, a konkrét fiókbeállítás bizonyítékát vagy a TIA-t.</w:t>
      </w:r>
    </w:p>
    <w:p>
      <w:pPr>
        <w:pStyle w:val="Heading1"/>
        <w:spacing w:before="260" w:after="150"/>
        <w:keepNext/>
      </w:pPr>
      <w:r>
        <w:t xml:space="preserve">9. Automatizált feldolgozás és AI</w:t>
      </w:r>
    </w:p>
    <w:p>
      <w:pPr>
        <w:pStyle w:val="BodyText"/>
        <w:spacing w:before="0" w:after="110"/>
      </w:pPr>
      <w:r>
        <w:t xml:space="preserve">A rendszer automatizált pontozást és AI-támogatott magyarázatot használ. A cél nem joghatás vagy hasonlóan jelentős hatás kiváltása, hanem tájékoztató jellegű, szülőbarát összegzés. Mégis fennáll a kockázat, hogy a felhasználó a riportot diagnózisként értelmezi vagy döntések alapjául használja.</w:t>
      </w:r>
    </w:p>
    <w:p>
      <w:pPr>
        <w:pStyle w:val="BodyText"/>
        <w:spacing w:before="0" w:after="110"/>
      </w:pPr>
      <w:r>
        <w:t xml:space="preserve">Kötelező kontrollok:</w:t>
      </w:r>
    </w:p>
    <w:p>
      <w:pPr>
        <w:pStyle w:val="ListParagraph"/>
        <w:spacing w:before="0" w:after="55"/>
        <w:keepLines/>
        <w:ind w:left="480" w:hanging="240"/>
        <w:numPr>
          <w:ilvl w:val="0"/>
          <w:numId w:val="1"/>
        </w:numPr>
      </w:pPr>
      <w:r>
        <w:t xml:space="preserve">minden nyelven ismételt nem diagnosztikus figyelmeztetés;</w:t>
      </w:r>
    </w:p>
    <w:p>
      <w:pPr>
        <w:pStyle w:val="ListParagraph"/>
        <w:spacing w:before="0" w:after="55"/>
        <w:keepLines/>
        <w:ind w:left="480" w:hanging="240"/>
        <w:numPr>
          <w:ilvl w:val="0"/>
          <w:numId w:val="1"/>
        </w:numPr>
      </w:pPr>
      <w:r>
        <w:t xml:space="preserve">nincs kezelésre, jogosultságra, iskolai döntésre vagy szakvéleményre utaló állítás;</w:t>
      </w:r>
    </w:p>
    <w:p>
      <w:pPr>
        <w:pStyle w:val="ListParagraph"/>
        <w:spacing w:before="0" w:after="55"/>
        <w:keepLines/>
        <w:ind w:left="480" w:hanging="240"/>
        <w:numPr>
          <w:ilvl w:val="0"/>
          <w:numId w:val="1"/>
        </w:numPr>
      </w:pPr>
      <w:r>
        <w:t xml:space="preserve">prompt és output guardrail;</w:t>
      </w:r>
    </w:p>
    <w:p>
      <w:pPr>
        <w:pStyle w:val="ListParagraph"/>
        <w:spacing w:before="0" w:after="55"/>
        <w:keepLines/>
        <w:ind w:left="480" w:hanging="240"/>
        <w:numPr>
          <w:ilvl w:val="0"/>
          <w:numId w:val="1"/>
        </w:numPr>
      </w:pPr>
      <w:r>
        <w:t xml:space="preserve">modellverzió és promptverzió naplózása;</w:t>
      </w:r>
    </w:p>
    <w:p>
      <w:pPr>
        <w:pStyle w:val="ListParagraph"/>
        <w:spacing w:before="0" w:after="55"/>
        <w:keepLines/>
        <w:ind w:left="480" w:hanging="240"/>
        <w:numPr>
          <w:ilvl w:val="0"/>
          <w:numId w:val="1"/>
        </w:numPr>
      </w:pPr>
      <w:r>
        <w:t xml:space="preserve">minőségellenőrzési mintavétel;</w:t>
      </w:r>
    </w:p>
    <w:p>
      <w:pPr>
        <w:pStyle w:val="ListParagraph"/>
        <w:spacing w:before="0" w:after="55"/>
        <w:keepLines/>
        <w:ind w:left="480" w:hanging="240"/>
        <w:numPr>
          <w:ilvl w:val="0"/>
          <w:numId w:val="1"/>
        </w:numPr>
      </w:pPr>
      <w:r>
        <w:t xml:space="preserve">különleges kategóriájú adatok kizárása hirdetési és analitikai rendszerekből;</w:t>
      </w:r>
    </w:p>
    <w:p>
      <w:pPr>
        <w:pStyle w:val="ListParagraph"/>
        <w:spacing w:before="0" w:after="55"/>
        <w:keepLines/>
        <w:ind w:left="480" w:hanging="240"/>
        <w:numPr>
          <w:ilvl w:val="0"/>
          <w:numId w:val="1"/>
        </w:numPr>
      </w:pPr>
      <w:r>
        <w:t xml:space="preserve">emberi/ügyfélszolgálati útvonal panasz vagy hibás riport esetén.</w:t>
      </w:r>
    </w:p>
    <w:p>
      <w:pPr>
        <w:pStyle w:val="Heading1"/>
        <w:spacing w:before="260" w:after="150"/>
        <w:keepNext/>
        <w:pageBreakBefore/>
      </w:pPr>
      <w:r>
        <w:t xml:space="preserve">10. Kockázatértékelési módszer</w:t>
      </w:r>
    </w:p>
    <w:p>
      <w:pPr>
        <w:pStyle w:val="BodyText"/>
        <w:spacing w:before="0" w:after="110"/>
      </w:pPr>
      <w:r>
        <w:t xml:space="preserve">A kockázatértékelés valószínűség x hatás skálát használ:</w:t>
      </w:r>
    </w:p>
    <w:tbl>
      <w:tblPr>
        <w:tblW w:w="10180" w:type="dxa"/>
        <w:tblLayout w:type="fixed"/>
        <w:tblBorders>
          <w:top w:val="single" w:sz="4" w:color="C9DCE8"/>
          <w:left w:val="single" w:sz="4" w:color="C9DCE8"/>
          <w:bottom w:val="single" w:sz="4" w:color="C9DCE8"/>
          <w:right w:val="single" w:sz="4" w:color="C9DCE8"/>
          <w:insideH w:val="single" w:sz="4" w:color="C9DCE8"/>
          <w:insideV w:val="single" w:sz="4" w:color="C9DCE8"/>
        </w:tblBorders>
        <w:tblCellMar>
          <w:top w:w="90" w:type="dxa"/>
          <w:left w:w="110" w:type="dxa"/>
          <w:bottom w:w="90" w:type="dxa"/>
          <w:right w:w="110" w:type="dxa"/>
        </w:tblCellMar>
      </w:tblPr>
      <w:tblGrid>
        <w:gridCol w:w="3000"/>
        <w:gridCol w:w="7180"/>
      </w:tblGrid>
      <w:tr>
        <w:trPr>
          <w:cantSplit/>
          <w:tblHeader/>
        </w:trPr>
        <w:tc>
          <w:tcPr>
            <w:tcW w:w="3000" w:type="dxa"/>
            <w:shd w:val="clear" w:color="auto" w:fill="075985"/>
            <w:vAlign w:val="center"/>
          </w:tcPr>
          <w:p>
            <w:pPr>
              <w:spacing w:before="45" w:after="45"/>
            </w:pPr>
            <w:r>
              <w:rPr>
                <w:b/>
                <w:color w:val="FFFFFF"/>
                <w:sz w:val="17"/>
                <w:szCs w:val="17"/>
              </w:rPr>
              <w:t xml:space="preserve">Pontszám</w:t>
            </w:r>
          </w:p>
        </w:tc>
        <w:tc>
          <w:tcPr>
            <w:tcW w:w="7180" w:type="dxa"/>
            <w:shd w:val="clear" w:color="auto" w:fill="075985"/>
            <w:vAlign w:val="center"/>
          </w:tcPr>
          <w:p>
            <w:pPr>
              <w:spacing w:before="45" w:after="45"/>
            </w:pPr>
            <w:r>
              <w:rPr>
                <w:b/>
                <w:color w:val="FFFFFF"/>
                <w:sz w:val="17"/>
                <w:szCs w:val="17"/>
              </w:rPr>
              <w:t xml:space="preserve">Jelentés</w:t>
            </w:r>
          </w:p>
        </w:tc>
      </w:tr>
      <w:tr>
        <w:trPr>
          <w:cantSplit/>
        </w:trPr>
        <w:tc>
          <w:tcPr>
            <w:tcW w:w="3000" w:type="dxa"/>
            <w:shd w:val="clear" w:color="auto" w:fill="FFFFFF"/>
            <w:vAlign w:val="center"/>
          </w:tcPr>
          <w:p>
            <w:pPr>
              <w:spacing w:before="45" w:after="45"/>
            </w:pPr>
            <w:r>
              <w:t xml:space="preserve">1</w:t>
            </w:r>
          </w:p>
        </w:tc>
        <w:tc>
          <w:tcPr>
            <w:tcW w:w="7180" w:type="dxa"/>
            <w:shd w:val="clear" w:color="auto" w:fill="FFFFFF"/>
            <w:vAlign w:val="center"/>
          </w:tcPr>
          <w:p>
            <w:pPr>
              <w:spacing w:before="45" w:after="45"/>
            </w:pPr>
            <w:r>
              <w:t xml:space="preserve">ritka / csekély</w:t>
            </w:r>
          </w:p>
        </w:tc>
      </w:tr>
      <w:tr>
        <w:trPr>
          <w:cantSplit/>
        </w:trPr>
        <w:tc>
          <w:tcPr>
            <w:tcW w:w="3000" w:type="dxa"/>
            <w:shd w:val="clear" w:color="auto" w:fill="F7FAFC"/>
            <w:vAlign w:val="center"/>
          </w:tcPr>
          <w:p>
            <w:pPr>
              <w:spacing w:before="45" w:after="45"/>
            </w:pPr>
            <w:r>
              <w:t xml:space="preserve">2</w:t>
            </w:r>
          </w:p>
        </w:tc>
        <w:tc>
          <w:tcPr>
            <w:tcW w:w="7180" w:type="dxa"/>
            <w:shd w:val="clear" w:color="auto" w:fill="F7FAFC"/>
            <w:vAlign w:val="center"/>
          </w:tcPr>
          <w:p>
            <w:pPr>
              <w:spacing w:before="45" w:after="45"/>
            </w:pPr>
            <w:r>
              <w:t xml:space="preserve">alacsony</w:t>
            </w:r>
          </w:p>
        </w:tc>
      </w:tr>
      <w:tr>
        <w:trPr>
          <w:cantSplit/>
        </w:trPr>
        <w:tc>
          <w:tcPr>
            <w:tcW w:w="3000" w:type="dxa"/>
            <w:shd w:val="clear" w:color="auto" w:fill="FFFFFF"/>
            <w:vAlign w:val="center"/>
          </w:tcPr>
          <w:p>
            <w:pPr>
              <w:spacing w:before="45" w:after="45"/>
            </w:pPr>
            <w:r>
              <w:t xml:space="preserve">3</w:t>
            </w:r>
          </w:p>
        </w:tc>
        <w:tc>
          <w:tcPr>
            <w:tcW w:w="7180" w:type="dxa"/>
            <w:shd w:val="clear" w:color="auto" w:fill="FFFFFF"/>
            <w:vAlign w:val="center"/>
          </w:tcPr>
          <w:p>
            <w:pPr>
              <w:spacing w:before="45" w:after="45"/>
            </w:pPr>
            <w:r>
              <w:t xml:space="preserve">közepes</w:t>
            </w:r>
          </w:p>
        </w:tc>
      </w:tr>
      <w:tr>
        <w:trPr>
          <w:cantSplit/>
        </w:trPr>
        <w:tc>
          <w:tcPr>
            <w:tcW w:w="3000" w:type="dxa"/>
            <w:shd w:val="clear" w:color="auto" w:fill="F7FAFC"/>
            <w:vAlign w:val="center"/>
          </w:tcPr>
          <w:p>
            <w:pPr>
              <w:spacing w:before="45" w:after="45"/>
            </w:pPr>
            <w:r>
              <w:t xml:space="preserve">4</w:t>
            </w:r>
          </w:p>
        </w:tc>
        <w:tc>
          <w:tcPr>
            <w:tcW w:w="7180" w:type="dxa"/>
            <w:shd w:val="clear" w:color="auto" w:fill="F7FAFC"/>
            <w:vAlign w:val="center"/>
          </w:tcPr>
          <w:p>
            <w:pPr>
              <w:spacing w:before="45" w:after="45"/>
            </w:pPr>
            <w:r>
              <w:t xml:space="preserve">magas</w:t>
            </w:r>
          </w:p>
        </w:tc>
      </w:tr>
      <w:tr>
        <w:trPr>
          <w:cantSplit/>
        </w:trPr>
        <w:tc>
          <w:tcPr>
            <w:tcW w:w="3000" w:type="dxa"/>
            <w:shd w:val="clear" w:color="auto" w:fill="FFFFFF"/>
            <w:vAlign w:val="center"/>
          </w:tcPr>
          <w:p>
            <w:pPr>
              <w:spacing w:before="45" w:after="45"/>
            </w:pPr>
            <w:r>
              <w:t xml:space="preserve">5</w:t>
            </w:r>
          </w:p>
        </w:tc>
        <w:tc>
          <w:tcPr>
            <w:tcW w:w="7180" w:type="dxa"/>
            <w:shd w:val="clear" w:color="auto" w:fill="FFFFFF"/>
            <w:vAlign w:val="center"/>
          </w:tcPr>
          <w:p>
            <w:pPr>
              <w:spacing w:before="45" w:after="45"/>
            </w:pPr>
            <w:r>
              <w:t xml:space="preserve">nagyon magas / súlyos</w:t>
            </w:r>
          </w:p>
        </w:tc>
      </w:tr>
    </w:tbl>
    <w:p>
      <w:pPr>
        <w:spacing w:after="100"/>
      </w:pPr>
    </w:p>
    <w:tbl>
      <w:tblPr>
        <w:tblW w:w="10180" w:type="dxa"/>
        <w:tblLayout w:type="fixed"/>
        <w:tblBorders>
          <w:top w:val="single" w:sz="4" w:color="C9DCE8"/>
          <w:left w:val="single" w:sz="4" w:color="C9DCE8"/>
          <w:bottom w:val="single" w:sz="4" w:color="C9DCE8"/>
          <w:right w:val="single" w:sz="4" w:color="C9DCE8"/>
          <w:insideH w:val="single" w:sz="4" w:color="C9DCE8"/>
          <w:insideV w:val="single" w:sz="4" w:color="C9DCE8"/>
        </w:tblBorders>
        <w:tblCellMar>
          <w:top w:w="90" w:type="dxa"/>
          <w:left w:w="110" w:type="dxa"/>
          <w:bottom w:w="90" w:type="dxa"/>
          <w:right w:w="110" w:type="dxa"/>
        </w:tblCellMar>
      </w:tblPr>
      <w:tblGrid>
        <w:gridCol w:w="1250"/>
        <w:gridCol w:w="1850"/>
        <w:gridCol w:w="2100"/>
        <w:gridCol w:w="1350"/>
        <w:gridCol w:w="3630"/>
      </w:tblGrid>
      <w:tr>
        <w:trPr>
          <w:cantSplit/>
          <w:tblHeader/>
        </w:trPr>
        <w:tc>
          <w:tcPr>
            <w:tcW w:w="1250" w:type="dxa"/>
            <w:shd w:val="clear" w:color="auto" w:fill="075985"/>
            <w:vAlign w:val="center"/>
          </w:tcPr>
          <w:p>
            <w:pPr>
              <w:spacing w:before="45" w:after="45"/>
            </w:pPr>
            <w:r>
              <w:rPr>
                <w:b/>
                <w:color w:val="FFFFFF"/>
                <w:sz w:val="17"/>
                <w:szCs w:val="17"/>
              </w:rPr>
              <w:t xml:space="preserve">Kockázati helyzet</w:t>
            </w:r>
          </w:p>
        </w:tc>
        <w:tc>
          <w:tcPr>
            <w:tcW w:w="1850" w:type="dxa"/>
            <w:shd w:val="clear" w:color="auto" w:fill="075985"/>
            <w:vAlign w:val="center"/>
          </w:tcPr>
          <w:p>
            <w:pPr>
              <w:spacing w:before="45" w:after="45"/>
            </w:pPr>
            <w:r>
              <w:rPr>
                <w:b/>
                <w:color w:val="FFFFFF"/>
                <w:sz w:val="17"/>
                <w:szCs w:val="17"/>
              </w:rPr>
              <w:t xml:space="preserve">Eredendő LxI</w:t>
            </w:r>
          </w:p>
        </w:tc>
        <w:tc>
          <w:tcPr>
            <w:tcW w:w="2100" w:type="dxa"/>
            <w:shd w:val="clear" w:color="auto" w:fill="075985"/>
            <w:vAlign w:val="center"/>
          </w:tcPr>
          <w:p>
            <w:pPr>
              <w:spacing w:before="45" w:after="45"/>
            </w:pPr>
            <w:r>
              <w:rPr>
                <w:b/>
                <w:color w:val="FFFFFF"/>
                <w:sz w:val="17"/>
                <w:szCs w:val="17"/>
              </w:rPr>
              <w:t xml:space="preserve">Kontrollok / bizonyíték</w:t>
            </w:r>
          </w:p>
        </w:tc>
        <w:tc>
          <w:tcPr>
            <w:tcW w:w="1350" w:type="dxa"/>
            <w:shd w:val="clear" w:color="auto" w:fill="075985"/>
            <w:vAlign w:val="center"/>
          </w:tcPr>
          <w:p>
            <w:pPr>
              <w:spacing w:before="45" w:after="45"/>
            </w:pPr>
            <w:r>
              <w:rPr>
                <w:b/>
                <w:color w:val="FFFFFF"/>
                <w:sz w:val="17"/>
                <w:szCs w:val="17"/>
              </w:rPr>
              <w:t xml:space="preserve">Maradék LxI</w:t>
            </w:r>
          </w:p>
        </w:tc>
        <w:tc>
          <w:tcPr>
            <w:tcW w:w="3630" w:type="dxa"/>
            <w:shd w:val="clear" w:color="auto" w:fill="075985"/>
            <w:vAlign w:val="center"/>
          </w:tcPr>
          <w:p>
            <w:pPr>
              <w:spacing w:before="45" w:after="45"/>
            </w:pPr>
            <w:r>
              <w:rPr>
                <w:b/>
                <w:color w:val="FFFFFF"/>
                <w:sz w:val="17"/>
                <w:szCs w:val="17"/>
              </w:rPr>
              <w:t xml:space="preserve">Felelős / teendő</w:t>
            </w:r>
          </w:p>
        </w:tc>
      </w:tr>
      <w:tr>
        <w:trPr>
          <w:cantSplit/>
        </w:trPr>
        <w:tc>
          <w:tcPr>
            <w:tcW w:w="1250" w:type="dxa"/>
            <w:shd w:val="clear" w:color="auto" w:fill="FFFFFF"/>
            <w:vAlign w:val="center"/>
          </w:tcPr>
          <w:p>
            <w:pPr>
              <w:spacing w:before="45" w:after="45"/>
            </w:pPr>
            <w:r>
              <w:t xml:space="preserve">Jogosulatlan hozzáférés gyermekhez kapcsolódó válaszokat/riportokat fed fel</w:t>
            </w:r>
          </w:p>
        </w:tc>
        <w:tc>
          <w:tcPr>
            <w:tcW w:w="1850" w:type="dxa"/>
            <w:shd w:val="clear" w:color="auto" w:fill="FFFFFF"/>
            <w:vAlign w:val="center"/>
          </w:tcPr>
          <w:p>
            <w:pPr>
              <w:spacing w:before="45" w:after="45"/>
            </w:pPr>
            <w:r>
              <w:t xml:space="preserve">4x5=20</w:t>
            </w:r>
          </w:p>
        </w:tc>
        <w:tc>
          <w:tcPr>
            <w:tcW w:w="2100" w:type="dxa"/>
            <w:shd w:val="clear" w:color="auto" w:fill="FFFFFF"/>
            <w:vAlign w:val="center"/>
          </w:tcPr>
          <w:p>
            <w:pPr>
              <w:spacing w:before="45" w:after="45"/>
            </w:pPr>
            <w:r>
              <w:t xml:space="preserve">tokenizált sessionök, admin auth, least-data API-k, korlátozott logok, biztonsági audit</w:t>
            </w:r>
          </w:p>
        </w:tc>
        <w:tc>
          <w:tcPr>
            <w:tcW w:w="1350" w:type="dxa"/>
            <w:shd w:val="clear" w:color="auto" w:fill="FFFFFF"/>
            <w:vAlign w:val="center"/>
          </w:tcPr>
          <w:p>
            <w:pPr>
              <w:spacing w:before="45" w:after="45"/>
            </w:pPr>
            <w:r>
              <w:t xml:space="preserve">2x5=10</w:t>
            </w:r>
          </w:p>
        </w:tc>
        <w:tc>
          <w:tcPr>
            <w:tcW w:w="3630" w:type="dxa"/>
            <w:shd w:val="clear" w:color="auto" w:fill="FFFFFF"/>
            <w:vAlign w:val="center"/>
          </w:tcPr>
          <w:p>
            <w:pPr>
              <w:spacing w:before="45" w:after="45"/>
            </w:pPr>
            <w:r>
              <w:t xml:space="preserve">Biztonsági felelős; külső penetrációs teszt és access review nyitott</w:t>
            </w:r>
          </w:p>
        </w:tc>
      </w:tr>
      <w:tr>
        <w:trPr>
          <w:cantSplit/>
        </w:trPr>
        <w:tc>
          <w:tcPr>
            <w:tcW w:w="1250" w:type="dxa"/>
            <w:shd w:val="clear" w:color="auto" w:fill="F7FAFC"/>
            <w:vAlign w:val="center"/>
          </w:tcPr>
          <w:p>
            <w:pPr>
              <w:spacing w:before="45" w:after="45"/>
            </w:pPr>
            <w:r>
              <w:t xml:space="preserve">Riport elgépelt vagy kompromittált email címre megy</w:t>
            </w:r>
          </w:p>
        </w:tc>
        <w:tc>
          <w:tcPr>
            <w:tcW w:w="1850" w:type="dxa"/>
            <w:shd w:val="clear" w:color="auto" w:fill="F7FAFC"/>
            <w:vAlign w:val="center"/>
          </w:tcPr>
          <w:p>
            <w:pPr>
              <w:spacing w:before="45" w:after="45"/>
            </w:pPr>
            <w:r>
              <w:t xml:space="preserve">3x5=15</w:t>
            </w:r>
          </w:p>
        </w:tc>
        <w:tc>
          <w:tcPr>
            <w:tcW w:w="2100" w:type="dxa"/>
            <w:shd w:val="clear" w:color="auto" w:fill="F7FAFC"/>
            <w:vAlign w:val="center"/>
          </w:tcPr>
          <w:p>
            <w:pPr>
              <w:spacing w:before="45" w:after="45"/>
            </w:pPr>
            <w:r>
              <w:t xml:space="preserve">email validáció, szerződés-visszaigazolás, kézbesítés-monitoring</w:t>
            </w:r>
          </w:p>
        </w:tc>
        <w:tc>
          <w:tcPr>
            <w:tcW w:w="1350" w:type="dxa"/>
            <w:shd w:val="clear" w:color="auto" w:fill="F7FAFC"/>
            <w:vAlign w:val="center"/>
          </w:tcPr>
          <w:p>
            <w:pPr>
              <w:spacing w:before="45" w:after="45"/>
            </w:pPr>
            <w:r>
              <w:t xml:space="preserve">2x5=10</w:t>
            </w:r>
          </w:p>
        </w:tc>
        <w:tc>
          <w:tcPr>
            <w:tcW w:w="3630" w:type="dxa"/>
            <w:shd w:val="clear" w:color="auto" w:fill="F7FAFC"/>
            <w:vAlign w:val="center"/>
          </w:tcPr>
          <w:p>
            <w:pPr>
              <w:spacing w:before="45" w:after="45"/>
            </w:pPr>
            <w:r>
              <w:t xml:space="preserve">Termék/adatvédelem; skálázás előtt email-ellenőrzés vagy javítási workflow</w:t>
            </w:r>
          </w:p>
        </w:tc>
      </w:tr>
      <w:tr>
        <w:trPr>
          <w:cantSplit/>
        </w:trPr>
        <w:tc>
          <w:tcPr>
            <w:tcW w:w="1250" w:type="dxa"/>
            <w:shd w:val="clear" w:color="auto" w:fill="FFFFFF"/>
            <w:vAlign w:val="center"/>
          </w:tcPr>
          <w:p>
            <w:pPr>
              <w:spacing w:before="45" w:after="45"/>
            </w:pPr>
            <w:r>
              <w:t xml:space="preserve">Felhasználó diagnózisként értelmezi a riportot</w:t>
            </w:r>
          </w:p>
        </w:tc>
        <w:tc>
          <w:tcPr>
            <w:tcW w:w="1850" w:type="dxa"/>
            <w:shd w:val="clear" w:color="auto" w:fill="FFFFFF"/>
            <w:vAlign w:val="center"/>
          </w:tcPr>
          <w:p>
            <w:pPr>
              <w:spacing w:before="45" w:after="45"/>
            </w:pPr>
            <w:r>
              <w:t xml:space="preserve">4x5=20</w:t>
            </w:r>
          </w:p>
        </w:tc>
        <w:tc>
          <w:tcPr>
            <w:tcW w:w="2100" w:type="dxa"/>
            <w:shd w:val="clear" w:color="auto" w:fill="FFFFFF"/>
            <w:vAlign w:val="center"/>
          </w:tcPr>
          <w:p>
            <w:pPr>
              <w:spacing w:before="45" w:after="45"/>
            </w:pPr>
            <w:r>
              <w:t xml:space="preserve">ismételt nem diagnosztikus szöveg, korlátok, szakemberhez irányítás</w:t>
            </w:r>
          </w:p>
        </w:tc>
        <w:tc>
          <w:tcPr>
            <w:tcW w:w="1350" w:type="dxa"/>
            <w:shd w:val="clear" w:color="auto" w:fill="FFFFFF"/>
            <w:vAlign w:val="center"/>
          </w:tcPr>
          <w:p>
            <w:pPr>
              <w:spacing w:before="45" w:after="45"/>
            </w:pPr>
            <w:r>
              <w:t xml:space="preserve">2x5=10</w:t>
            </w:r>
          </w:p>
        </w:tc>
        <w:tc>
          <w:tcPr>
            <w:tcW w:w="3630" w:type="dxa"/>
            <w:shd w:val="clear" w:color="auto" w:fill="FFFFFF"/>
            <w:vAlign w:val="center"/>
          </w:tcPr>
          <w:p>
            <w:pPr>
              <w:spacing w:before="45" w:after="45"/>
            </w:pPr>
            <w:r>
              <w:t xml:space="preserve">Klinikai/jogi külső review nyitott</w:t>
            </w:r>
          </w:p>
        </w:tc>
      </w:tr>
      <w:tr>
        <w:trPr>
          <w:cantSplit/>
        </w:trPr>
        <w:tc>
          <w:tcPr>
            <w:tcW w:w="1250" w:type="dxa"/>
            <w:shd w:val="clear" w:color="auto" w:fill="F7FAFC"/>
            <w:vAlign w:val="center"/>
          </w:tcPr>
          <w:p>
            <w:pPr>
              <w:spacing w:before="45" w:after="45"/>
            </w:pPr>
            <w:r>
              <w:t xml:space="preserve">AI nem biztonságos, túl magabiztos vagy téves tanácsot ad</w:t>
            </w:r>
          </w:p>
        </w:tc>
        <w:tc>
          <w:tcPr>
            <w:tcW w:w="1850" w:type="dxa"/>
            <w:shd w:val="clear" w:color="auto" w:fill="F7FAFC"/>
            <w:vAlign w:val="center"/>
          </w:tcPr>
          <w:p>
            <w:pPr>
              <w:spacing w:before="45" w:after="45"/>
            </w:pPr>
            <w:r>
              <w:t xml:space="preserve">4x5=20</w:t>
            </w:r>
          </w:p>
        </w:tc>
        <w:tc>
          <w:tcPr>
            <w:tcW w:w="2100" w:type="dxa"/>
            <w:shd w:val="clear" w:color="auto" w:fill="F7FAFC"/>
            <w:vAlign w:val="center"/>
          </w:tcPr>
          <w:p>
            <w:pPr>
              <w:spacing w:before="45" w:after="45"/>
            </w:pPr>
            <w:r>
              <w:t xml:space="preserve">strukturált promptok, output ellenőrzések, verziózás, szülőbarát nyelvezet</w:t>
            </w:r>
          </w:p>
        </w:tc>
        <w:tc>
          <w:tcPr>
            <w:tcW w:w="1350" w:type="dxa"/>
            <w:shd w:val="clear" w:color="auto" w:fill="F7FAFC"/>
            <w:vAlign w:val="center"/>
          </w:tcPr>
          <w:p>
            <w:pPr>
              <w:spacing w:before="45" w:after="45"/>
            </w:pPr>
            <w:r>
              <w:t xml:space="preserve">2x5=10</w:t>
            </w:r>
          </w:p>
        </w:tc>
        <w:tc>
          <w:tcPr>
            <w:tcW w:w="3630" w:type="dxa"/>
            <w:shd w:val="clear" w:color="auto" w:fill="F7FAFC"/>
            <w:vAlign w:val="center"/>
          </w:tcPr>
          <w:p>
            <w:pPr>
              <w:spacing w:before="45" w:after="45"/>
            </w:pPr>
            <w:r>
              <w:t xml:space="preserve">Klinikai QA és mintavételes emberi review nyitott</w:t>
            </w:r>
          </w:p>
        </w:tc>
      </w:tr>
      <w:tr>
        <w:trPr>
          <w:cantSplit/>
        </w:trPr>
        <w:tc>
          <w:tcPr>
            <w:tcW w:w="1250" w:type="dxa"/>
            <w:shd w:val="clear" w:color="auto" w:fill="FFFFFF"/>
            <w:vAlign w:val="center"/>
          </w:tcPr>
          <w:p>
            <w:pPr>
              <w:spacing w:before="45" w:after="45"/>
            </w:pPr>
            <w:r>
              <w:t xml:space="preserve">Érzékeny adat jut hirdetési/analitikai platformra</w:t>
            </w:r>
          </w:p>
        </w:tc>
        <w:tc>
          <w:tcPr>
            <w:tcW w:w="1850" w:type="dxa"/>
            <w:shd w:val="clear" w:color="auto" w:fill="FFFFFF"/>
            <w:vAlign w:val="center"/>
          </w:tcPr>
          <w:p>
            <w:pPr>
              <w:spacing w:before="45" w:after="45"/>
            </w:pPr>
            <w:r>
              <w:t xml:space="preserve">4x5=20</w:t>
            </w:r>
          </w:p>
        </w:tc>
        <w:tc>
          <w:tcPr>
            <w:tcW w:w="2100" w:type="dxa"/>
            <w:shd w:val="clear" w:color="auto" w:fill="FFFFFF"/>
            <w:vAlign w:val="center"/>
          </w:tcPr>
          <w:p>
            <w:pPr>
              <w:spacing w:before="45" w:after="45"/>
            </w:pPr>
            <w:r>
              <w:t xml:space="preserve">alapértelmezett consent denied, payload minimalizálás, advertising tiltása</w:t>
            </w:r>
          </w:p>
        </w:tc>
        <w:tc>
          <w:tcPr>
            <w:tcW w:w="1350" w:type="dxa"/>
            <w:shd w:val="clear" w:color="auto" w:fill="FFFFFF"/>
            <w:vAlign w:val="center"/>
          </w:tcPr>
          <w:p>
            <w:pPr>
              <w:spacing w:before="45" w:after="45"/>
            </w:pPr>
            <w:r>
              <w:t xml:space="preserve">1x5=5</w:t>
            </w:r>
          </w:p>
        </w:tc>
        <w:tc>
          <w:tcPr>
            <w:tcW w:w="3630" w:type="dxa"/>
            <w:shd w:val="clear" w:color="auto" w:fill="FFFFFF"/>
            <w:vAlign w:val="center"/>
          </w:tcPr>
          <w:p>
            <w:pPr>
              <w:spacing w:before="45" w:after="45"/>
            </w:pPr>
            <w:r>
              <w:t xml:space="preserve">Adatvédelem/biztonság; éles network inspection szükséges</w:t>
            </w:r>
          </w:p>
        </w:tc>
      </w:tr>
      <w:tr>
        <w:trPr>
          <w:cantSplit/>
        </w:trPr>
        <w:tc>
          <w:tcPr>
            <w:tcW w:w="1250" w:type="dxa"/>
            <w:shd w:val="clear" w:color="auto" w:fill="F7FAFC"/>
            <w:vAlign w:val="center"/>
          </w:tcPr>
          <w:p>
            <w:pPr>
              <w:spacing w:before="45" w:after="45"/>
            </w:pPr>
            <w:r>
              <w:t xml:space="preserve">Hozzájárulás érvénytelen, összekapcsolt vagy nyelvileg hibás</w:t>
            </w:r>
          </w:p>
        </w:tc>
        <w:tc>
          <w:tcPr>
            <w:tcW w:w="1850" w:type="dxa"/>
            <w:shd w:val="clear" w:color="auto" w:fill="F7FAFC"/>
            <w:vAlign w:val="center"/>
          </w:tcPr>
          <w:p>
            <w:pPr>
              <w:spacing w:before="45" w:after="45"/>
            </w:pPr>
            <w:r>
              <w:t xml:space="preserve">4x5=20</w:t>
            </w:r>
          </w:p>
        </w:tc>
        <w:tc>
          <w:tcPr>
            <w:tcW w:w="2100" w:type="dxa"/>
            <w:shd w:val="clear" w:color="auto" w:fill="F7FAFC"/>
            <w:vAlign w:val="center"/>
          </w:tcPr>
          <w:p>
            <w:pPr>
              <w:spacing w:before="45" w:after="45"/>
            </w:pPr>
            <w:r>
              <w:t xml:space="preserve">kétlépcsős verziózott flow, kifejezett 9. cikk szerinti hozzájárulás, külön analitika</w:t>
            </w:r>
          </w:p>
        </w:tc>
        <w:tc>
          <w:tcPr>
            <w:tcW w:w="1350" w:type="dxa"/>
            <w:shd w:val="clear" w:color="auto" w:fill="F7FAFC"/>
            <w:vAlign w:val="center"/>
          </w:tcPr>
          <w:p>
            <w:pPr>
              <w:spacing w:before="45" w:after="45"/>
            </w:pPr>
            <w:r>
              <w:t xml:space="preserve">2x5=10</w:t>
            </w:r>
          </w:p>
        </w:tc>
        <w:tc>
          <w:tcPr>
            <w:tcW w:w="3630" w:type="dxa"/>
            <w:shd w:val="clear" w:color="auto" w:fill="F7FAFC"/>
            <w:vAlign w:val="center"/>
          </w:tcPr>
          <w:p>
            <w:pPr>
              <w:spacing w:before="45" w:after="45"/>
            </w:pPr>
            <w:r>
              <w:t xml:space="preserve">Adatvédelmi jogász és anyanyelvi jogi review nyitott</w:t>
            </w:r>
          </w:p>
        </w:tc>
      </w:tr>
      <w:tr>
        <w:trPr>
          <w:cantSplit/>
        </w:trPr>
        <w:tc>
          <w:tcPr>
            <w:tcW w:w="1250" w:type="dxa"/>
            <w:shd w:val="clear" w:color="auto" w:fill="FFFFFF"/>
            <w:vAlign w:val="center"/>
          </w:tcPr>
          <w:p>
            <w:pPr>
              <w:spacing w:before="45" w:after="45"/>
            </w:pPr>
            <w:r>
              <w:t xml:space="preserve">Gyermek szükségtelen név/becenév alapján azonosítható</w:t>
            </w:r>
          </w:p>
        </w:tc>
        <w:tc>
          <w:tcPr>
            <w:tcW w:w="1850" w:type="dxa"/>
            <w:shd w:val="clear" w:color="auto" w:fill="FFFFFF"/>
            <w:vAlign w:val="center"/>
          </w:tcPr>
          <w:p>
            <w:pPr>
              <w:spacing w:before="45" w:after="45"/>
            </w:pPr>
            <w:r>
              <w:t xml:space="preserve">3x4=12</w:t>
            </w:r>
          </w:p>
        </w:tc>
        <w:tc>
          <w:tcPr>
            <w:tcW w:w="2100" w:type="dxa"/>
            <w:shd w:val="clear" w:color="auto" w:fill="FFFFFF"/>
            <w:vAlign w:val="center"/>
          </w:tcPr>
          <w:p>
            <w:pPr>
              <w:spacing w:before="45" w:after="45"/>
            </w:pPr>
            <w:r>
              <w:t xml:space="preserve">felnőttnév mező, nincs gyermeknév mező, minimalizálási szöveg</w:t>
            </w:r>
          </w:p>
        </w:tc>
        <w:tc>
          <w:tcPr>
            <w:tcW w:w="1350" w:type="dxa"/>
            <w:shd w:val="clear" w:color="auto" w:fill="FFFFFF"/>
            <w:vAlign w:val="center"/>
          </w:tcPr>
          <w:p>
            <w:pPr>
              <w:spacing w:before="45" w:after="45"/>
            </w:pPr>
            <w:r>
              <w:t xml:space="preserve">1x4=4</w:t>
            </w:r>
          </w:p>
        </w:tc>
        <w:tc>
          <w:tcPr>
            <w:tcW w:w="3630" w:type="dxa"/>
            <w:shd w:val="clear" w:color="auto" w:fill="FFFFFF"/>
            <w:vAlign w:val="center"/>
          </w:tcPr>
          <w:p>
            <w:pPr>
              <w:spacing w:before="45" w:after="45"/>
            </w:pPr>
            <w:r>
              <w:t xml:space="preserve">Termék; free-text tartalom monitorozása</w:t>
            </w:r>
          </w:p>
        </w:tc>
      </w:tr>
      <w:tr>
        <w:trPr>
          <w:cantSplit/>
        </w:trPr>
        <w:tc>
          <w:tcPr>
            <w:tcW w:w="1250" w:type="dxa"/>
            <w:shd w:val="clear" w:color="auto" w:fill="F7FAFC"/>
            <w:vAlign w:val="center"/>
          </w:tcPr>
          <w:p>
            <w:pPr>
              <w:spacing w:before="45" w:after="45"/>
            </w:pPr>
            <w:r>
              <w:t xml:space="preserve">Érzékeny adat a szükségesnél tovább marad meg</w:t>
            </w:r>
          </w:p>
        </w:tc>
        <w:tc>
          <w:tcPr>
            <w:tcW w:w="1850" w:type="dxa"/>
            <w:shd w:val="clear" w:color="auto" w:fill="F7FAFC"/>
            <w:vAlign w:val="center"/>
          </w:tcPr>
          <w:p>
            <w:pPr>
              <w:spacing w:before="45" w:after="45"/>
            </w:pPr>
            <w:r>
              <w:t xml:space="preserve">4x5=20</w:t>
            </w:r>
          </w:p>
        </w:tc>
        <w:tc>
          <w:tcPr>
            <w:tcW w:w="2100" w:type="dxa"/>
            <w:shd w:val="clear" w:color="auto" w:fill="F7FAFC"/>
            <w:vAlign w:val="center"/>
          </w:tcPr>
          <w:p>
            <w:pPr>
              <w:spacing w:before="45" w:after="45"/>
            </w:pPr>
            <w:r>
              <w:t xml:space="preserve">retention timestamp, lifecycle cron, erasure service</w:t>
            </w:r>
          </w:p>
        </w:tc>
        <w:tc>
          <w:tcPr>
            <w:tcW w:w="1350" w:type="dxa"/>
            <w:shd w:val="clear" w:color="auto" w:fill="F7FAFC"/>
            <w:vAlign w:val="center"/>
          </w:tcPr>
          <w:p>
            <w:pPr>
              <w:spacing w:before="45" w:after="45"/>
            </w:pPr>
            <w:r>
              <w:t xml:space="preserve">2x5=10</w:t>
            </w:r>
          </w:p>
        </w:tc>
        <w:tc>
          <w:tcPr>
            <w:tcW w:w="3630" w:type="dxa"/>
            <w:shd w:val="clear" w:color="auto" w:fill="F7FAFC"/>
            <w:vAlign w:val="center"/>
          </w:tcPr>
          <w:p>
            <w:pPr>
              <w:spacing w:before="45" w:after="45"/>
            </w:pPr>
            <w:r>
              <w:t xml:space="preserve">Üzemeltetés; backup törlés és cron bizonyíték nyitott</w:t>
            </w:r>
          </w:p>
        </w:tc>
      </w:tr>
      <w:tr>
        <w:trPr>
          <w:cantSplit/>
        </w:trPr>
        <w:tc>
          <w:tcPr>
            <w:tcW w:w="1250" w:type="dxa"/>
            <w:shd w:val="clear" w:color="auto" w:fill="FFFFFF"/>
            <w:vAlign w:val="center"/>
          </w:tcPr>
          <w:p>
            <w:pPr>
              <w:spacing w:before="45" w:after="45"/>
            </w:pPr>
            <w:r>
              <w:t xml:space="preserve">Törlés jogszabály szerint megőrzendő számlát töröl vagy érzékeny adatot hagy meg</w:t>
            </w:r>
          </w:p>
        </w:tc>
        <w:tc>
          <w:tcPr>
            <w:tcW w:w="1850" w:type="dxa"/>
            <w:shd w:val="clear" w:color="auto" w:fill="FFFFFF"/>
            <w:vAlign w:val="center"/>
          </w:tcPr>
          <w:p>
            <w:pPr>
              <w:spacing w:before="45" w:after="45"/>
            </w:pPr>
            <w:r>
              <w:t xml:space="preserve">3x4=12</w:t>
            </w:r>
          </w:p>
        </w:tc>
        <w:tc>
          <w:tcPr>
            <w:tcW w:w="2100" w:type="dxa"/>
            <w:shd w:val="clear" w:color="auto" w:fill="FFFFFF"/>
            <w:vAlign w:val="center"/>
          </w:tcPr>
          <w:p>
            <w:pPr>
              <w:spacing w:before="45" w:after="45"/>
            </w:pPr>
            <w:r>
              <w:t xml:space="preserve">elkülönített pénzügyi megőrzés, érzékeny pszeudonimizálás</w:t>
            </w:r>
          </w:p>
        </w:tc>
        <w:tc>
          <w:tcPr>
            <w:tcW w:w="1350" w:type="dxa"/>
            <w:shd w:val="clear" w:color="auto" w:fill="FFFFFF"/>
            <w:vAlign w:val="center"/>
          </w:tcPr>
          <w:p>
            <w:pPr>
              <w:spacing w:before="45" w:after="45"/>
            </w:pPr>
            <w:r>
              <w:t xml:space="preserve">1x4=4</w:t>
            </w:r>
          </w:p>
        </w:tc>
        <w:tc>
          <w:tcPr>
            <w:tcW w:w="3630" w:type="dxa"/>
            <w:shd w:val="clear" w:color="auto" w:fill="FFFFFF"/>
            <w:vAlign w:val="center"/>
          </w:tcPr>
          <w:p>
            <w:pPr>
              <w:spacing w:before="45" w:after="45"/>
            </w:pPr>
            <w:r>
              <w:t xml:space="preserve">Adatvédelmi/számviteli jogász validálja a nemzeti időket</w:t>
            </w:r>
          </w:p>
        </w:tc>
      </w:tr>
      <w:tr>
        <w:trPr>
          <w:cantSplit/>
        </w:trPr>
        <w:tc>
          <w:tcPr>
            <w:tcW w:w="1250" w:type="dxa"/>
            <w:shd w:val="clear" w:color="auto" w:fill="F7FAFC"/>
            <w:vAlign w:val="center"/>
          </w:tcPr>
          <w:p>
            <w:pPr>
              <w:spacing w:before="45" w:after="45"/>
            </w:pPr>
            <w:r>
              <w:t xml:space="preserve">Joggyakorlási kérelem illetéktelen személynek kerül kiadásra</w:t>
            </w:r>
          </w:p>
        </w:tc>
        <w:tc>
          <w:tcPr>
            <w:tcW w:w="1850" w:type="dxa"/>
            <w:shd w:val="clear" w:color="auto" w:fill="F7FAFC"/>
            <w:vAlign w:val="center"/>
          </w:tcPr>
          <w:p>
            <w:pPr>
              <w:spacing w:before="45" w:after="45"/>
            </w:pPr>
            <w:r>
              <w:t xml:space="preserve">3x5=15</w:t>
            </w:r>
          </w:p>
        </w:tc>
        <w:tc>
          <w:tcPr>
            <w:tcW w:w="2100" w:type="dxa"/>
            <w:shd w:val="clear" w:color="auto" w:fill="F7FAFC"/>
            <w:vAlign w:val="center"/>
          </w:tcPr>
          <w:p>
            <w:pPr>
              <w:spacing w:before="45" w:after="45"/>
            </w:pPr>
            <w:r>
              <w:t xml:space="preserve">nagy entrópiájú session token, emailben küldött egyszer használatos kód, SHA-256 kódhash, 15 perces lejárat, öt próbálkozásos zárolás, request rate limit, nincs email-only instant export</w:t>
            </w:r>
          </w:p>
        </w:tc>
        <w:tc>
          <w:tcPr>
            <w:tcW w:w="1350" w:type="dxa"/>
            <w:shd w:val="clear" w:color="auto" w:fill="F7FAFC"/>
            <w:vAlign w:val="center"/>
          </w:tcPr>
          <w:p>
            <w:pPr>
              <w:spacing w:before="45" w:after="45"/>
            </w:pPr>
            <w:r>
              <w:t xml:space="preserve">1x5=5</w:t>
            </w:r>
          </w:p>
        </w:tc>
        <w:tc>
          <w:tcPr>
            <w:tcW w:w="3630" w:type="dxa"/>
            <w:shd w:val="clear" w:color="auto" w:fill="F7FAFC"/>
            <w:vAlign w:val="center"/>
          </w:tcPr>
          <w:p>
            <w:pPr>
              <w:spacing w:before="45" w:after="45"/>
            </w:pPr>
            <w:r>
              <w:t xml:space="preserve">Adatvédelem; független visszaélési teszt és manuális fallback eljárás nyitott</w:t>
            </w:r>
          </w:p>
        </w:tc>
      </w:tr>
      <w:tr>
        <w:trPr>
          <w:cantSplit/>
        </w:trPr>
        <w:tc>
          <w:tcPr>
            <w:tcW w:w="1250" w:type="dxa"/>
            <w:shd w:val="clear" w:color="auto" w:fill="FFFFFF"/>
            <w:vAlign w:val="center"/>
          </w:tcPr>
          <w:p>
            <w:pPr>
              <w:spacing w:before="45" w:after="45"/>
            </w:pPr>
            <w:r>
              <w:t xml:space="preserve">Korlátozás/visszavonás ellenére worker vagy email pipeline feldolgoz</w:t>
            </w:r>
          </w:p>
        </w:tc>
        <w:tc>
          <w:tcPr>
            <w:tcW w:w="1850" w:type="dxa"/>
            <w:shd w:val="clear" w:color="auto" w:fill="FFFFFF"/>
            <w:vAlign w:val="center"/>
          </w:tcPr>
          <w:p>
            <w:pPr>
              <w:spacing w:before="45" w:after="45"/>
            </w:pPr>
            <w:r>
              <w:t xml:space="preserve">3x5=15</w:t>
            </w:r>
          </w:p>
        </w:tc>
        <w:tc>
          <w:tcPr>
            <w:tcW w:w="2100" w:type="dxa"/>
            <w:shd w:val="clear" w:color="auto" w:fill="FFFFFF"/>
            <w:vAlign w:val="center"/>
          </w:tcPr>
          <w:p>
            <w:pPr>
              <w:spacing w:before="45" w:after="45"/>
            </w:pPr>
            <w:r>
              <w:t xml:space="preserve">központi governance kapuk és query filterek feldolgozás/küldés előtt</w:t>
            </w:r>
          </w:p>
        </w:tc>
        <w:tc>
          <w:tcPr>
            <w:tcW w:w="1350" w:type="dxa"/>
            <w:shd w:val="clear" w:color="auto" w:fill="FFFFFF"/>
            <w:vAlign w:val="center"/>
          </w:tcPr>
          <w:p>
            <w:pPr>
              <w:spacing w:before="45" w:after="45"/>
            </w:pPr>
            <w:r>
              <w:t xml:space="preserve">1x5=5</w:t>
            </w:r>
          </w:p>
        </w:tc>
        <w:tc>
          <w:tcPr>
            <w:tcW w:w="3630" w:type="dxa"/>
            <w:shd w:val="clear" w:color="auto" w:fill="FFFFFF"/>
            <w:vAlign w:val="center"/>
          </w:tcPr>
          <w:p>
            <w:pPr>
              <w:spacing w:before="45" w:after="45"/>
            </w:pPr>
            <w:r>
              <w:t xml:space="preserve">Engineering; visszatérő integrációs bizonyíték szükséges</w:t>
            </w:r>
          </w:p>
        </w:tc>
      </w:tr>
      <w:tr>
        <w:trPr>
          <w:cantSplit/>
        </w:trPr>
        <w:tc>
          <w:tcPr>
            <w:tcW w:w="1250" w:type="dxa"/>
            <w:shd w:val="clear" w:color="auto" w:fill="F7FAFC"/>
            <w:vAlign w:val="center"/>
          </w:tcPr>
          <w:p>
            <w:pPr>
              <w:spacing w:before="45" w:after="45"/>
            </w:pPr>
            <w:r>
              <w:t xml:space="preserve">Határokon átnyúló továbbítás érvényes garancia nélkül</w:t>
            </w:r>
          </w:p>
        </w:tc>
        <w:tc>
          <w:tcPr>
            <w:tcW w:w="1850" w:type="dxa"/>
            <w:shd w:val="clear" w:color="auto" w:fill="F7FAFC"/>
            <w:vAlign w:val="center"/>
          </w:tcPr>
          <w:p>
            <w:pPr>
              <w:spacing w:before="45" w:after="45"/>
            </w:pPr>
            <w:r>
              <w:t xml:space="preserve">4x5=20</w:t>
            </w:r>
          </w:p>
        </w:tc>
        <w:tc>
          <w:tcPr>
            <w:tcW w:w="2100" w:type="dxa"/>
            <w:shd w:val="clear" w:color="auto" w:fill="F7FAFC"/>
            <w:vAlign w:val="center"/>
          </w:tcPr>
          <w:p>
            <w:pPr>
              <w:spacing w:before="45" w:after="45"/>
            </w:pPr>
            <w:r>
              <w:t xml:space="preserve">teljes kontroll csak szerződések, régiók és TIA ellenőrzése után</w:t>
            </w:r>
          </w:p>
        </w:tc>
        <w:tc>
          <w:tcPr>
            <w:tcW w:w="1350" w:type="dxa"/>
            <w:shd w:val="clear" w:color="auto" w:fill="F7FAFC"/>
            <w:vAlign w:val="center"/>
          </w:tcPr>
          <w:p>
            <w:pPr>
              <w:spacing w:before="45" w:after="45"/>
            </w:pPr>
            <w:r>
              <w:t xml:space="preserve">3x5=15</w:t>
            </w:r>
          </w:p>
        </w:tc>
        <w:tc>
          <w:tcPr>
            <w:tcW w:w="3630" w:type="dxa"/>
            <w:shd w:val="clear" w:color="auto" w:fill="F7FAFC"/>
            <w:vAlign w:val="center"/>
          </w:tcPr>
          <w:p>
            <w:pPr>
              <w:spacing w:before="45" w:after="45"/>
            </w:pPr>
            <w:r>
              <w:t xml:space="preserve">Adatkezelő/adatvédelmi jogász - </w:t>
            </w:r>
            <w:r>
              <w:rPr>
                <w:b/>
                <w:sz w:val="17"/>
                <w:szCs w:val="17"/>
              </w:rPr>
              <w:t xml:space="preserve">nyitott magas maradék kockázat</w:t>
            </w:r>
          </w:p>
        </w:tc>
      </w:tr>
      <w:tr>
        <w:trPr>
          <w:cantSplit/>
        </w:trPr>
        <w:tc>
          <w:tcPr>
            <w:tcW w:w="1250" w:type="dxa"/>
            <w:shd w:val="clear" w:color="auto" w:fill="FFFFFF"/>
            <w:vAlign w:val="center"/>
          </w:tcPr>
          <w:p>
            <w:pPr>
              <w:spacing w:before="45" w:after="45"/>
            </w:pPr>
            <w:r>
              <w:t xml:space="preserve">Adatfeldolgozó modelltréningre vagy inkompatibilis célra használ adatot</w:t>
            </w:r>
          </w:p>
        </w:tc>
        <w:tc>
          <w:tcPr>
            <w:tcW w:w="1850" w:type="dxa"/>
            <w:shd w:val="clear" w:color="auto" w:fill="FFFFFF"/>
            <w:vAlign w:val="center"/>
          </w:tcPr>
          <w:p>
            <w:pPr>
              <w:spacing w:before="45" w:after="45"/>
            </w:pPr>
            <w:r>
              <w:t xml:space="preserve">3x5=15</w:t>
            </w:r>
          </w:p>
        </w:tc>
        <w:tc>
          <w:tcPr>
            <w:tcW w:w="2100" w:type="dxa"/>
            <w:shd w:val="clear" w:color="auto" w:fill="FFFFFF"/>
            <w:vAlign w:val="center"/>
          </w:tcPr>
          <w:p>
            <w:pPr>
              <w:spacing w:before="45" w:after="45"/>
            </w:pPr>
            <w:r>
              <w:t xml:space="preserve">tervezett API/business feltételek és minimalizált payload</w:t>
            </w:r>
          </w:p>
        </w:tc>
        <w:tc>
          <w:tcPr>
            <w:tcW w:w="1350" w:type="dxa"/>
            <w:shd w:val="clear" w:color="auto" w:fill="FFFFFF"/>
            <w:vAlign w:val="center"/>
          </w:tcPr>
          <w:p>
            <w:pPr>
              <w:spacing w:before="45" w:after="45"/>
            </w:pPr>
            <w:r>
              <w:t xml:space="preserve">2x5=10</w:t>
            </w:r>
          </w:p>
        </w:tc>
        <w:tc>
          <w:tcPr>
            <w:tcW w:w="3630" w:type="dxa"/>
            <w:shd w:val="clear" w:color="auto" w:fill="FFFFFF"/>
            <w:vAlign w:val="center"/>
          </w:tcPr>
          <w:p>
            <w:pPr>
              <w:spacing w:before="45" w:after="45"/>
            </w:pPr>
            <w:r>
              <w:t xml:space="preserve">Vendor owner; account setting és DPA bizonyíték nyitott</w:t>
            </w:r>
          </w:p>
        </w:tc>
      </w:tr>
      <w:tr>
        <w:trPr>
          <w:cantSplit/>
        </w:trPr>
        <w:tc>
          <w:tcPr>
            <w:tcW w:w="1250" w:type="dxa"/>
            <w:shd w:val="clear" w:color="auto" w:fill="F7FAFC"/>
            <w:vAlign w:val="center"/>
          </w:tcPr>
          <w:p>
            <w:pPr>
              <w:spacing w:before="45" w:after="45"/>
            </w:pPr>
            <w:r>
              <w:t xml:space="preserve">Nyelvi hibák félrevezető hozzájárulást vagy riportot eredményeznek</w:t>
            </w:r>
          </w:p>
        </w:tc>
        <w:tc>
          <w:tcPr>
            <w:tcW w:w="1850" w:type="dxa"/>
            <w:shd w:val="clear" w:color="auto" w:fill="F7FAFC"/>
            <w:vAlign w:val="center"/>
          </w:tcPr>
          <w:p>
            <w:pPr>
              <w:spacing w:before="45" w:after="45"/>
            </w:pPr>
            <w:r>
              <w:t xml:space="preserve">4x4=16</w:t>
            </w:r>
          </w:p>
        </w:tc>
        <w:tc>
          <w:tcPr>
            <w:tcW w:w="2100" w:type="dxa"/>
            <w:shd w:val="clear" w:color="auto" w:fill="F7FAFC"/>
            <w:vAlign w:val="center"/>
          </w:tcPr>
          <w:p>
            <w:pPr>
              <w:spacing w:before="45" w:after="45"/>
            </w:pPr>
            <w:r>
              <w:t xml:space="preserve">11 nyelvű assetek, fallback ellenőrzések, nyelvi auditok</w:t>
            </w:r>
          </w:p>
        </w:tc>
        <w:tc>
          <w:tcPr>
            <w:tcW w:w="1350" w:type="dxa"/>
            <w:shd w:val="clear" w:color="auto" w:fill="F7FAFC"/>
            <w:vAlign w:val="center"/>
          </w:tcPr>
          <w:p>
            <w:pPr>
              <w:spacing w:before="45" w:after="45"/>
            </w:pPr>
            <w:r>
              <w:t xml:space="preserve">2x4=8</w:t>
            </w:r>
          </w:p>
        </w:tc>
        <w:tc>
          <w:tcPr>
            <w:tcW w:w="3630" w:type="dxa"/>
            <w:shd w:val="clear" w:color="auto" w:fill="F7FAFC"/>
            <w:vAlign w:val="center"/>
          </w:tcPr>
          <w:p>
            <w:pPr>
              <w:spacing w:before="45" w:after="45"/>
            </w:pPr>
            <w:r>
              <w:t xml:space="preserve">Anyanyelvi jogi/klinikai review nyelvenként nyitott</w:t>
            </w:r>
          </w:p>
        </w:tc>
      </w:tr>
      <w:tr>
        <w:trPr>
          <w:cantSplit/>
        </w:trPr>
        <w:tc>
          <w:tcPr>
            <w:tcW w:w="1250" w:type="dxa"/>
            <w:shd w:val="clear" w:color="auto" w:fill="FFFFFF"/>
            <w:vAlign w:val="center"/>
          </w:tcPr>
          <w:p>
            <w:pPr>
              <w:spacing w:before="45" w:after="45"/>
            </w:pPr>
            <w:r>
              <w:t xml:space="preserve">Szolgáltatáskiesés/fizetési versenyhelyzet elveszíti a fizetett riportot</w:t>
            </w:r>
          </w:p>
        </w:tc>
        <w:tc>
          <w:tcPr>
            <w:tcW w:w="1850" w:type="dxa"/>
            <w:shd w:val="clear" w:color="auto" w:fill="FFFFFF"/>
            <w:vAlign w:val="center"/>
          </w:tcPr>
          <w:p>
            <w:pPr>
              <w:spacing w:before="45" w:after="45"/>
            </w:pPr>
            <w:r>
              <w:t xml:space="preserve">4x3=12</w:t>
            </w:r>
          </w:p>
        </w:tc>
        <w:tc>
          <w:tcPr>
            <w:tcW w:w="2100" w:type="dxa"/>
            <w:shd w:val="clear" w:color="auto" w:fill="FFFFFF"/>
            <w:vAlign w:val="center"/>
          </w:tcPr>
          <w:p>
            <w:pPr>
              <w:spacing w:before="45" w:after="45"/>
            </w:pPr>
            <w:r>
              <w:t xml:space="preserve">idempotens webhook, queue, worker, retry, recovery monitoring</w:t>
            </w:r>
          </w:p>
        </w:tc>
        <w:tc>
          <w:tcPr>
            <w:tcW w:w="1350" w:type="dxa"/>
            <w:shd w:val="clear" w:color="auto" w:fill="FFFFFF"/>
            <w:vAlign w:val="center"/>
          </w:tcPr>
          <w:p>
            <w:pPr>
              <w:spacing w:before="45" w:after="45"/>
            </w:pPr>
            <w:r>
              <w:t xml:space="preserve">2x3=6</w:t>
            </w:r>
          </w:p>
        </w:tc>
        <w:tc>
          <w:tcPr>
            <w:tcW w:w="3630" w:type="dxa"/>
            <w:shd w:val="clear" w:color="auto" w:fill="FFFFFF"/>
            <w:vAlign w:val="center"/>
          </w:tcPr>
          <w:p>
            <w:pPr>
              <w:spacing w:before="45" w:after="45"/>
            </w:pPr>
            <w:r>
              <w:t xml:space="preserve">Üzemeltetés; éles terhelési/DR bizonyíték szükséges</w:t>
            </w:r>
          </w:p>
        </w:tc>
      </w:tr>
      <w:tr>
        <w:trPr>
          <w:cantSplit/>
        </w:trPr>
        <w:tc>
          <w:tcPr>
            <w:tcW w:w="1250" w:type="dxa"/>
            <w:shd w:val="clear" w:color="auto" w:fill="F7FAFC"/>
            <w:vAlign w:val="center"/>
          </w:tcPr>
          <w:p>
            <w:pPr>
              <w:spacing w:before="45" w:after="45"/>
            </w:pPr>
            <w:r>
              <w:t xml:space="preserve">Incidens későn kerül felismerésre vagy bejelentésre</w:t>
            </w:r>
          </w:p>
        </w:tc>
        <w:tc>
          <w:tcPr>
            <w:tcW w:w="1850" w:type="dxa"/>
            <w:shd w:val="clear" w:color="auto" w:fill="F7FAFC"/>
            <w:vAlign w:val="center"/>
          </w:tcPr>
          <w:p>
            <w:pPr>
              <w:spacing w:before="45" w:after="45"/>
            </w:pPr>
            <w:r>
              <w:t xml:space="preserve">3x5=15</w:t>
            </w:r>
          </w:p>
        </w:tc>
        <w:tc>
          <w:tcPr>
            <w:tcW w:w="2100" w:type="dxa"/>
            <w:shd w:val="clear" w:color="auto" w:fill="F7FAFC"/>
            <w:vAlign w:val="center"/>
          </w:tcPr>
          <w:p>
            <w:pPr>
              <w:spacing w:before="45" w:after="45"/>
            </w:pPr>
            <w:r>
              <w:t xml:space="preserve">logolás, riasztások, breach runbook</w:t>
            </w:r>
          </w:p>
        </w:tc>
        <w:tc>
          <w:tcPr>
            <w:tcW w:w="1350" w:type="dxa"/>
            <w:shd w:val="clear" w:color="auto" w:fill="F7FAFC"/>
            <w:vAlign w:val="center"/>
          </w:tcPr>
          <w:p>
            <w:pPr>
              <w:spacing w:before="45" w:after="45"/>
            </w:pPr>
            <w:r>
              <w:t xml:space="preserve">2x5=10</w:t>
            </w:r>
          </w:p>
        </w:tc>
        <w:tc>
          <w:tcPr>
            <w:tcW w:w="3630" w:type="dxa"/>
            <w:shd w:val="clear" w:color="auto" w:fill="F7FAFC"/>
            <w:vAlign w:val="center"/>
          </w:tcPr>
          <w:p>
            <w:pPr>
              <w:spacing w:before="45" w:after="45"/>
            </w:pPr>
            <w:r>
              <w:t xml:space="preserve">Adatkezelő/biztonság; tabletop gyakorlat és kontaktok nyitott</w:t>
            </w:r>
          </w:p>
        </w:tc>
      </w:tr>
      <w:tr>
        <w:trPr>
          <w:cantSplit/>
        </w:trPr>
        <w:tc>
          <w:tcPr>
            <w:tcW w:w="1250" w:type="dxa"/>
            <w:shd w:val="clear" w:color="auto" w:fill="FFFFFF"/>
            <w:vAlign w:val="center"/>
          </w:tcPr>
          <w:p>
            <w:pPr>
              <w:spacing w:before="45" w:after="45"/>
            </w:pPr>
            <w:r>
              <w:t xml:space="preserve">A termék orvostechnikai szabályozás alá esik a pozicionálás ellenére</w:t>
            </w:r>
          </w:p>
        </w:tc>
        <w:tc>
          <w:tcPr>
            <w:tcW w:w="1850" w:type="dxa"/>
            <w:shd w:val="clear" w:color="auto" w:fill="FFFFFF"/>
            <w:vAlign w:val="center"/>
          </w:tcPr>
          <w:p>
            <w:pPr>
              <w:spacing w:before="45" w:after="45"/>
            </w:pPr>
            <w:r>
              <w:t xml:space="preserve">3x5=15</w:t>
            </w:r>
          </w:p>
        </w:tc>
        <w:tc>
          <w:tcPr>
            <w:tcW w:w="2100" w:type="dxa"/>
            <w:shd w:val="clear" w:color="auto" w:fill="FFFFFF"/>
            <w:vAlign w:val="center"/>
          </w:tcPr>
          <w:p>
            <w:pPr>
              <w:spacing w:before="45" w:after="45"/>
            </w:pPr>
            <w:r>
              <w:t xml:space="preserve">tájékoztató scope, nincs diagnózis/kezelési döntés, disclaimerek</w:t>
            </w:r>
          </w:p>
        </w:tc>
        <w:tc>
          <w:tcPr>
            <w:tcW w:w="1350" w:type="dxa"/>
            <w:shd w:val="clear" w:color="auto" w:fill="FFFFFF"/>
            <w:vAlign w:val="center"/>
          </w:tcPr>
          <w:p>
            <w:pPr>
              <w:spacing w:before="45" w:after="45"/>
            </w:pPr>
            <w:r>
              <w:t xml:space="preserve">2x5=10</w:t>
            </w:r>
          </w:p>
        </w:tc>
        <w:tc>
          <w:tcPr>
            <w:tcW w:w="3630" w:type="dxa"/>
            <w:shd w:val="clear" w:color="auto" w:fill="FFFFFF"/>
            <w:vAlign w:val="center"/>
          </w:tcPr>
          <w:p>
            <w:pPr>
              <w:spacing w:before="45" w:after="45"/>
            </w:pPr>
            <w:r>
              <w:t xml:space="preserve">Képzett MDR jogi értékelés nyitott</w:t>
            </w:r>
          </w:p>
        </w:tc>
      </w:tr>
      <w:tr>
        <w:trPr>
          <w:cantSplit/>
        </w:trPr>
        <w:tc>
          <w:tcPr>
            <w:tcW w:w="1250" w:type="dxa"/>
            <w:shd w:val="clear" w:color="auto" w:fill="F7FAFC"/>
            <w:vAlign w:val="center"/>
          </w:tcPr>
          <w:p>
            <w:pPr>
              <w:spacing w:before="45" w:after="45"/>
            </w:pPr>
            <w:r>
              <w:t xml:space="preserve">Iskola/biztosító/munkáltató következményes döntésre használja a riportot</w:t>
            </w:r>
          </w:p>
        </w:tc>
        <w:tc>
          <w:tcPr>
            <w:tcW w:w="1850" w:type="dxa"/>
            <w:shd w:val="clear" w:color="auto" w:fill="F7FAFC"/>
            <w:vAlign w:val="center"/>
          </w:tcPr>
          <w:p>
            <w:pPr>
              <w:spacing w:before="45" w:after="45"/>
            </w:pPr>
            <w:r>
              <w:t xml:space="preserve">3x5=15</w:t>
            </w:r>
          </w:p>
        </w:tc>
        <w:tc>
          <w:tcPr>
            <w:tcW w:w="2100" w:type="dxa"/>
            <w:shd w:val="clear" w:color="auto" w:fill="F7FAFC"/>
            <w:vAlign w:val="center"/>
          </w:tcPr>
          <w:p>
            <w:pPr>
              <w:spacing w:before="45" w:after="45"/>
            </w:pPr>
            <w:r>
              <w:t xml:space="preserve">fogyasztói feltételek és nem diagnosztikus korlátok</w:t>
            </w:r>
          </w:p>
        </w:tc>
        <w:tc>
          <w:tcPr>
            <w:tcW w:w="1350" w:type="dxa"/>
            <w:shd w:val="clear" w:color="auto" w:fill="F7FAFC"/>
            <w:vAlign w:val="center"/>
          </w:tcPr>
          <w:p>
            <w:pPr>
              <w:spacing w:before="45" w:after="45"/>
            </w:pPr>
            <w:r>
              <w:t xml:space="preserve">2x5=10</w:t>
            </w:r>
          </w:p>
        </w:tc>
        <w:tc>
          <w:tcPr>
            <w:tcW w:w="3630" w:type="dxa"/>
            <w:shd w:val="clear" w:color="auto" w:fill="F7FAFC"/>
            <w:vAlign w:val="center"/>
          </w:tcPr>
          <w:p>
            <w:pPr>
              <w:spacing w:before="45" w:after="45"/>
            </w:pPr>
            <w:r>
              <w:t xml:space="preserve">Termék/jog; intézményi döntési cél tiltása és panaszmonitorozás</w:t>
            </w:r>
          </w:p>
        </w:tc>
      </w:tr>
    </w:tbl>
    <w:p>
      <w:pPr>
        <w:spacing w:after="100"/>
      </w:pPr>
    </w:p>
    <w:p>
      <w:pPr>
        <w:pStyle w:val="Heading1"/>
        <w:spacing w:before="260" w:after="150"/>
        <w:keepNext/>
      </w:pPr>
      <w:r>
        <w:t xml:space="preserve">11. Biztonsági és szervezési intézkedések</w:t>
      </w:r>
    </w:p>
    <w:p>
      <w:pPr>
        <w:pStyle w:val="BodyText"/>
        <w:spacing w:before="0" w:after="110"/>
      </w:pPr>
      <w:r>
        <w:t xml:space="preserve">A jelenleg implementált kontrollok közé tartozik a TLS transport, környezeti változókban kezelt és éles környezetben erősségre ellenőrzött titkok, hash-elt access/rights/verification tokenek, rövid élettartamú egyszer használatos megerősítő kódok, paraméterezett SQL, Stripe-aláírás-ellenőrzés, idempotens webhook-kezelés, lease/heartbeat/retry mechanizmusú queue worker, időkorlátos és user agenthez kötött admin session, éles környezetben fail-closed rate limiting, audit események, CORS allow-list, feldolgozási korlátozás, érzékeny törlés, lifecycle jobok, launch evidence gate és minimalizált marketing payload. A vásárlási nyilatkozatok és a 9. cikk szerinti hozzájárulás külön bizonyítékként tárolódnak.</w:t>
      </w:r>
    </w:p>
    <w:p>
      <w:pPr>
        <w:pStyle w:val="BodyText"/>
        <w:spacing w:before="0" w:after="110"/>
      </w:pPr>
      <w:r>
        <w:t xml:space="preserve">Jóváhagyás előtt bizonyíték szükséges a nyugalmi titkosításról, secret rotationről, least-privilege éles hozzáférésről, MFA-ról, dependency/security scanekről, backup visszaállításról és törlésről, penetrációs tesztről, log redactionről, incidensriasztásról, disaster recoveryről, vendor hozzáférésekről és web/worker/adatbázis feladatkörök szétválasztásáról.</w:t>
      </w:r>
    </w:p>
    <w:p>
      <w:pPr>
        <w:pStyle w:val="Heading1"/>
        <w:spacing w:before="260" w:after="150"/>
        <w:keepNext/>
      </w:pPr>
      <w:r>
        <w:t xml:space="preserve">12. Személyesadat-incidens kezelése</w:t>
      </w:r>
    </w:p>
    <w:p>
      <w:pPr>
        <w:pStyle w:val="BodyText"/>
        <w:spacing w:before="0" w:after="110"/>
      </w:pPr>
      <w:r>
        <w:t xml:space="preserve">Az adatkezelőnek az incidenskezelési runbookot kell használnia a containmenthez, bizonyítékmegőrzéshez, bizalmassági/integritási/rendelkezésre állási hatások értékeléséhez, érintett személyek és adatok azonosításához, valamint a bejelentési döntéshez. A GDPR szerinti felügyeleti hatósági bejelentés indokolatlan késedelem nélkül, lehetőség szerint a tudomásszerzéstől számított 72 órán belül szükséges, ha az incidens valószínűsíthetően kockázattal jár. Magas kockázat esetén az érintetteket indokolatlan késedelem nélkül tájékoztatni kell, kivéve ha dokumentált kivétel alkalmazható. Az adatfeldolgozói szerződéseknek elég gyors értesítést kell lehetővé tenniük.</w:t>
      </w:r>
    </w:p>
    <w:p>
      <w:pPr>
        <w:pStyle w:val="Heading1"/>
        <w:spacing w:before="260" w:after="150"/>
        <w:keepNext/>
      </w:pPr>
      <w:r>
        <w:t xml:space="preserve">13. Fogyasztóvédelmi és digitális tartalmi kötelezettségek</w:t>
      </w:r>
    </w:p>
    <w:p>
      <w:pPr>
        <w:pStyle w:val="BodyText"/>
        <w:spacing w:before="0" w:after="110"/>
      </w:pPr>
      <w:r>
        <w:t xml:space="preserve">A checkoutnak fizetés előtt világosan meg kell jelenítenie a kereskedő azonosítóját, teljes árat, pénznemet, csomagtartalmat, kézbesítési módot, panasz/támogatási útvonalat és a digitális teljesítés feltételeit. A rendelés gombnak egyértelműen jeleznie kell a fizetési kötelezettséget. Ha az azonnali digitális teljesítés hatással van az elállási jogra, a felnőttnek kifejezetten kérnie kell az azonnali teljesítést és el kell ismernie ennek következményét; az adatkezelőnek tartós adathordozón szerződés-visszaigazolást kell adnia. A digitális tartalomra vonatkozó kötelező megfelelőségi/jogorvoslati jogok UI-szöveggel nem mondhatók le.</w:t>
      </w:r>
    </w:p>
    <w:p>
      <w:pPr>
        <w:pStyle w:val="BodyText"/>
        <w:spacing w:before="0" w:after="110"/>
      </w:pPr>
      <w:r>
        <w:t xml:space="preserve">A pontos nemzeti implementáció, ÁFA/számlanyelv és elállási kivételek minden célpiacra jogi review-t igényelnek.</w:t>
      </w:r>
    </w:p>
    <w:p>
      <w:pPr>
        <w:pStyle w:val="Heading1"/>
        <w:spacing w:before="260" w:after="150"/>
        <w:keepNext/>
      </w:pPr>
      <w:r>
        <w:t xml:space="preserve">14. Konzultáció</w:t>
      </w:r>
    </w:p>
    <w:p>
      <w:pPr>
        <w:pStyle w:val="BodyText"/>
        <w:spacing w:before="0" w:after="110"/>
      </w:pPr>
      <w:r>
        <w:t xml:space="preserve">Jóváhagyás előtt szükséges konzultáció:</w:t>
      </w:r>
    </w:p>
    <w:p>
      <w:pPr>
        <w:pStyle w:val="ListParagraph"/>
        <w:spacing w:before="0" w:after="55"/>
        <w:keepLines/>
        <w:ind w:left="480" w:hanging="240"/>
        <w:numPr>
          <w:ilvl w:val="0"/>
          <w:numId w:val="1"/>
        </w:numPr>
      </w:pPr>
      <w:r>
        <w:t xml:space="preserve">képzett EU adatvédelmi jogász/DPO;</w:t>
      </w:r>
    </w:p>
    <w:p>
      <w:pPr>
        <w:pStyle w:val="ListParagraph"/>
        <w:spacing w:before="0" w:after="55"/>
        <w:keepLines/>
        <w:ind w:left="480" w:hanging="240"/>
        <w:numPr>
          <w:ilvl w:val="0"/>
          <w:numId w:val="1"/>
        </w:numPr>
      </w:pPr>
      <w:r>
        <w:t xml:space="preserve">biztonsági felelős és független penetrációs tesztelő;</w:t>
      </w:r>
    </w:p>
    <w:p>
      <w:pPr>
        <w:pStyle w:val="ListParagraph"/>
        <w:spacing w:before="0" w:after="55"/>
        <w:keepLines/>
        <w:ind w:left="480" w:hanging="240"/>
        <w:numPr>
          <w:ilvl w:val="0"/>
          <w:numId w:val="1"/>
        </w:numPr>
      </w:pPr>
      <w:r>
        <w:t xml:space="preserve">képzett gyermekfejlődési/pszichológiai reviewer;</w:t>
      </w:r>
    </w:p>
    <w:p>
      <w:pPr>
        <w:pStyle w:val="ListParagraph"/>
        <w:spacing w:before="0" w:after="55"/>
        <w:keepLines/>
        <w:ind w:left="480" w:hanging="240"/>
        <w:numPr>
          <w:ilvl w:val="0"/>
          <w:numId w:val="1"/>
        </w:numPr>
      </w:pPr>
      <w:r>
        <w:t xml:space="preserve">anyanyelvi jogi és tartalmi reviewerek minden kínált nyelvre;</w:t>
      </w:r>
    </w:p>
    <w:p>
      <w:pPr>
        <w:pStyle w:val="ListParagraph"/>
        <w:spacing w:before="0" w:after="55"/>
        <w:keepLines/>
        <w:ind w:left="480" w:hanging="240"/>
        <w:numPr>
          <w:ilvl w:val="0"/>
          <w:numId w:val="1"/>
        </w:numPr>
      </w:pPr>
      <w:r>
        <w:t xml:space="preserve">számviteli/adótanácsadó a számlamegőrzéshez;</w:t>
      </w:r>
    </w:p>
    <w:p>
      <w:pPr>
        <w:pStyle w:val="ListParagraph"/>
        <w:spacing w:before="0" w:after="55"/>
        <w:keepLines/>
        <w:ind w:left="480" w:hanging="240"/>
        <w:numPr>
          <w:ilvl w:val="0"/>
          <w:numId w:val="1"/>
        </w:numPr>
      </w:pPr>
      <w:r>
        <w:t xml:space="preserve">lehetőség szerint reprezentatív felnőtt felhasználók, valódi gyermekadatok feltárása nélkül.</w:t>
      </w:r>
    </w:p>
    <w:p>
      <w:pPr>
        <w:pStyle w:val="BodyText"/>
        <w:spacing w:before="0" w:after="110"/>
      </w:pPr>
      <w:r>
        <w:t xml:space="preserve">Ha a végleges DPIA továbbra is olyan magas kockázatot azonosít, amelyet az adatkezelő nem tud mérsékelni, jogi tanácsot kell kérni arról, szükséges-e a GDPR 36. cikk szerinti előzetes konzultáció az illetékes felügyeleti hatósággal.</w:t>
      </w:r>
    </w:p>
    <w:p>
      <w:pPr>
        <w:pStyle w:val="Heading1"/>
        <w:spacing w:before="260" w:after="150"/>
        <w:keepNext/>
      </w:pPr>
      <w:r>
        <w:t xml:space="preserve">15. Maradék kockázati döntés</w:t>
      </w:r>
    </w:p>
    <w:p>
      <w:pPr>
        <w:pStyle w:val="BodyText"/>
        <w:spacing w:before="0" w:after="110"/>
      </w:pPr>
      <w:r>
        <w:rPr>
          <w:b/>
        </w:rPr>
        <w:t xml:space="preserve">Jelenlegi döntés: A DPIA NEM JELÖLHETŐ JÓVÁHAGYOTTKÉNT.</w:t>
      </w:r>
      <w:r>
        <w:t xml:space="preserve"> A maradék kockázat magas, mert az adatfeldolgozói/adattovábbítási bizonyítékok, adatkezelői azonosítás, DPO-döntés, külső jogi review, klinikai/tartalmi validáció, célországi szabályok, éles biztonsági bizonyítékok és orvostechnikai besorolás még nincsenek lezárva.</w:t>
      </w:r>
    </w:p>
    <w:p>
      <w:pPr>
        <w:pStyle w:val="BodyText"/>
        <w:spacing w:before="0" w:after="110"/>
      </w:pPr>
      <w:r>
        <w:t xml:space="preserve">A mérnöki kontrollok érdemben csökkentik a kockázatot, de nem zárják le ezeket az irányítási elemeket. A </w:t>
      </w:r>
      <w:r>
        <w:rPr>
          <w:rFonts w:ascii="Consolas" w:hAnsi="Consolas"/>
          <w:shd w:val="clear" w:color="auto" w:fill="E9EEF3"/>
          <w:sz w:val="18"/>
          <w:szCs w:val="18"/>
        </w:rPr>
        <w:t xml:space="preserve">DPIA_APPROVED</w:t>
      </w:r>
      <w:r>
        <w:t xml:space="preserve"> és kapcsolódó launch-gate változóknak false állapotban kell maradniuk, amíg a megnevezett jóváhagyók bizonyítékhivatkozásokkal alá nem írják a </w:t>
      </w:r>
      <w:r>
        <w:rPr>
          <w:rFonts w:ascii="Consolas" w:hAnsi="Consolas"/>
          <w:shd w:val="clear" w:color="auto" w:fill="E9EEF3"/>
          <w:sz w:val="18"/>
          <w:szCs w:val="18"/>
        </w:rPr>
        <w:t xml:space="preserve">LEGAL_RELEASE_SIGNOFF.md</w:t>
      </w:r>
      <w:r>
        <w:t xml:space="preserve"> dokumentumot.</w:t>
      </w:r>
    </w:p>
    <w:p>
      <w:pPr>
        <w:pStyle w:val="Heading1"/>
        <w:spacing w:before="260" w:after="150"/>
        <w:keepNext/>
      </w:pPr>
      <w:r>
        <w:t xml:space="preserve">16. Felülvizsgálati események</w:t>
      </w:r>
    </w:p>
    <w:p>
      <w:pPr>
        <w:pStyle w:val="BodyText"/>
        <w:spacing w:before="0" w:after="110"/>
      </w:pPr>
      <w:r>
        <w:t xml:space="preserve">Legalább évente, valamint azonnal felül kell vizsgálni, ha az alábbiak bármelyike változik:</w:t>
      </w:r>
    </w:p>
    <w:p>
      <w:pPr>
        <w:pStyle w:val="ListParagraph"/>
        <w:spacing w:before="0" w:after="55"/>
        <w:keepLines/>
        <w:ind w:left="480" w:hanging="240"/>
        <w:numPr>
          <w:ilvl w:val="0"/>
          <w:numId w:val="1"/>
        </w:numPr>
      </w:pPr>
      <w:r>
        <w:t xml:space="preserve">célok, célfelhasználók, célországok vagy hirdetési stratégia;</w:t>
      </w:r>
    </w:p>
    <w:p>
      <w:pPr>
        <w:pStyle w:val="ListParagraph"/>
        <w:spacing w:before="0" w:after="55"/>
        <w:keepLines/>
        <w:ind w:left="480" w:hanging="240"/>
        <w:numPr>
          <w:ilvl w:val="0"/>
          <w:numId w:val="1"/>
        </w:numPr>
      </w:pPr>
      <w:r>
        <w:t xml:space="preserve">kérdőívterületek, klinikai állítások vagy scoring küszöbök;</w:t>
      </w:r>
    </w:p>
    <w:p>
      <w:pPr>
        <w:pStyle w:val="ListParagraph"/>
        <w:spacing w:before="0" w:after="55"/>
        <w:keepLines/>
        <w:ind w:left="480" w:hanging="240"/>
        <w:numPr>
          <w:ilvl w:val="0"/>
          <w:numId w:val="1"/>
        </w:numPr>
      </w:pPr>
      <w:r>
        <w:t xml:space="preserve">AI modell, prompt, adatfelhasználás, adatfeldolgozó vagy régió;</w:t>
      </w:r>
    </w:p>
    <w:p>
      <w:pPr>
        <w:pStyle w:val="ListParagraph"/>
        <w:spacing w:before="0" w:after="55"/>
        <w:keepLines/>
        <w:ind w:left="480" w:hanging="240"/>
        <w:numPr>
          <w:ilvl w:val="0"/>
          <w:numId w:val="1"/>
        </w:numPr>
      </w:pPr>
      <w:r>
        <w:t xml:space="preserve">megőrzési idő, új adatkategória vagy új integráció;</w:t>
      </w:r>
    </w:p>
    <w:p>
      <w:pPr>
        <w:pStyle w:val="ListParagraph"/>
        <w:spacing w:before="0" w:after="55"/>
        <w:keepLines/>
        <w:ind w:left="480" w:hanging="240"/>
        <w:numPr>
          <w:ilvl w:val="0"/>
          <w:numId w:val="1"/>
        </w:numPr>
      </w:pPr>
      <w:r>
        <w:t xml:space="preserve">iskolák, klinikusok, biztosítók, munkáltatók vagy közfeladatot ellátó szervek általi használat;</w:t>
      </w:r>
    </w:p>
    <w:p>
      <w:pPr>
        <w:pStyle w:val="ListParagraph"/>
        <w:spacing w:before="0" w:after="55"/>
        <w:keepLines/>
        <w:ind w:left="480" w:hanging="240"/>
        <w:numPr>
          <w:ilvl w:val="0"/>
          <w:numId w:val="1"/>
        </w:numPr>
      </w:pPr>
      <w:r>
        <w:t xml:space="preserve">jelentős incidens, panasz, érintetti jogi trend vagy modellbiztonsági probléma;</w:t>
      </w:r>
    </w:p>
    <w:p>
      <w:pPr>
        <w:pStyle w:val="ListParagraph"/>
        <w:spacing w:before="0" w:after="55"/>
        <w:keepLines/>
        <w:ind w:left="480" w:hanging="240"/>
        <w:numPr>
          <w:ilvl w:val="0"/>
          <w:numId w:val="1"/>
        </w:numPr>
      </w:pPr>
      <w:r>
        <w:t xml:space="preserve">bizonyíték arra, hogy a riport következményes döntéseket befolyásol;</w:t>
      </w:r>
    </w:p>
    <w:p>
      <w:pPr>
        <w:pStyle w:val="ListParagraph"/>
        <w:spacing w:before="0" w:after="55"/>
        <w:keepLines/>
        <w:ind w:left="480" w:hanging="240"/>
        <w:numPr>
          <w:ilvl w:val="0"/>
          <w:numId w:val="1"/>
        </w:numPr>
      </w:pPr>
      <w:r>
        <w:t xml:space="preserve">gyermekeket, AI-t, egészségügyi adatot, digitális tartalmat vagy orvostechnikai eszközt érintő jogi/szabályozói iránymutatás.</w:t>
      </w:r>
    </w:p>
    <w:p>
      <w:pPr>
        <w:pStyle w:val="Heading1"/>
        <w:spacing w:before="260" w:after="150"/>
        <w:keepNext/>
      </w:pPr>
      <w:r>
        <w:t xml:space="preserve">17. Jóváhagyási nyilvántartás</w:t>
      </w:r>
    </w:p>
    <w:tbl>
      <w:tblPr>
        <w:tblW w:w="10180" w:type="dxa"/>
        <w:tblLayout w:type="fixed"/>
        <w:tblBorders>
          <w:top w:val="single" w:sz="4" w:color="C9DCE8"/>
          <w:left w:val="single" w:sz="4" w:color="C9DCE8"/>
          <w:bottom w:val="single" w:sz="4" w:color="C9DCE8"/>
          <w:right w:val="single" w:sz="4" w:color="C9DCE8"/>
          <w:insideH w:val="single" w:sz="4" w:color="C9DCE8"/>
          <w:insideV w:val="single" w:sz="4" w:color="C9DCE8"/>
        </w:tblBorders>
        <w:tblCellMar>
          <w:top w:w="90" w:type="dxa"/>
          <w:left w:w="110" w:type="dxa"/>
          <w:bottom w:w="90" w:type="dxa"/>
          <w:right w:w="110" w:type="dxa"/>
        </w:tblCellMar>
      </w:tblPr>
      <w:tblGrid>
        <w:gridCol w:w="1250"/>
        <w:gridCol w:w="1850"/>
        <w:gridCol w:w="2100"/>
        <w:gridCol w:w="1350"/>
        <w:gridCol w:w="3630"/>
      </w:tblGrid>
      <w:tr>
        <w:trPr>
          <w:cantSplit/>
          <w:tblHeader/>
        </w:trPr>
        <w:tc>
          <w:tcPr>
            <w:tcW w:w="1250" w:type="dxa"/>
            <w:shd w:val="clear" w:color="auto" w:fill="075985"/>
            <w:vAlign w:val="center"/>
          </w:tcPr>
          <w:p>
            <w:pPr>
              <w:spacing w:before="45" w:after="45"/>
            </w:pPr>
            <w:r>
              <w:rPr>
                <w:b/>
                <w:color w:val="FFFFFF"/>
                <w:sz w:val="17"/>
                <w:szCs w:val="17"/>
              </w:rPr>
              <w:t xml:space="preserve">Jóváhagyás</w:t>
            </w:r>
          </w:p>
        </w:tc>
        <w:tc>
          <w:tcPr>
            <w:tcW w:w="1850" w:type="dxa"/>
            <w:shd w:val="clear" w:color="auto" w:fill="075985"/>
            <w:vAlign w:val="center"/>
          </w:tcPr>
          <w:p>
            <w:pPr>
              <w:spacing w:before="45" w:after="45"/>
            </w:pPr>
            <w:r>
              <w:rPr>
                <w:b/>
                <w:color w:val="FFFFFF"/>
                <w:sz w:val="17"/>
                <w:szCs w:val="17"/>
              </w:rPr>
              <w:t xml:space="preserve">Név</w:t>
            </w:r>
          </w:p>
        </w:tc>
        <w:tc>
          <w:tcPr>
            <w:tcW w:w="2100" w:type="dxa"/>
            <w:shd w:val="clear" w:color="auto" w:fill="075985"/>
            <w:vAlign w:val="center"/>
          </w:tcPr>
          <w:p>
            <w:pPr>
              <w:spacing w:before="45" w:after="45"/>
            </w:pPr>
            <w:r>
              <w:rPr>
                <w:b/>
                <w:color w:val="FFFFFF"/>
                <w:sz w:val="17"/>
                <w:szCs w:val="17"/>
              </w:rPr>
              <w:t xml:space="preserve">Dátum</w:t>
            </w:r>
          </w:p>
        </w:tc>
        <w:tc>
          <w:tcPr>
            <w:tcW w:w="1350" w:type="dxa"/>
            <w:shd w:val="clear" w:color="auto" w:fill="075985"/>
            <w:vAlign w:val="center"/>
          </w:tcPr>
          <w:p>
            <w:pPr>
              <w:spacing w:before="45" w:after="45"/>
            </w:pPr>
            <w:r>
              <w:rPr>
                <w:b/>
                <w:color w:val="FFFFFF"/>
                <w:sz w:val="17"/>
                <w:szCs w:val="17"/>
              </w:rPr>
              <w:t xml:space="preserve">Döntés</w:t>
            </w:r>
          </w:p>
        </w:tc>
        <w:tc>
          <w:tcPr>
            <w:tcW w:w="3630" w:type="dxa"/>
            <w:shd w:val="clear" w:color="auto" w:fill="075985"/>
            <w:vAlign w:val="center"/>
          </w:tcPr>
          <w:p>
            <w:pPr>
              <w:spacing w:before="45" w:after="45"/>
            </w:pPr>
            <w:r>
              <w:rPr>
                <w:b/>
                <w:color w:val="FFFFFF"/>
                <w:sz w:val="17"/>
                <w:szCs w:val="17"/>
              </w:rPr>
              <w:t xml:space="preserve">Bizonyíték / feltétel</w:t>
            </w:r>
          </w:p>
        </w:tc>
      </w:tr>
      <w:tr>
        <w:trPr>
          <w:cantSplit/>
        </w:trPr>
        <w:tc>
          <w:tcPr>
            <w:tcW w:w="1250" w:type="dxa"/>
            <w:shd w:val="clear" w:color="auto" w:fill="FFFFFF"/>
            <w:vAlign w:val="center"/>
          </w:tcPr>
          <w:p>
            <w:pPr>
              <w:spacing w:before="45" w:after="45"/>
            </w:pPr>
            <w:r>
              <w:t xml:space="preserve">Adatkezelő</w:t>
            </w:r>
          </w:p>
        </w:tc>
        <w:tc>
          <w:tcPr>
            <w:tcW w:w="1850" w:type="dxa"/>
            <w:shd w:val="clear" w:color="auto" w:fill="FFFFFF"/>
            <w:vAlign w:val="center"/>
          </w:tcPr>
          <w:p>
            <w:pPr>
              <w:spacing w:before="45" w:after="45"/>
            </w:pPr>
            <w:r>
              <w:rPr>
                <w:sz w:val="17"/>
                <w:szCs w:val="17"/>
              </w:rPr>
              <w:t xml:space="preserve"/>
            </w:r>
          </w:p>
        </w:tc>
        <w:tc>
          <w:tcPr>
            <w:tcW w:w="2100" w:type="dxa"/>
            <w:shd w:val="clear" w:color="auto" w:fill="FFFFFF"/>
            <w:vAlign w:val="center"/>
          </w:tcPr>
          <w:p>
            <w:pPr>
              <w:spacing w:before="45" w:after="45"/>
            </w:pPr>
            <w:r>
              <w:rPr>
                <w:sz w:val="17"/>
                <w:szCs w:val="17"/>
              </w:rPr>
              <w:t xml:space="preserve"/>
            </w:r>
          </w:p>
        </w:tc>
        <w:tc>
          <w:tcPr>
            <w:tcW w:w="1350" w:type="dxa"/>
            <w:shd w:val="clear" w:color="auto" w:fill="FFFFFF"/>
            <w:vAlign w:val="center"/>
          </w:tcPr>
          <w:p>
            <w:pPr>
              <w:spacing w:before="45" w:after="45"/>
            </w:pPr>
            <w:r>
              <w:t xml:space="preserve">Nyitott</w:t>
            </w:r>
          </w:p>
        </w:tc>
        <w:tc>
          <w:tcPr>
            <w:tcW w:w="3630" w:type="dxa"/>
            <w:shd w:val="clear" w:color="auto" w:fill="FFFFFF"/>
            <w:vAlign w:val="center"/>
          </w:tcPr>
          <w:p>
            <w:pPr>
              <w:spacing w:before="45" w:after="45"/>
            </w:pPr>
            <w:r>
              <w:rPr>
                <w:sz w:val="17"/>
                <w:szCs w:val="17"/>
              </w:rPr>
              <w:t xml:space="preserve"/>
            </w:r>
          </w:p>
        </w:tc>
      </w:tr>
      <w:tr>
        <w:trPr>
          <w:cantSplit/>
        </w:trPr>
        <w:tc>
          <w:tcPr>
            <w:tcW w:w="1250" w:type="dxa"/>
            <w:shd w:val="clear" w:color="auto" w:fill="F7FAFC"/>
            <w:vAlign w:val="center"/>
          </w:tcPr>
          <w:p>
            <w:pPr>
              <w:spacing w:before="45" w:after="45"/>
            </w:pPr>
            <w:r>
              <w:t xml:space="preserve">Adatvédelmi jogász / DPO</w:t>
            </w:r>
          </w:p>
        </w:tc>
        <w:tc>
          <w:tcPr>
            <w:tcW w:w="1850" w:type="dxa"/>
            <w:shd w:val="clear" w:color="auto" w:fill="F7FAFC"/>
            <w:vAlign w:val="center"/>
          </w:tcPr>
          <w:p>
            <w:pPr>
              <w:spacing w:before="45" w:after="45"/>
            </w:pPr>
            <w:r>
              <w:rPr>
                <w:sz w:val="17"/>
                <w:szCs w:val="17"/>
              </w:rPr>
              <w:t xml:space="preserve"/>
            </w:r>
          </w:p>
        </w:tc>
        <w:tc>
          <w:tcPr>
            <w:tcW w:w="2100" w:type="dxa"/>
            <w:shd w:val="clear" w:color="auto" w:fill="F7FAFC"/>
            <w:vAlign w:val="center"/>
          </w:tcPr>
          <w:p>
            <w:pPr>
              <w:spacing w:before="45" w:after="45"/>
            </w:pPr>
            <w:r>
              <w:rPr>
                <w:sz w:val="17"/>
                <w:szCs w:val="17"/>
              </w:rPr>
              <w:t xml:space="preserve"/>
            </w:r>
          </w:p>
        </w:tc>
        <w:tc>
          <w:tcPr>
            <w:tcW w:w="1350" w:type="dxa"/>
            <w:shd w:val="clear" w:color="auto" w:fill="F7FAFC"/>
            <w:vAlign w:val="center"/>
          </w:tcPr>
          <w:p>
            <w:pPr>
              <w:spacing w:before="45" w:after="45"/>
            </w:pPr>
            <w:r>
              <w:t xml:space="preserve">Nyitott</w:t>
            </w:r>
          </w:p>
        </w:tc>
        <w:tc>
          <w:tcPr>
            <w:tcW w:w="3630" w:type="dxa"/>
            <w:shd w:val="clear" w:color="auto" w:fill="F7FAFC"/>
            <w:vAlign w:val="center"/>
          </w:tcPr>
          <w:p>
            <w:pPr>
              <w:spacing w:before="45" w:after="45"/>
            </w:pPr>
            <w:r>
              <w:rPr>
                <w:sz w:val="17"/>
                <w:szCs w:val="17"/>
              </w:rPr>
              <w:t xml:space="preserve"/>
            </w:r>
          </w:p>
        </w:tc>
      </w:tr>
      <w:tr>
        <w:trPr>
          <w:cantSplit/>
        </w:trPr>
        <w:tc>
          <w:tcPr>
            <w:tcW w:w="1250" w:type="dxa"/>
            <w:shd w:val="clear" w:color="auto" w:fill="FFFFFF"/>
            <w:vAlign w:val="center"/>
          </w:tcPr>
          <w:p>
            <w:pPr>
              <w:spacing w:before="45" w:after="45"/>
            </w:pPr>
            <w:r>
              <w:t xml:space="preserve">Biztonsági felelős</w:t>
            </w:r>
          </w:p>
        </w:tc>
        <w:tc>
          <w:tcPr>
            <w:tcW w:w="1850" w:type="dxa"/>
            <w:shd w:val="clear" w:color="auto" w:fill="FFFFFF"/>
            <w:vAlign w:val="center"/>
          </w:tcPr>
          <w:p>
            <w:pPr>
              <w:spacing w:before="45" w:after="45"/>
            </w:pPr>
            <w:r>
              <w:rPr>
                <w:sz w:val="17"/>
                <w:szCs w:val="17"/>
              </w:rPr>
              <w:t xml:space="preserve"/>
            </w:r>
          </w:p>
        </w:tc>
        <w:tc>
          <w:tcPr>
            <w:tcW w:w="2100" w:type="dxa"/>
            <w:shd w:val="clear" w:color="auto" w:fill="FFFFFF"/>
            <w:vAlign w:val="center"/>
          </w:tcPr>
          <w:p>
            <w:pPr>
              <w:spacing w:before="45" w:after="45"/>
            </w:pPr>
            <w:r>
              <w:rPr>
                <w:sz w:val="17"/>
                <w:szCs w:val="17"/>
              </w:rPr>
              <w:t xml:space="preserve"/>
            </w:r>
          </w:p>
        </w:tc>
        <w:tc>
          <w:tcPr>
            <w:tcW w:w="1350" w:type="dxa"/>
            <w:shd w:val="clear" w:color="auto" w:fill="FFFFFF"/>
            <w:vAlign w:val="center"/>
          </w:tcPr>
          <w:p>
            <w:pPr>
              <w:spacing w:before="45" w:after="45"/>
            </w:pPr>
            <w:r>
              <w:t xml:space="preserve">Nyitott</w:t>
            </w:r>
          </w:p>
        </w:tc>
        <w:tc>
          <w:tcPr>
            <w:tcW w:w="3630" w:type="dxa"/>
            <w:shd w:val="clear" w:color="auto" w:fill="FFFFFF"/>
            <w:vAlign w:val="center"/>
          </w:tcPr>
          <w:p>
            <w:pPr>
              <w:spacing w:before="45" w:after="45"/>
            </w:pPr>
            <w:r>
              <w:rPr>
                <w:sz w:val="17"/>
                <w:szCs w:val="17"/>
              </w:rPr>
              <w:t xml:space="preserve"/>
            </w:r>
          </w:p>
        </w:tc>
      </w:tr>
      <w:tr>
        <w:trPr>
          <w:cantSplit/>
        </w:trPr>
        <w:tc>
          <w:tcPr>
            <w:tcW w:w="1250" w:type="dxa"/>
            <w:shd w:val="clear" w:color="auto" w:fill="F7FAFC"/>
            <w:vAlign w:val="center"/>
          </w:tcPr>
          <w:p>
            <w:pPr>
              <w:spacing w:before="45" w:after="45"/>
            </w:pPr>
            <w:r>
              <w:t xml:space="preserve">Klinikai/tartalmi reviewer</w:t>
            </w:r>
          </w:p>
        </w:tc>
        <w:tc>
          <w:tcPr>
            <w:tcW w:w="1850" w:type="dxa"/>
            <w:shd w:val="clear" w:color="auto" w:fill="F7FAFC"/>
            <w:vAlign w:val="center"/>
          </w:tcPr>
          <w:p>
            <w:pPr>
              <w:spacing w:before="45" w:after="45"/>
            </w:pPr>
            <w:r>
              <w:rPr>
                <w:sz w:val="17"/>
                <w:szCs w:val="17"/>
              </w:rPr>
              <w:t xml:space="preserve"/>
            </w:r>
          </w:p>
        </w:tc>
        <w:tc>
          <w:tcPr>
            <w:tcW w:w="2100" w:type="dxa"/>
            <w:shd w:val="clear" w:color="auto" w:fill="F7FAFC"/>
            <w:vAlign w:val="center"/>
          </w:tcPr>
          <w:p>
            <w:pPr>
              <w:spacing w:before="45" w:after="45"/>
            </w:pPr>
            <w:r>
              <w:rPr>
                <w:sz w:val="17"/>
                <w:szCs w:val="17"/>
              </w:rPr>
              <w:t xml:space="preserve"/>
            </w:r>
          </w:p>
        </w:tc>
        <w:tc>
          <w:tcPr>
            <w:tcW w:w="1350" w:type="dxa"/>
            <w:shd w:val="clear" w:color="auto" w:fill="F7FAFC"/>
            <w:vAlign w:val="center"/>
          </w:tcPr>
          <w:p>
            <w:pPr>
              <w:spacing w:before="45" w:after="45"/>
            </w:pPr>
            <w:r>
              <w:t xml:space="preserve">Nyitott</w:t>
            </w:r>
          </w:p>
        </w:tc>
        <w:tc>
          <w:tcPr>
            <w:tcW w:w="3630" w:type="dxa"/>
            <w:shd w:val="clear" w:color="auto" w:fill="F7FAFC"/>
            <w:vAlign w:val="center"/>
          </w:tcPr>
          <w:p>
            <w:pPr>
              <w:spacing w:before="45" w:after="45"/>
            </w:pPr>
            <w:r>
              <w:rPr>
                <w:sz w:val="17"/>
                <w:szCs w:val="17"/>
              </w:rPr>
              <w:t xml:space="preserve"/>
            </w:r>
          </w:p>
        </w:tc>
      </w:tr>
      <w:tr>
        <w:trPr>
          <w:cantSplit/>
        </w:trPr>
        <w:tc>
          <w:tcPr>
            <w:tcW w:w="1250" w:type="dxa"/>
            <w:shd w:val="clear" w:color="auto" w:fill="FFFFFF"/>
            <w:vAlign w:val="center"/>
          </w:tcPr>
          <w:p>
            <w:pPr>
              <w:spacing w:before="45" w:after="45"/>
            </w:pPr>
            <w:r>
              <w:t xml:space="preserve">Termékfelelős</w:t>
            </w:r>
          </w:p>
        </w:tc>
        <w:tc>
          <w:tcPr>
            <w:tcW w:w="1850" w:type="dxa"/>
            <w:shd w:val="clear" w:color="auto" w:fill="FFFFFF"/>
            <w:vAlign w:val="center"/>
          </w:tcPr>
          <w:p>
            <w:pPr>
              <w:spacing w:before="45" w:after="45"/>
            </w:pPr>
            <w:r>
              <w:rPr>
                <w:sz w:val="17"/>
                <w:szCs w:val="17"/>
              </w:rPr>
              <w:t xml:space="preserve"/>
            </w:r>
          </w:p>
        </w:tc>
        <w:tc>
          <w:tcPr>
            <w:tcW w:w="2100" w:type="dxa"/>
            <w:shd w:val="clear" w:color="auto" w:fill="FFFFFF"/>
            <w:vAlign w:val="center"/>
          </w:tcPr>
          <w:p>
            <w:pPr>
              <w:spacing w:before="45" w:after="45"/>
            </w:pPr>
            <w:r>
              <w:rPr>
                <w:sz w:val="17"/>
                <w:szCs w:val="17"/>
              </w:rPr>
              <w:t xml:space="preserve"/>
            </w:r>
          </w:p>
        </w:tc>
        <w:tc>
          <w:tcPr>
            <w:tcW w:w="1350" w:type="dxa"/>
            <w:shd w:val="clear" w:color="auto" w:fill="FFFFFF"/>
            <w:vAlign w:val="center"/>
          </w:tcPr>
          <w:p>
            <w:pPr>
              <w:spacing w:before="45" w:after="45"/>
            </w:pPr>
            <w:r>
              <w:t xml:space="preserve">Nyitott</w:t>
            </w:r>
          </w:p>
        </w:tc>
        <w:tc>
          <w:tcPr>
            <w:tcW w:w="3630" w:type="dxa"/>
            <w:shd w:val="clear" w:color="auto" w:fill="FFFFFF"/>
            <w:vAlign w:val="center"/>
          </w:tcPr>
          <w:p>
            <w:pPr>
              <w:spacing w:before="45" w:after="45"/>
            </w:pPr>
            <w:r>
              <w:rPr>
                <w:sz w:val="17"/>
                <w:szCs w:val="17"/>
              </w:rPr>
              <w:t xml:space="preserve"/>
            </w:r>
          </w:p>
        </w:tc>
      </w:tr>
    </w:tbl>
    <w:p>
      <w:pPr>
        <w:spacing w:after="100"/>
      </w:pPr>
    </w:p>
    <w:p>
      <w:pPr>
        <w:pStyle w:val="BodyText"/>
        <w:spacing w:before="0" w:after="110"/>
      </w:pPr>
      <w:r>
        <w:t xml:space="preserve">Üres sor nem minősül jóváhagyásnak.</w:t>
      </w:r>
    </w:p>
    <w:p>
      <w:pPr>
        <w:pStyle w:val="Heading3"/>
        <w:spacing w:before="210" w:after="100"/>
        <w:keepNext/>
      </w:pPr>
      <w:r>
        <w:t xml:space="preserve">17.1 A bizonyítékok és a független validáció határa</w:t>
      </w:r>
    </w:p>
    <w:p>
      <w:pPr>
        <w:pStyle w:val="BodyText"/>
        <w:spacing w:before="0" w:after="110"/>
      </w:pPr>
      <w:r>
        <w:t xml:space="preserve">A kódbázis, az automatikus ellenőrzések, a migrációs előzmények és a generált bizonyítékjegyzékek igazolhatják, hogy egy kontroll a leírt módon implementálva van. Nem tanúsíthatják függetlenül a jogi megfelelést, a klinikai érvényességet, az akadálymentességet, az éles szolgáltatói fiókbeállításokat, a szerződéses lefedettséget vagy a külső támadóval szembeni ellenállást. Ezek addig nyitott tételek, amíg az </w:t>
      </w:r>
      <w:r>
        <w:rPr>
          <w:rFonts w:ascii="Consolas" w:hAnsi="Consolas"/>
          <w:shd w:val="clear" w:color="auto" w:fill="E9EEF3"/>
          <w:sz w:val="18"/>
          <w:szCs w:val="18"/>
        </w:rPr>
        <w:t xml:space="preserve">INDEPENDENT_VALIDATION_PLAN.md</w:t>
      </w:r>
      <w:r>
        <w:t xml:space="preserve"> szerinti illetékes független reviewer aláírt bizonyítéka nem kerül a </w:t>
      </w:r>
      <w:r>
        <w:rPr>
          <w:rFonts w:ascii="Consolas" w:hAnsi="Consolas"/>
          <w:shd w:val="clear" w:color="auto" w:fill="E9EEF3"/>
          <w:sz w:val="18"/>
          <w:szCs w:val="18"/>
        </w:rPr>
        <w:t xml:space="preserve">LEGAL_REMEDIATION_AND_VALIDATION_REGISTER.md</w:t>
      </w:r>
      <w:r>
        <w:t xml:space="preserve"> nyilvántartásba. A jogi szövegek anyanyelvi ellenőrzését a </w:t>
      </w:r>
      <w:r>
        <w:rPr>
          <w:rFonts w:ascii="Consolas" w:hAnsi="Consolas"/>
          <w:shd w:val="clear" w:color="auto" w:fill="E9EEF3"/>
          <w:sz w:val="18"/>
          <w:szCs w:val="18"/>
        </w:rPr>
        <w:t xml:space="preserve">LEGAL_TRANSLATION_VALIDATION_REGISTER.md</w:t>
      </w:r>
      <w:r>
        <w:t xml:space="preserve">, az érintetti kérelmek azonosítási és működési folyamatát pedig a </w:t>
      </w:r>
      <w:r>
        <w:rPr>
          <w:rFonts w:ascii="Consolas" w:hAnsi="Consolas"/>
          <w:shd w:val="clear" w:color="auto" w:fill="E9EEF3"/>
          <w:sz w:val="18"/>
          <w:szCs w:val="18"/>
        </w:rPr>
        <w:t xml:space="preserve">DATA_SUBJECT_RIGHTS_RUNBOOK.md</w:t>
      </w:r>
      <w:r>
        <w:t xml:space="preserve"> követi.</w:t>
      </w:r>
    </w:p>
    <w:p>
      <w:pPr>
        <w:pStyle w:val="BodyText"/>
        <w:spacing w:before="0" w:after="110"/>
      </w:pPr>
      <w:r>
        <w:t xml:space="preserve">Pusztán e munkapéldány vagy az automatikus audit sikeressége alapján nem jeleníthető meg „GDPR-megfelelő”, „klinikailag validált”, „orvosilag jóváhagyott”, „biztonságos/tanúsított” vagy ezekkel egyenértékű nyilvános jelvény vagy állítás.</w:t>
      </w:r>
    </w:p>
    <w:p>
      <w:pPr>
        <w:pStyle w:val="Heading1"/>
        <w:spacing w:before="260" w:after="150"/>
        <w:keepNext/>
      </w:pPr>
      <w:r>
        <w:t xml:space="preserve">18. Melléklet A - Szolgáltatói átvilágítási és bizonyítékjegyzék</w:t>
      </w:r>
    </w:p>
    <w:p>
      <w:pPr>
        <w:pStyle w:val="BodyText"/>
        <w:spacing w:before="0" w:after="110"/>
      </w:pPr>
      <w:r>
        <w:rPr>
          <w:b/>
        </w:rPr>
        <w:t xml:space="preserve">Vizsgálat dátuma:</w:t>
      </w:r>
      <w:r>
        <w:t xml:space="preserve"> 2026-07-26 </w:t>
      </w:r>
      <w:r>
        <w:rPr>
          <w:b/>
        </w:rPr>
        <w:t xml:space="preserve">Bizonyítéki státusz:</w:t>
      </w:r>
      <w:r>
        <w:t xml:space="preserve"> nyilvános szolgáltatói dokumentumokból készített mérnöki és adatvédelmi munkapapír; nem szerződéses jóváhagyás és nem jogi tanúsítás.</w:t>
      </w:r>
    </w:p>
    <w:p>
      <w:pPr>
        <w:pStyle w:val="BodyText"/>
        <w:spacing w:before="0" w:after="110"/>
      </w:pPr>
      <w:r>
        <w:t xml:space="preserve">A vizsgálat a tényleges kódbeli adatáramlást vetette össze a szolgáltatók hivatalos DPA-, adatkezelési, biztonsági, al-adatfeldolgozói, transzfer- és termékdokumentumaival. A nyilvános ígéret csak azt igazolja, hogy a szolgáltató mit tesz közzé. Nem igazolja, hogy a NeuroMap Kids megfelelő jogi személlyel szerződött, elfogadta a DPA-t, a vizsgált régiót és megőrzést használja, vagy a szolgáltató kifejezetten engedélyezi a gyermekhez köthető egészségi jellegű következtetések szándékos beküldését.</w:t>
      </w:r>
    </w:p>
    <w:p>
      <w:pPr>
        <w:pStyle w:val="Heading3"/>
        <w:spacing w:before="210" w:after="100"/>
        <w:keepNext/>
      </w:pPr>
      <w:r>
        <w:t xml:space="preserve">18.1 Összefoglaló döntési mátrix</w:t>
      </w:r>
    </w:p>
    <w:tbl>
      <w:tblPr>
        <w:tblW w:w="10180" w:type="dxa"/>
        <w:tblLayout w:type="fixed"/>
        <w:tblBorders>
          <w:top w:val="single" w:sz="4" w:color="C9DCE8"/>
          <w:left w:val="single" w:sz="4" w:color="C9DCE8"/>
          <w:bottom w:val="single" w:sz="4" w:color="C9DCE8"/>
          <w:right w:val="single" w:sz="4" w:color="C9DCE8"/>
          <w:insideH w:val="single" w:sz="4" w:color="C9DCE8"/>
          <w:insideV w:val="single" w:sz="4" w:color="C9DCE8"/>
        </w:tblBorders>
        <w:tblCellMar>
          <w:top w:w="90" w:type="dxa"/>
          <w:left w:w="110" w:type="dxa"/>
          <w:bottom w:w="90" w:type="dxa"/>
          <w:right w:w="110" w:type="dxa"/>
        </w:tblCellMar>
      </w:tblPr>
      <w:tblGrid>
        <w:gridCol w:w="1800"/>
        <w:gridCol w:w="1700"/>
        <w:gridCol w:w="1500"/>
        <w:gridCol w:w="5180"/>
      </w:tblGrid>
      <w:tr>
        <w:trPr>
          <w:cantSplit/>
          <w:tblHeader/>
        </w:trPr>
        <w:tc>
          <w:tcPr>
            <w:tcW w:w="1800" w:type="dxa"/>
            <w:shd w:val="clear" w:color="auto" w:fill="075985"/>
            <w:vAlign w:val="center"/>
          </w:tcPr>
          <w:p>
            <w:pPr>
              <w:spacing w:before="45" w:after="45"/>
            </w:pPr>
            <w:r>
              <w:rPr>
                <w:b/>
                <w:color w:val="FFFFFF"/>
                <w:sz w:val="17"/>
                <w:szCs w:val="17"/>
              </w:rPr>
              <w:t xml:space="preserve">Szolgáltató</w:t>
            </w:r>
          </w:p>
        </w:tc>
        <w:tc>
          <w:tcPr>
            <w:tcW w:w="1700" w:type="dxa"/>
            <w:shd w:val="clear" w:color="auto" w:fill="075985"/>
            <w:vAlign w:val="center"/>
          </w:tcPr>
          <w:p>
            <w:pPr>
              <w:spacing w:before="45" w:after="45"/>
            </w:pPr>
            <w:r>
              <w:rPr>
                <w:b/>
                <w:color w:val="FFFFFF"/>
                <w:sz w:val="17"/>
                <w:szCs w:val="17"/>
              </w:rPr>
              <w:t xml:space="preserve">Tényleges adatkitettség</w:t>
            </w:r>
          </w:p>
        </w:tc>
        <w:tc>
          <w:tcPr>
            <w:tcW w:w="1500" w:type="dxa"/>
            <w:shd w:val="clear" w:color="auto" w:fill="075985"/>
            <w:vAlign w:val="center"/>
          </w:tcPr>
          <w:p>
            <w:pPr>
              <w:spacing w:before="45" w:after="45"/>
            </w:pPr>
            <w:r>
              <w:rPr>
                <w:b/>
                <w:color w:val="FFFFFF"/>
                <w:sz w:val="17"/>
                <w:szCs w:val="17"/>
              </w:rPr>
              <w:t xml:space="preserve">Nyilvános bizonyíték alapján megállapítható</w:t>
            </w:r>
          </w:p>
        </w:tc>
        <w:tc>
          <w:tcPr>
            <w:tcW w:w="5180" w:type="dxa"/>
            <w:shd w:val="clear" w:color="auto" w:fill="075985"/>
            <w:vAlign w:val="center"/>
          </w:tcPr>
          <w:p>
            <w:pPr>
              <w:spacing w:before="45" w:after="45"/>
            </w:pPr>
            <w:r>
              <w:rPr>
                <w:b/>
                <w:color w:val="FFFFFF"/>
                <w:sz w:val="17"/>
                <w:szCs w:val="17"/>
              </w:rPr>
              <w:t xml:space="preserve">DPIA-döntés / nyitott feltétel</w:t>
            </w:r>
          </w:p>
        </w:tc>
      </w:tr>
      <w:tr>
        <w:trPr>
          <w:cantSplit/>
        </w:trPr>
        <w:tc>
          <w:tcPr>
            <w:tcW w:w="1800" w:type="dxa"/>
            <w:shd w:val="clear" w:color="auto" w:fill="FFFFFF"/>
            <w:vAlign w:val="center"/>
          </w:tcPr>
          <w:p>
            <w:pPr>
              <w:spacing w:before="45" w:after="45"/>
            </w:pPr>
            <w:r>
              <w:t xml:space="preserve">Railway</w:t>
            </w:r>
          </w:p>
        </w:tc>
        <w:tc>
          <w:tcPr>
            <w:tcW w:w="1700" w:type="dxa"/>
            <w:shd w:val="clear" w:color="auto" w:fill="FFFFFF"/>
            <w:vAlign w:val="center"/>
          </w:tcPr>
          <w:p>
            <w:pPr>
              <w:spacing w:before="45" w:after="45"/>
            </w:pPr>
            <w:r>
              <w:t xml:space="preserve">teljes session, felnőtt kapcsolati adat, kérdőívválaszok, gyermekhez kapcsolódó megfigyelések és következtetések, riport, hozzájárulás, napló</w:t>
            </w:r>
          </w:p>
        </w:tc>
        <w:tc>
          <w:tcPr>
            <w:tcW w:w="1500" w:type="dxa"/>
            <w:shd w:val="clear" w:color="auto" w:fill="FFFFFF"/>
            <w:vAlign w:val="center"/>
          </w:tcPr>
          <w:p>
            <w:pPr>
              <w:spacing w:before="45" w:after="45"/>
            </w:pPr>
            <w:r>
              <w:t xml:space="preserve">DPA, SCC/UK transzfermechanizmusok és részletes biztonsági kontrollok elérhetők</w:t>
            </w:r>
          </w:p>
        </w:tc>
        <w:tc>
          <w:tcPr>
            <w:tcW w:w="5180" w:type="dxa"/>
            <w:shd w:val="clear" w:color="auto" w:fill="FFFFFF"/>
            <w:vAlign w:val="center"/>
          </w:tcPr>
          <w:p>
            <w:pPr>
              <w:spacing w:before="45" w:after="45"/>
            </w:pPr>
            <w:r>
              <w:rPr>
                <w:b/>
                <w:sz w:val="17"/>
                <w:szCs w:val="17"/>
              </w:rPr>
              <w:t xml:space="preserve">Indítási akadály:</w:t>
            </w:r>
            <w:r>
              <w:t xml:space="preserve"> a standard adatkezelési melléklet szerint nincs szándékolt érzékeny/különleges adat; írásos eltérés vagy új architektúra kell</w:t>
            </w:r>
          </w:p>
        </w:tc>
      </w:tr>
      <w:tr>
        <w:trPr>
          <w:cantSplit/>
        </w:trPr>
        <w:tc>
          <w:tcPr>
            <w:tcW w:w="1800" w:type="dxa"/>
            <w:shd w:val="clear" w:color="auto" w:fill="F7FAFC"/>
            <w:vAlign w:val="center"/>
          </w:tcPr>
          <w:p>
            <w:pPr>
              <w:spacing w:before="45" w:after="45"/>
            </w:pPr>
            <w:r>
              <w:t xml:space="preserve">OpenAI API</w:t>
            </w:r>
          </w:p>
        </w:tc>
        <w:tc>
          <w:tcPr>
            <w:tcW w:w="1700" w:type="dxa"/>
            <w:shd w:val="clear" w:color="auto" w:fill="F7FAFC"/>
            <w:vAlign w:val="center"/>
          </w:tcPr>
          <w:p>
            <w:pPr>
              <w:spacing w:before="45" w:after="45"/>
            </w:pPr>
            <w:r>
              <w:t xml:space="preserve">kérdések/válaszok, fókuszok, pontozás, profil, korosztályi kontextus és riportutasítás</w:t>
            </w:r>
          </w:p>
        </w:tc>
        <w:tc>
          <w:tcPr>
            <w:tcW w:w="1500" w:type="dxa"/>
            <w:shd w:val="clear" w:color="auto" w:fill="F7FAFC"/>
            <w:vAlign w:val="center"/>
          </w:tcPr>
          <w:p>
            <w:pPr>
              <w:spacing w:before="45" w:after="45"/>
            </w:pPr>
            <w:r>
              <w:t xml:space="preserve">API-adat alapértelmezetten nem tréningadat; DPA, SCC, al-adatfeldolgozók és adatkontrollok dokumentáltak</w:t>
            </w:r>
          </w:p>
        </w:tc>
        <w:tc>
          <w:tcPr>
            <w:tcW w:w="5180" w:type="dxa"/>
            <w:shd w:val="clear" w:color="auto" w:fill="F7FAFC"/>
            <w:vAlign w:val="center"/>
          </w:tcPr>
          <w:p>
            <w:pPr>
              <w:spacing w:before="45" w:after="45"/>
            </w:pPr>
            <w:r>
              <w:rPr>
                <w:b/>
                <w:sz w:val="17"/>
                <w:szCs w:val="17"/>
              </w:rPr>
              <w:t xml:space="preserve">Indítási akadály:</w:t>
            </w:r>
            <w:r>
              <w:t xml:space="preserve"> a standard DPA-adatleírás nincs összhangban a szándékos egészségi jellegű adattal; retention/régió/fiók bizonyíték hiányzik</w:t>
            </w:r>
          </w:p>
        </w:tc>
      </w:tr>
      <w:tr>
        <w:trPr>
          <w:cantSplit/>
        </w:trPr>
        <w:tc>
          <w:tcPr>
            <w:tcW w:w="1800" w:type="dxa"/>
            <w:shd w:val="clear" w:color="auto" w:fill="FFFFFF"/>
            <w:vAlign w:val="center"/>
          </w:tcPr>
          <w:p>
            <w:pPr>
              <w:spacing w:before="45" w:after="45"/>
            </w:pPr>
            <w:r>
              <w:t xml:space="preserve">Resend</w:t>
            </w:r>
          </w:p>
        </w:tc>
        <w:tc>
          <w:tcPr>
            <w:tcW w:w="1700" w:type="dxa"/>
            <w:shd w:val="clear" w:color="auto" w:fill="FFFFFF"/>
            <w:vAlign w:val="center"/>
          </w:tcPr>
          <w:p>
            <w:pPr>
              <w:spacing w:before="45" w:after="45"/>
            </w:pPr>
            <w:r>
              <w:t xml:space="preserve">felnőtt email, lokalizált levél, gyermekhez kapcsolódó következtetéseket tartalmazó PDF, delivery metaadat</w:t>
            </w:r>
          </w:p>
        </w:tc>
        <w:tc>
          <w:tcPr>
            <w:tcW w:w="1500" w:type="dxa"/>
            <w:shd w:val="clear" w:color="auto" w:fill="FFFFFF"/>
            <w:vAlign w:val="center"/>
          </w:tcPr>
          <w:p>
            <w:pPr>
              <w:spacing w:before="45" w:after="45"/>
            </w:pPr>
            <w:r>
              <w:t xml:space="preserve">DPA, SCC, biztonsági és al-adatfeldolgozói anyagok elérhetők</w:t>
            </w:r>
          </w:p>
        </w:tc>
        <w:tc>
          <w:tcPr>
            <w:tcW w:w="5180" w:type="dxa"/>
            <w:shd w:val="clear" w:color="auto" w:fill="FFFFFF"/>
            <w:vAlign w:val="center"/>
          </w:tcPr>
          <w:p>
            <w:pPr>
              <w:spacing w:before="45" w:after="45"/>
            </w:pPr>
            <w:r>
              <w:rPr>
                <w:b/>
                <w:sz w:val="17"/>
                <w:szCs w:val="17"/>
              </w:rPr>
              <w:t xml:space="preserve">Magas kockázatú rés:</w:t>
            </w:r>
            <w:r>
              <w:t xml:space="preserve"> érzékeny PDF-melléklet szerződéses alkalmasságát írásban igazolni kell, vagy biztonságos letöltési linkre kell váltani</w:t>
            </w:r>
          </w:p>
        </w:tc>
      </w:tr>
      <w:tr>
        <w:trPr>
          <w:cantSplit/>
        </w:trPr>
        <w:tc>
          <w:tcPr>
            <w:tcW w:w="1800" w:type="dxa"/>
            <w:shd w:val="clear" w:color="auto" w:fill="F7FAFC"/>
            <w:vAlign w:val="center"/>
          </w:tcPr>
          <w:p>
            <w:pPr>
              <w:spacing w:before="45" w:after="45"/>
            </w:pPr>
            <w:r>
              <w:t xml:space="preserve">Stripe</w:t>
            </w:r>
          </w:p>
        </w:tc>
        <w:tc>
          <w:tcPr>
            <w:tcW w:w="1700" w:type="dxa"/>
            <w:shd w:val="clear" w:color="auto" w:fill="F7FAFC"/>
            <w:vAlign w:val="center"/>
          </w:tcPr>
          <w:p>
            <w:pPr>
              <w:spacing w:before="45" w:after="45"/>
            </w:pPr>
            <w:r>
              <w:t xml:space="preserve">felnőtt email/számlázási/fizetési adat, csomag, összeg, pénznem, nyelv, belső referencia</w:t>
            </w:r>
          </w:p>
        </w:tc>
        <w:tc>
          <w:tcPr>
            <w:tcW w:w="1500" w:type="dxa"/>
            <w:shd w:val="clear" w:color="auto" w:fill="F7FAFC"/>
            <w:vAlign w:val="center"/>
          </w:tcPr>
          <w:p>
            <w:pPr>
              <w:spacing w:before="45" w:after="45"/>
            </w:pPr>
            <w:r>
              <w:t xml:space="preserve">DPA, szerepkör- és transfermagyarázat, al-adatfeldolgozói kontrollok elérhetők</w:t>
            </w:r>
          </w:p>
        </w:tc>
        <w:tc>
          <w:tcPr>
            <w:tcW w:w="5180" w:type="dxa"/>
            <w:shd w:val="clear" w:color="auto" w:fill="F7FAFC"/>
            <w:vAlign w:val="center"/>
          </w:tcPr>
          <w:p>
            <w:pPr>
              <w:spacing w:before="45" w:after="45"/>
            </w:pPr>
            <w:r>
              <w:t xml:space="preserve">Feltételesen elfogadható; kérdőív- vagy riporteremény nem kerülhet Stripe-hoz; fiókbizonyíték kell</w:t>
            </w:r>
          </w:p>
        </w:tc>
      </w:tr>
      <w:tr>
        <w:trPr>
          <w:cantSplit/>
        </w:trPr>
        <w:tc>
          <w:tcPr>
            <w:tcW w:w="1800" w:type="dxa"/>
            <w:shd w:val="clear" w:color="auto" w:fill="FFFFFF"/>
            <w:vAlign w:val="center"/>
          </w:tcPr>
          <w:p>
            <w:pPr>
              <w:spacing w:before="45" w:after="45"/>
            </w:pPr>
            <w:r>
              <w:t xml:space="preserve">Számlázz.hu</w:t>
            </w:r>
          </w:p>
        </w:tc>
        <w:tc>
          <w:tcPr>
            <w:tcW w:w="1700" w:type="dxa"/>
            <w:shd w:val="clear" w:color="auto" w:fill="FFFFFF"/>
            <w:vAlign w:val="center"/>
          </w:tcPr>
          <w:p>
            <w:pPr>
              <w:spacing w:before="45" w:after="45"/>
            </w:pPr>
            <w:r>
              <w:t xml:space="preserve">felnőtt számlázási adatok, összeg/pénznem, termékleírás és tranzakciós referenciák</w:t>
            </w:r>
          </w:p>
        </w:tc>
        <w:tc>
          <w:tcPr>
            <w:tcW w:w="1500" w:type="dxa"/>
            <w:shd w:val="clear" w:color="auto" w:fill="FFFFFF"/>
            <w:vAlign w:val="center"/>
          </w:tcPr>
          <w:p>
            <w:pPr>
              <w:spacing w:before="45" w:after="45"/>
            </w:pPr>
            <w:r>
              <w:t xml:space="preserve">adatvédelmi tájékoztató, ÁSZF és Számla Agent dokumentáció elérhető</w:t>
            </w:r>
          </w:p>
        </w:tc>
        <w:tc>
          <w:tcPr>
            <w:tcW w:w="5180" w:type="dxa"/>
            <w:shd w:val="clear" w:color="auto" w:fill="FFFFFF"/>
            <w:vAlign w:val="center"/>
          </w:tcPr>
          <w:p>
            <w:pPr>
              <w:spacing w:before="45" w:after="45"/>
            </w:pPr>
            <w:r>
              <w:t xml:space="preserve">Feltételesen elfogadható; pontos szerepkör, szerződés, retention és payload bizonyítandó</w:t>
            </w:r>
          </w:p>
        </w:tc>
      </w:tr>
      <w:tr>
        <w:trPr>
          <w:cantSplit/>
        </w:trPr>
        <w:tc>
          <w:tcPr>
            <w:tcW w:w="1800" w:type="dxa"/>
            <w:shd w:val="clear" w:color="auto" w:fill="F7FAFC"/>
            <w:vAlign w:val="center"/>
          </w:tcPr>
          <w:p>
            <w:pPr>
              <w:spacing w:before="45" w:after="45"/>
            </w:pPr>
            <w:r>
              <w:t xml:space="preserve">Webflow</w:t>
            </w:r>
          </w:p>
        </w:tc>
        <w:tc>
          <w:tcPr>
            <w:tcW w:w="1700" w:type="dxa"/>
            <w:shd w:val="clear" w:color="auto" w:fill="F7FAFC"/>
            <w:vAlign w:val="center"/>
          </w:tcPr>
          <w:p>
            <w:pPr>
              <w:spacing w:before="45" w:after="45"/>
            </w:pPr>
            <w:r>
              <w:t xml:space="preserve">szándék szerint csak frontend-oldalkérés, consent és nem érzékeny telemetry; a kérdőív közvetlenül Railway felé megy</w:t>
            </w:r>
          </w:p>
        </w:tc>
        <w:tc>
          <w:tcPr>
            <w:tcW w:w="1500" w:type="dxa"/>
            <w:shd w:val="clear" w:color="auto" w:fill="F7FAFC"/>
            <w:vAlign w:val="center"/>
          </w:tcPr>
          <w:p>
            <w:pPr>
              <w:spacing w:before="45" w:after="45"/>
            </w:pPr>
            <w:r>
              <w:t xml:space="preserve">DPA, privacy FAQ, security és al-adatfeldolgozói lista elérhető</w:t>
            </w:r>
          </w:p>
        </w:tc>
        <w:tc>
          <w:tcPr>
            <w:tcW w:w="5180" w:type="dxa"/>
            <w:shd w:val="clear" w:color="auto" w:fill="F7FAFC"/>
            <w:vAlign w:val="center"/>
          </w:tcPr>
          <w:p>
            <w:pPr>
              <w:spacing w:before="45" w:after="45"/>
            </w:pPr>
            <w:r>
              <w:t xml:space="preserve">Feltételesen elfogadható; network capture-rel és beállításexporttal bizonyítani kell, hogy Forms/Analytics/embed nem kap érzékeny payloadot</w:t>
            </w:r>
          </w:p>
        </w:tc>
      </w:tr>
    </w:tbl>
    <w:p>
      <w:pPr>
        <w:spacing w:after="100"/>
      </w:pPr>
    </w:p>
    <w:p>
      <w:pPr>
        <w:pStyle w:val="Heading3"/>
        <w:spacing w:before="210" w:after="100"/>
        <w:keepNext/>
      </w:pPr>
      <w:r>
        <w:t xml:space="preserve">18.2 Railway</w:t>
      </w:r>
    </w:p>
    <w:p>
      <w:pPr>
        <w:pStyle w:val="BodyText"/>
        <w:spacing w:before="0" w:after="110"/>
      </w:pPr>
      <w:r>
        <w:rPr>
          <w:b/>
        </w:rPr>
        <w:t xml:space="preserve">Hivatalos forrás:</w:t>
      </w:r>
      <w:r>
        <w:t xml:space="preserve"> https://railway.com/legal/dpa</w:t>
      </w:r>
    </w:p>
    <w:p>
      <w:pPr>
        <w:pStyle w:val="BodyText"/>
        <w:spacing w:before="0" w:after="110"/>
      </w:pPr>
      <w:r>
        <w:t xml:space="preserve">A nyilvános DPA adatfeldolgozói kötelezettségeket, al-adatfeldolgozói értesítést, SCC/UK transzfergaranciákat és technikai-szervezési intézkedéseket ír le. A biztonsági melléklet logikai elkülönítést, átvitel és tárolás közbeni titkosítást, hozzáférés-kezelést, naplózást, incidenskezelést, üzletmenet-folytonosságot és backup kontrollokat ismertet. Ugyanakkor a standard adatleírás szerint érzékeny vagy különleges kategóriájú adat szándékos kezelése nincs megjelölve.</w:t>
      </w:r>
    </w:p>
    <w:p>
      <w:pPr>
        <w:pStyle w:val="BodyText"/>
        <w:spacing w:before="0" w:after="110"/>
      </w:pPr>
      <w:r>
        <w:t xml:space="preserve">Ez lényeges eltérés, mert a Railway a teljes adatbázist és feldolgozási láncot futtatja. A DPIA nem hagyható jóvá addig, amíg nincs végrehajtott DPA és írásos szolgáltatói/szerződéses megerősítés a tényleges adatkategóriákra és érintettekre, vagy az érzékeny adat nincs megfelelően jóváhagyott infrastruktúrára áthelyezve.</w:t>
      </w:r>
    </w:p>
    <w:p>
      <w:pPr>
        <w:pStyle w:val="Heading3"/>
        <w:spacing w:before="210" w:after="100"/>
        <w:keepNext/>
      </w:pPr>
      <w:r>
        <w:t xml:space="preserve">18.3 OpenAI API</w:t>
      </w:r>
    </w:p>
    <w:p>
      <w:pPr>
        <w:pStyle w:val="BodyText"/>
        <w:spacing w:before="0" w:after="110"/>
      </w:pPr>
      <w:r>
        <w:rPr>
          <w:b/>
        </w:rPr>
        <w:t xml:space="preserve">Hivatalos források:</w:t>
      </w:r>
    </w:p>
    <w:p>
      <w:pPr>
        <w:pStyle w:val="ListParagraph"/>
        <w:spacing w:before="0" w:after="55"/>
        <w:keepLines/>
        <w:ind w:left="480" w:hanging="240"/>
        <w:numPr>
          <w:ilvl w:val="0"/>
          <w:numId w:val="1"/>
        </w:numPr>
      </w:pPr>
      <w:r>
        <w:t xml:space="preserve">DPA: https://cdn.openai.com/pdf/openai-data-processing-addendum.pdf</w:t>
      </w:r>
    </w:p>
    <w:p>
      <w:pPr>
        <w:pStyle w:val="ListParagraph"/>
        <w:spacing w:before="0" w:after="55"/>
        <w:keepLines/>
        <w:ind w:left="480" w:hanging="240"/>
        <w:numPr>
          <w:ilvl w:val="0"/>
          <w:numId w:val="1"/>
        </w:numPr>
      </w:pPr>
      <w:r>
        <w:t xml:space="preserve">API-adatkontrollok: https://developers.openai.com/api/docs/guides/your-data</w:t>
      </w:r>
    </w:p>
    <w:p>
      <w:pPr>
        <w:pStyle w:val="ListParagraph"/>
        <w:spacing w:before="0" w:after="55"/>
        <w:keepLines/>
        <w:ind w:left="480" w:hanging="240"/>
        <w:numPr>
          <w:ilvl w:val="0"/>
          <w:numId w:val="1"/>
        </w:numPr>
      </w:pPr>
      <w:r>
        <w:t xml:space="preserve">al-adatfeldolgozók: https://openai.com/policies/sub-processor-list/</w:t>
      </w:r>
    </w:p>
    <w:p>
      <w:pPr>
        <w:pStyle w:val="ListParagraph"/>
        <w:spacing w:before="0" w:after="55"/>
        <w:keepLines/>
        <w:ind w:left="480" w:hanging="240"/>
        <w:numPr>
          <w:ilvl w:val="0"/>
          <w:numId w:val="1"/>
        </w:numPr>
      </w:pPr>
      <w:r>
        <w:t xml:space="preserve">biztonsági bizonyítékok: https://trust.openai.com/</w:t>
      </w:r>
    </w:p>
    <w:p>
      <w:pPr>
        <w:pStyle w:val="BodyText"/>
        <w:spacing w:before="0" w:after="110"/>
      </w:pPr>
      <w:r>
        <w:t xml:space="preserve">Az OpenAI DPA 28. cikk szerinti adatfeldolgozói kötelezettségeket, titoktartást, érintetti jogi támogatást, biztonságot, incidensértesítést, auditot, al-adatfeldolgozókat és SCC/UK mechanizmusokat rögzít. Az API-adatkezelési útmutató szerint az API-adatok alapértelmezetten nem használatosak modelltréningre, kivéve opt-in esetén. A dokumentáció ugyanakkor külön kezeli az abuse-monitoring megőrzést, az endpoint alkalmazásállapotát, a </w:t>
      </w:r>
      <w:r>
        <w:rPr>
          <w:rFonts w:ascii="Consolas" w:hAnsi="Consolas"/>
          <w:shd w:val="clear" w:color="auto" w:fill="E9EEF3"/>
          <w:sz w:val="18"/>
          <w:szCs w:val="18"/>
        </w:rPr>
        <w:t xml:space="preserve">store: false</w:t>
      </w:r>
      <w:r>
        <w:t xml:space="preserve">, a Zero Data Retention és a regionális lehetőségeket.</w:t>
      </w:r>
    </w:p>
    <w:p>
      <w:pPr>
        <w:pStyle w:val="BodyText"/>
        <w:spacing w:before="0" w:after="110"/>
      </w:pPr>
      <w:r>
        <w:t xml:space="preserve">A no-training állítás nem jelent automatikusan nulla megőrzést és nem bizonyítja a konkrét projekt beállítását. A production prompt gyermekhez kapcsolódó, potenciálisan 9. cikk szerinti adatot tartalmaz. A standard DPA-adatleírás és ez a szándékolt felhasználás közötti eltérést írásban/szerződésben kell rendezni, és csatolni kell a konkrét projekt regionális, retention, data-sharing/training és </w:t>
      </w:r>
      <w:r>
        <w:rPr>
          <w:rFonts w:ascii="Consolas" w:hAnsi="Consolas"/>
          <w:shd w:val="clear" w:color="auto" w:fill="E9EEF3"/>
          <w:sz w:val="18"/>
          <w:szCs w:val="18"/>
        </w:rPr>
        <w:t xml:space="preserve">store</w:t>
      </w:r>
      <w:r>
        <w:t xml:space="preserve"> bizonyítékát.</w:t>
      </w:r>
    </w:p>
    <w:p>
      <w:pPr>
        <w:pStyle w:val="Heading3"/>
        <w:spacing w:before="210" w:after="100"/>
        <w:keepNext/>
      </w:pPr>
      <w:r>
        <w:t xml:space="preserve">18.4 Resend</w:t>
      </w:r>
    </w:p>
    <w:p>
      <w:pPr>
        <w:pStyle w:val="BodyText"/>
        <w:spacing w:before="0" w:after="110"/>
      </w:pPr>
      <w:r>
        <w:rPr>
          <w:b/>
        </w:rPr>
        <w:t xml:space="preserve">Hivatalos források:</w:t>
      </w:r>
    </w:p>
    <w:p>
      <w:pPr>
        <w:pStyle w:val="ListParagraph"/>
        <w:spacing w:before="0" w:after="55"/>
        <w:keepLines/>
        <w:ind w:left="480" w:hanging="240"/>
        <w:numPr>
          <w:ilvl w:val="0"/>
          <w:numId w:val="1"/>
        </w:numPr>
      </w:pPr>
      <w:r>
        <w:t xml:space="preserve">DPA: https://resend.com/legal/dpa</w:t>
      </w:r>
    </w:p>
    <w:p>
      <w:pPr>
        <w:pStyle w:val="ListParagraph"/>
        <w:spacing w:before="0" w:after="55"/>
        <w:keepLines/>
        <w:ind w:left="480" w:hanging="240"/>
        <w:numPr>
          <w:ilvl w:val="0"/>
          <w:numId w:val="1"/>
        </w:numPr>
      </w:pPr>
      <w:r>
        <w:t xml:space="preserve">al-adatfeldolgozók: https://resend.com/legal/subprocessors</w:t>
      </w:r>
    </w:p>
    <w:p>
      <w:pPr>
        <w:pStyle w:val="ListParagraph"/>
        <w:spacing w:before="0" w:after="55"/>
        <w:keepLines/>
        <w:ind w:left="480" w:hanging="240"/>
        <w:numPr>
          <w:ilvl w:val="0"/>
          <w:numId w:val="1"/>
        </w:numPr>
      </w:pPr>
      <w:r>
        <w:t xml:space="preserve">biztonsági dokumentáció: https://resend.com/docs/security</w:t>
      </w:r>
    </w:p>
    <w:p>
      <w:pPr>
        <w:pStyle w:val="ListParagraph"/>
        <w:spacing w:before="0" w:after="55"/>
        <w:keepLines/>
        <w:ind w:left="480" w:hanging="240"/>
        <w:numPr>
          <w:ilvl w:val="0"/>
          <w:numId w:val="1"/>
        </w:numPr>
      </w:pPr>
      <w:r>
        <w:t xml:space="preserve">szolgáltató által aláírt DPA-minta: https://resend.com/static/documents/resend-dpa-signed.pdf</w:t>
      </w:r>
    </w:p>
    <w:p>
      <w:pPr>
        <w:pStyle w:val="BodyText"/>
        <w:spacing w:before="0" w:after="110"/>
      </w:pPr>
      <w:r>
        <w:t xml:space="preserve">A Resend DPA adatfeldolgozói kötelezettségeket, SCC-ket, al-adatfeldolgozókat és technikai-szervezési kontrollokat ír le. A security anyag hozzáférés-kezelést, titkosítást, naplózást, incidenskezelést, penetrációs tesztet, törlést/exportot és üzletmenet-folytonosságot ismertet.</w:t>
      </w:r>
    </w:p>
    <w:p>
      <w:pPr>
        <w:pStyle w:val="BodyText"/>
        <w:spacing w:before="0" w:after="110"/>
      </w:pPr>
      <w:r>
        <w:t xml:space="preserve">A NeuroMap azonban nem csak tranzakciós email-címet, hanem érzékeny tartalmú PDF-et is küld. Az elfogadott DPA és a PDF-melléklet ilyen célú alkalmassága fiók- és szerződésszintű tény. Téves címzett esetén a melléklet tartósan kikerül az adatkezelő kontrollja alól. Írásos alkalmassági megerősítés nélkül a preferált kockázatcsökkentés rövid élettartamú, hitelesített letöltési link.</w:t>
      </w:r>
    </w:p>
    <w:p>
      <w:pPr>
        <w:pStyle w:val="Heading3"/>
        <w:spacing w:before="210" w:after="100"/>
        <w:keepNext/>
      </w:pPr>
      <w:r>
        <w:t xml:space="preserve">18.5 Stripe</w:t>
      </w:r>
    </w:p>
    <w:p>
      <w:pPr>
        <w:pStyle w:val="BodyText"/>
        <w:spacing w:before="0" w:after="110"/>
      </w:pPr>
      <w:r>
        <w:rPr>
          <w:b/>
        </w:rPr>
        <w:t xml:space="preserve">Hivatalos források:</w:t>
      </w:r>
    </w:p>
    <w:p>
      <w:pPr>
        <w:pStyle w:val="ListParagraph"/>
        <w:spacing w:before="0" w:after="55"/>
        <w:keepLines/>
        <w:ind w:left="480" w:hanging="240"/>
        <w:numPr>
          <w:ilvl w:val="0"/>
          <w:numId w:val="1"/>
        </w:numPr>
      </w:pPr>
      <w:r>
        <w:t xml:space="preserve">DPA: https://stripe.com/legal/dpa</w:t>
      </w:r>
    </w:p>
    <w:p>
      <w:pPr>
        <w:pStyle w:val="ListParagraph"/>
        <w:spacing w:before="0" w:after="55"/>
        <w:keepLines/>
        <w:ind w:left="480" w:hanging="240"/>
        <w:numPr>
          <w:ilvl w:val="0"/>
          <w:numId w:val="1"/>
        </w:numPr>
      </w:pPr>
      <w:r>
        <w:t xml:space="preserve">DPA FAQ: https://stripe.com/legal/dpa/faqs</w:t>
      </w:r>
    </w:p>
    <w:p>
      <w:pPr>
        <w:pStyle w:val="ListParagraph"/>
        <w:spacing w:before="0" w:after="55"/>
        <w:keepLines/>
        <w:ind w:left="480" w:hanging="240"/>
        <w:numPr>
          <w:ilvl w:val="0"/>
          <w:numId w:val="1"/>
        </w:numPr>
      </w:pPr>
      <w:r>
        <w:t xml:space="preserve">al-adatfeldolgozói kontroll: https://support.stripe.com/questions/stripe-s-subprocessors-and-vetting-process</w:t>
      </w:r>
    </w:p>
    <w:p>
      <w:pPr>
        <w:pStyle w:val="ListParagraph"/>
        <w:spacing w:before="0" w:after="55"/>
        <w:keepLines/>
        <w:ind w:left="480" w:hanging="240"/>
        <w:numPr>
          <w:ilvl w:val="0"/>
          <w:numId w:val="1"/>
        </w:numPr>
      </w:pPr>
      <w:r>
        <w:t xml:space="preserve">Services Agreement összefoglaló: https://stripe.com/legal/ssa-overview</w:t>
      </w:r>
    </w:p>
    <w:p>
      <w:pPr>
        <w:pStyle w:val="BodyText"/>
        <w:spacing w:before="0" w:after="110"/>
      </w:pPr>
      <w:r>
        <w:t xml:space="preserve">A Stripe dokumentumai a szolgáltatásonként változó adatkezelői/adatfeldolgozói szerepet, transzfermechanizmusokat, al-adatfeldolgozókat és biztonsági kötelezettségeket ismertetik. A tervezett payload arányos, mert nem tartalmaz kérdőívválaszt vagy következtetett fókuszt. Ezt metadata-allow-listtel és production webhook/payload mintával kell bizonyítani. A fiókhoz elfogadott DPA, szerződő entitás, MFA, least privilege, restricted key és webhook signing-secret rotáció bizonyítéka szükséges.</w:t>
      </w:r>
    </w:p>
    <w:p>
      <w:pPr>
        <w:pStyle w:val="Heading3"/>
        <w:spacing w:before="210" w:after="100"/>
        <w:keepNext/>
      </w:pPr>
      <w:r>
        <w:t xml:space="preserve">18.6 Számlázz.hu / KBOSS.hu Kft.</w:t>
      </w:r>
    </w:p>
    <w:p>
      <w:pPr>
        <w:pStyle w:val="BodyText"/>
        <w:spacing w:before="0" w:after="110"/>
      </w:pPr>
      <w:r>
        <w:rPr>
          <w:b/>
        </w:rPr>
        <w:t xml:space="preserve">Hivatalos források:</w:t>
      </w:r>
    </w:p>
    <w:p>
      <w:pPr>
        <w:pStyle w:val="ListParagraph"/>
        <w:spacing w:before="0" w:after="55"/>
        <w:keepLines/>
        <w:ind w:left="480" w:hanging="240"/>
        <w:numPr>
          <w:ilvl w:val="0"/>
          <w:numId w:val="1"/>
        </w:numPr>
      </w:pPr>
      <w:r>
        <w:t xml:space="preserve">adatvédelmi tájékoztató: https://www.szamlazz.hu/adatvedelem/</w:t>
      </w:r>
    </w:p>
    <w:p>
      <w:pPr>
        <w:pStyle w:val="ListParagraph"/>
        <w:spacing w:before="0" w:after="55"/>
        <w:keepLines/>
        <w:ind w:left="480" w:hanging="240"/>
        <w:numPr>
          <w:ilvl w:val="0"/>
          <w:numId w:val="1"/>
        </w:numPr>
      </w:pPr>
      <w:r>
        <w:t xml:space="preserve">ÁSZF: https://www.szamlazz.hu/aszf/</w:t>
      </w:r>
    </w:p>
    <w:p>
      <w:pPr>
        <w:pStyle w:val="ListParagraph"/>
        <w:spacing w:before="0" w:after="55"/>
        <w:keepLines/>
        <w:ind w:left="480" w:hanging="240"/>
        <w:numPr>
          <w:ilvl w:val="0"/>
          <w:numId w:val="1"/>
        </w:numPr>
      </w:pPr>
      <w:r>
        <w:t xml:space="preserve">Számla Agent: https://docs.szamlazz.hu/third-party-invoicing/szamla-agent</w:t>
      </w:r>
    </w:p>
    <w:p>
      <w:pPr>
        <w:pStyle w:val="BodyText"/>
        <w:spacing w:before="0" w:after="110"/>
      </w:pPr>
      <w:r>
        <w:t xml:space="preserve">A nyilvános anyagok azonosítják a szolgáltatót, a lehetséges adatkezelői/adatfeldolgozói szerepeket, a számlázási adatkategóriákat, infrastruktúrát és megőrzési szempontokat. A konkrét szerepkör a szerződés és művelet függvénye. A számlaadat-megőrzést el kell választani a rövidebb kérdőív/riport-retentiontől. A Számla Agent kulcs hozzáférését/rotációját, a tényleges mezőket, az elfogadott feltételeket és a jogszabályi megőrzést fiókszinten kell bizonyítani.</w:t>
      </w:r>
    </w:p>
    <w:p>
      <w:pPr>
        <w:pStyle w:val="Heading3"/>
        <w:spacing w:before="210" w:after="100"/>
        <w:keepNext/>
      </w:pPr>
      <w:r>
        <w:t xml:space="preserve">18.7 Webflow</w:t>
      </w:r>
    </w:p>
    <w:p>
      <w:pPr>
        <w:pStyle w:val="BodyText"/>
        <w:spacing w:before="0" w:after="110"/>
      </w:pPr>
      <w:r>
        <w:rPr>
          <w:b/>
        </w:rPr>
        <w:t xml:space="preserve">Hivatalos források:</w:t>
      </w:r>
    </w:p>
    <w:p>
      <w:pPr>
        <w:pStyle w:val="ListParagraph"/>
        <w:spacing w:before="0" w:after="55"/>
        <w:keepLines/>
        <w:ind w:left="480" w:hanging="240"/>
        <w:numPr>
          <w:ilvl w:val="0"/>
          <w:numId w:val="1"/>
        </w:numPr>
      </w:pPr>
      <w:r>
        <w:t xml:space="preserve">DPA: https://webflow.com/legal/dpa</w:t>
      </w:r>
    </w:p>
    <w:p>
      <w:pPr>
        <w:pStyle w:val="ListParagraph"/>
        <w:spacing w:before="0" w:after="55"/>
        <w:keepLines/>
        <w:ind w:left="480" w:hanging="240"/>
        <w:numPr>
          <w:ilvl w:val="0"/>
          <w:numId w:val="1"/>
        </w:numPr>
      </w:pPr>
      <w:r>
        <w:t xml:space="preserve">privacy FAQ: https://webflow.com/legal/privacy-faqs</w:t>
      </w:r>
    </w:p>
    <w:p>
      <w:pPr>
        <w:pStyle w:val="ListParagraph"/>
        <w:spacing w:before="0" w:after="55"/>
        <w:keepLines/>
        <w:ind w:left="480" w:hanging="240"/>
        <w:numPr>
          <w:ilvl w:val="0"/>
          <w:numId w:val="1"/>
        </w:numPr>
      </w:pPr>
      <w:r>
        <w:t xml:space="preserve">al-adatfeldolgozók: https://webflow.com/legal/subprocessors</w:t>
      </w:r>
    </w:p>
    <w:p>
      <w:pPr>
        <w:pStyle w:val="ListParagraph"/>
        <w:spacing w:before="0" w:after="55"/>
        <w:keepLines/>
        <w:ind w:left="480" w:hanging="240"/>
        <w:numPr>
          <w:ilvl w:val="0"/>
          <w:numId w:val="1"/>
        </w:numPr>
      </w:pPr>
      <w:r>
        <w:t xml:space="preserve">security: https://webflow.com/security</w:t>
      </w:r>
    </w:p>
    <w:p>
      <w:pPr>
        <w:pStyle w:val="BodyText"/>
        <w:spacing w:before="0" w:after="110"/>
      </w:pPr>
      <w:r>
        <w:t xml:space="preserve">A Webflow dokumentumai adatfeldolgozói/adatkezelői szerepeket, transzfereket, amerikai feldolgozást, titkosítást és biztonsági kontrollokat ismertetnek. A production adatvédelmi határ azonban konfigurációfüggő. Dátumozott hálózati felvétellel, Forms/CMS/Analytics/session-replay állapottal, custom-code leltárral és cookie/storage vizsgálattal kell igazolni, hogy a kérdőív, fókusz, riport és felnőtt email közvetlenül csak a Railway API felé megy.</w:t>
      </w:r>
    </w:p>
    <w:p>
      <w:pPr>
        <w:pStyle w:val="Heading1"/>
        <w:spacing w:before="260" w:after="150"/>
        <w:keepNext/>
      </w:pPr>
      <w:r>
        <w:t xml:space="preserve">19. Melléklet B - Fiók- és szerződésszintű bizonyítékcsomag</w:t>
      </w:r>
    </w:p>
    <w:p>
      <w:pPr>
        <w:pStyle w:val="BodyText"/>
        <w:spacing w:before="0" w:after="110"/>
      </w:pPr>
      <w:r>
        <w:t xml:space="preserve">A következő lista minden core szolgáltatónál kötelező. A bizonyítékot nem a DPIA-ba beágyazott titokként, hanem kontrollált tárban, hivatkozási azonosítóval kell megőrizni.</w:t>
      </w:r>
    </w:p>
    <w:tbl>
      <w:tblPr>
        <w:tblW w:w="10180" w:type="dxa"/>
        <w:tblLayout w:type="fixed"/>
        <w:tblBorders>
          <w:top w:val="single" w:sz="4" w:color="C9DCE8"/>
          <w:left w:val="single" w:sz="4" w:color="C9DCE8"/>
          <w:bottom w:val="single" w:sz="4" w:color="C9DCE8"/>
          <w:right w:val="single" w:sz="4" w:color="C9DCE8"/>
          <w:insideH w:val="single" w:sz="4" w:color="C9DCE8"/>
          <w:insideV w:val="single" w:sz="4" w:color="C9DCE8"/>
        </w:tblBorders>
        <w:tblCellMar>
          <w:top w:w="90" w:type="dxa"/>
          <w:left w:w="110" w:type="dxa"/>
          <w:bottom w:w="90" w:type="dxa"/>
          <w:right w:w="110" w:type="dxa"/>
        </w:tblCellMar>
      </w:tblPr>
      <w:tblGrid>
        <w:gridCol w:w="3393"/>
        <w:gridCol w:w="3393"/>
        <w:gridCol w:w="3394"/>
      </w:tblGrid>
      <w:tr>
        <w:trPr>
          <w:cantSplit/>
          <w:tblHeader/>
        </w:trPr>
        <w:tc>
          <w:tcPr>
            <w:tcW w:w="3393" w:type="dxa"/>
            <w:shd w:val="clear" w:color="auto" w:fill="075985"/>
            <w:vAlign w:val="center"/>
          </w:tcPr>
          <w:p>
            <w:pPr>
              <w:spacing w:before="45" w:after="45"/>
            </w:pPr>
            <w:r>
              <w:rPr>
                <w:b/>
                <w:color w:val="FFFFFF"/>
                <w:sz w:val="17"/>
                <w:szCs w:val="17"/>
              </w:rPr>
              <w:t xml:space="preserve">Bizonyíték</w:t>
            </w:r>
          </w:p>
        </w:tc>
        <w:tc>
          <w:tcPr>
            <w:tcW w:w="3393" w:type="dxa"/>
            <w:shd w:val="clear" w:color="auto" w:fill="075985"/>
            <w:vAlign w:val="center"/>
          </w:tcPr>
          <w:p>
            <w:pPr>
              <w:spacing w:before="45" w:after="45"/>
            </w:pPr>
            <w:r>
              <w:rPr>
                <w:b/>
                <w:color w:val="FFFFFF"/>
                <w:sz w:val="17"/>
                <w:szCs w:val="17"/>
              </w:rPr>
              <w:t xml:space="preserve">Tartalom</w:t>
            </w:r>
          </w:p>
        </w:tc>
        <w:tc>
          <w:tcPr>
            <w:tcW w:w="3394" w:type="dxa"/>
            <w:shd w:val="clear" w:color="auto" w:fill="075985"/>
            <w:vAlign w:val="center"/>
          </w:tcPr>
          <w:p>
            <w:pPr>
              <w:spacing w:before="45" w:after="45"/>
            </w:pPr>
            <w:r>
              <w:rPr>
                <w:b/>
                <w:color w:val="FFFFFF"/>
                <w:sz w:val="17"/>
                <w:szCs w:val="17"/>
              </w:rPr>
              <w:t xml:space="preserve">Elfogadási feltétel</w:t>
            </w:r>
          </w:p>
        </w:tc>
      </w:tr>
      <w:tr>
        <w:trPr>
          <w:cantSplit/>
        </w:trPr>
        <w:tc>
          <w:tcPr>
            <w:tcW w:w="3393" w:type="dxa"/>
            <w:shd w:val="clear" w:color="auto" w:fill="FFFFFF"/>
            <w:vAlign w:val="center"/>
          </w:tcPr>
          <w:p>
            <w:pPr>
              <w:spacing w:before="45" w:after="45"/>
            </w:pPr>
            <w:r>
              <w:t xml:space="preserve">Szerződés/DPA</w:t>
            </w:r>
          </w:p>
        </w:tc>
        <w:tc>
          <w:tcPr>
            <w:tcW w:w="3393" w:type="dxa"/>
            <w:shd w:val="clear" w:color="auto" w:fill="FFFFFF"/>
            <w:vAlign w:val="center"/>
          </w:tcPr>
          <w:p>
            <w:pPr>
              <w:spacing w:before="45" w:after="45"/>
            </w:pPr>
            <w:r>
              <w:t xml:space="preserve">elfogadott vagy aláírt példány, dátum, jogi entitás, szolgáltatási melléklet</w:t>
            </w:r>
          </w:p>
        </w:tc>
        <w:tc>
          <w:tcPr>
            <w:tcW w:w="3394" w:type="dxa"/>
            <w:shd w:val="clear" w:color="auto" w:fill="FFFFFF"/>
            <w:vAlign w:val="center"/>
          </w:tcPr>
          <w:p>
            <w:pPr>
              <w:spacing w:before="45" w:after="45"/>
            </w:pPr>
            <w:r>
              <w:t xml:space="preserve">a tényleges érintettek és adatkategóriák szerepelnek; érzékeny adat nem „none”</w:t>
            </w:r>
          </w:p>
        </w:tc>
      </w:tr>
      <w:tr>
        <w:trPr>
          <w:cantSplit/>
        </w:trPr>
        <w:tc>
          <w:tcPr>
            <w:tcW w:w="3393" w:type="dxa"/>
            <w:shd w:val="clear" w:color="auto" w:fill="F7FAFC"/>
            <w:vAlign w:val="center"/>
          </w:tcPr>
          <w:p>
            <w:pPr>
              <w:spacing w:before="45" w:after="45"/>
            </w:pPr>
            <w:r>
              <w:t xml:space="preserve">Régió és transzfer</w:t>
            </w:r>
          </w:p>
        </w:tc>
        <w:tc>
          <w:tcPr>
            <w:tcW w:w="3393" w:type="dxa"/>
            <w:shd w:val="clear" w:color="auto" w:fill="F7FAFC"/>
            <w:vAlign w:val="center"/>
          </w:tcPr>
          <w:p>
            <w:pPr>
              <w:spacing w:before="45" w:after="45"/>
            </w:pPr>
            <w:r>
              <w:t xml:space="preserve">production régió, adatút, SCC modul, UK addendum, TIA</w:t>
            </w:r>
          </w:p>
        </w:tc>
        <w:tc>
          <w:tcPr>
            <w:tcW w:w="3394" w:type="dxa"/>
            <w:shd w:val="clear" w:color="auto" w:fill="F7FAFC"/>
            <w:vAlign w:val="center"/>
          </w:tcPr>
          <w:p>
            <w:pPr>
              <w:spacing w:before="45" w:after="45"/>
            </w:pPr>
            <w:r>
              <w:t xml:space="preserve">a tényleges fiókhoz és al-adatfeldolgozói lánchoz kötött</w:t>
            </w:r>
          </w:p>
        </w:tc>
      </w:tr>
      <w:tr>
        <w:trPr>
          <w:cantSplit/>
        </w:trPr>
        <w:tc>
          <w:tcPr>
            <w:tcW w:w="3393" w:type="dxa"/>
            <w:shd w:val="clear" w:color="auto" w:fill="FFFFFF"/>
            <w:vAlign w:val="center"/>
          </w:tcPr>
          <w:p>
            <w:pPr>
              <w:spacing w:before="45" w:after="45"/>
            </w:pPr>
            <w:r>
              <w:t xml:space="preserve">Fiókbeállítás</w:t>
            </w:r>
          </w:p>
        </w:tc>
        <w:tc>
          <w:tcPr>
            <w:tcW w:w="3393" w:type="dxa"/>
            <w:shd w:val="clear" w:color="auto" w:fill="FFFFFF"/>
            <w:vAlign w:val="center"/>
          </w:tcPr>
          <w:p>
            <w:pPr>
              <w:spacing w:before="45" w:after="45"/>
            </w:pPr>
            <w:r>
              <w:t xml:space="preserve">MFA, hozzáférési lista, retention, training/data sharing, tracking, region, deletion</w:t>
            </w:r>
          </w:p>
        </w:tc>
        <w:tc>
          <w:tcPr>
            <w:tcW w:w="3394" w:type="dxa"/>
            <w:shd w:val="clear" w:color="auto" w:fill="FFFFFF"/>
            <w:vAlign w:val="center"/>
          </w:tcPr>
          <w:p>
            <w:pPr>
              <w:spacing w:before="45" w:after="45"/>
            </w:pPr>
            <w:r>
              <w:t xml:space="preserve">dátumozott screenshot vagy export, felelős jóváhagyásával</w:t>
            </w:r>
          </w:p>
        </w:tc>
      </w:tr>
      <w:tr>
        <w:trPr>
          <w:cantSplit/>
        </w:trPr>
        <w:tc>
          <w:tcPr>
            <w:tcW w:w="3393" w:type="dxa"/>
            <w:shd w:val="clear" w:color="auto" w:fill="F7FAFC"/>
            <w:vAlign w:val="center"/>
          </w:tcPr>
          <w:p>
            <w:pPr>
              <w:spacing w:before="45" w:after="45"/>
            </w:pPr>
            <w:r>
              <w:t xml:space="preserve">Payload/network</w:t>
            </w:r>
          </w:p>
        </w:tc>
        <w:tc>
          <w:tcPr>
            <w:tcW w:w="3393" w:type="dxa"/>
            <w:shd w:val="clear" w:color="auto" w:fill="F7FAFC"/>
            <w:vAlign w:val="center"/>
          </w:tcPr>
          <w:p>
            <w:pPr>
              <w:spacing w:before="45" w:after="45"/>
            </w:pPr>
            <w:r>
              <w:t xml:space="preserve">redaktált production minta minden integrációhoz és nyelvi folyamathoz</w:t>
            </w:r>
          </w:p>
        </w:tc>
        <w:tc>
          <w:tcPr>
            <w:tcW w:w="3394" w:type="dxa"/>
            <w:shd w:val="clear" w:color="auto" w:fill="F7FAFC"/>
            <w:vAlign w:val="center"/>
          </w:tcPr>
          <w:p>
            <w:pPr>
              <w:spacing w:before="45" w:after="45"/>
            </w:pPr>
            <w:r>
              <w:t xml:space="preserve">nincs indokolatlan adat; marketingplatformon nincs érzékeny adat vagy azonosító</w:t>
            </w:r>
          </w:p>
        </w:tc>
      </w:tr>
      <w:tr>
        <w:trPr>
          <w:cantSplit/>
        </w:trPr>
        <w:tc>
          <w:tcPr>
            <w:tcW w:w="3393" w:type="dxa"/>
            <w:shd w:val="clear" w:color="auto" w:fill="FFFFFF"/>
            <w:vAlign w:val="center"/>
          </w:tcPr>
          <w:p>
            <w:pPr>
              <w:spacing w:before="45" w:after="45"/>
            </w:pPr>
            <w:r>
              <w:t xml:space="preserve">Megőrzés/törlés</w:t>
            </w:r>
          </w:p>
        </w:tc>
        <w:tc>
          <w:tcPr>
            <w:tcW w:w="3393" w:type="dxa"/>
            <w:shd w:val="clear" w:color="auto" w:fill="FFFFFF"/>
            <w:vAlign w:val="center"/>
          </w:tcPr>
          <w:p>
            <w:pPr>
              <w:spacing w:before="45" w:after="45"/>
            </w:pPr>
            <w:r>
              <w:t xml:space="preserve">export, törlés, backup, megszüntetés és restore eljárás</w:t>
            </w:r>
          </w:p>
        </w:tc>
        <w:tc>
          <w:tcPr>
            <w:tcW w:w="3394" w:type="dxa"/>
            <w:shd w:val="clear" w:color="auto" w:fill="FFFFFF"/>
            <w:vAlign w:val="center"/>
          </w:tcPr>
          <w:p>
            <w:pPr>
              <w:spacing w:before="45" w:after="45"/>
            </w:pPr>
            <w:r>
              <w:t xml:space="preserve">teszteredmény és szolgáltatói álláspont csatolva</w:t>
            </w:r>
          </w:p>
        </w:tc>
      </w:tr>
      <w:tr>
        <w:trPr>
          <w:cantSplit/>
        </w:trPr>
        <w:tc>
          <w:tcPr>
            <w:tcW w:w="3393" w:type="dxa"/>
            <w:shd w:val="clear" w:color="auto" w:fill="F7FAFC"/>
            <w:vAlign w:val="center"/>
          </w:tcPr>
          <w:p>
            <w:pPr>
              <w:spacing w:before="45" w:after="45"/>
            </w:pPr>
            <w:r>
              <w:t xml:space="preserve">Incidens</w:t>
            </w:r>
          </w:p>
        </w:tc>
        <w:tc>
          <w:tcPr>
            <w:tcW w:w="3393" w:type="dxa"/>
            <w:shd w:val="clear" w:color="auto" w:fill="F7FAFC"/>
            <w:vAlign w:val="center"/>
          </w:tcPr>
          <w:p>
            <w:pPr>
              <w:spacing w:before="45" w:after="45"/>
            </w:pPr>
            <w:r>
              <w:t xml:space="preserve">kapcsolattartó, értesítési vállalás, belső escalation</w:t>
            </w:r>
          </w:p>
        </w:tc>
        <w:tc>
          <w:tcPr>
            <w:tcW w:w="3394" w:type="dxa"/>
            <w:shd w:val="clear" w:color="auto" w:fill="F7FAFC"/>
            <w:vAlign w:val="center"/>
          </w:tcPr>
          <w:p>
            <w:pPr>
              <w:spacing w:before="45" w:after="45"/>
            </w:pPr>
            <w:r>
              <w:t xml:space="preserve">tabletop vagy kontaktpróba bizonyítéka</w:t>
            </w:r>
          </w:p>
        </w:tc>
      </w:tr>
      <w:tr>
        <w:trPr>
          <w:cantSplit/>
        </w:trPr>
        <w:tc>
          <w:tcPr>
            <w:tcW w:w="3393" w:type="dxa"/>
            <w:shd w:val="clear" w:color="auto" w:fill="FFFFFF"/>
            <w:vAlign w:val="center"/>
          </w:tcPr>
          <w:p>
            <w:pPr>
              <w:spacing w:before="45" w:after="45"/>
            </w:pPr>
            <w:r>
              <w:t xml:space="preserve">Al-adatfeldolgozók</w:t>
            </w:r>
          </w:p>
        </w:tc>
        <w:tc>
          <w:tcPr>
            <w:tcW w:w="3393" w:type="dxa"/>
            <w:shd w:val="clear" w:color="auto" w:fill="FFFFFF"/>
            <w:vAlign w:val="center"/>
          </w:tcPr>
          <w:p>
            <w:pPr>
              <w:spacing w:before="45" w:after="45"/>
            </w:pPr>
            <w:r>
              <w:t xml:space="preserve">aktuális lista és változásértesítés</w:t>
            </w:r>
          </w:p>
        </w:tc>
        <w:tc>
          <w:tcPr>
            <w:tcW w:w="3394" w:type="dxa"/>
            <w:shd w:val="clear" w:color="auto" w:fill="FFFFFF"/>
            <w:vAlign w:val="center"/>
          </w:tcPr>
          <w:p>
            <w:pPr>
              <w:spacing w:before="45" w:after="45"/>
            </w:pPr>
            <w:r>
              <w:t xml:space="preserve">feliratkozás, utolsó review és kifogásolási folyamat</w:t>
            </w:r>
          </w:p>
        </w:tc>
      </w:tr>
      <w:tr>
        <w:trPr>
          <w:cantSplit/>
        </w:trPr>
        <w:tc>
          <w:tcPr>
            <w:tcW w:w="3393" w:type="dxa"/>
            <w:shd w:val="clear" w:color="auto" w:fill="F7FAFC"/>
            <w:vAlign w:val="center"/>
          </w:tcPr>
          <w:p>
            <w:pPr>
              <w:spacing w:before="45" w:after="45"/>
            </w:pPr>
            <w:r>
              <w:t xml:space="preserve">Alternatíva</w:t>
            </w:r>
          </w:p>
        </w:tc>
        <w:tc>
          <w:tcPr>
            <w:tcW w:w="3393" w:type="dxa"/>
            <w:shd w:val="clear" w:color="auto" w:fill="F7FAFC"/>
            <w:vAlign w:val="center"/>
          </w:tcPr>
          <w:p>
            <w:pPr>
              <w:spacing w:before="45" w:after="45"/>
            </w:pPr>
            <w:r>
              <w:t xml:space="preserve">szolgáltató elutasítása vagy kiesése esetén architektúra</w:t>
            </w:r>
          </w:p>
        </w:tc>
        <w:tc>
          <w:tcPr>
            <w:tcW w:w="3394" w:type="dxa"/>
            <w:shd w:val="clear" w:color="auto" w:fill="F7FAFC"/>
            <w:vAlign w:val="center"/>
          </w:tcPr>
          <w:p>
            <w:pPr>
              <w:spacing w:before="45" w:after="45"/>
            </w:pPr>
            <w:r>
              <w:t xml:space="preserve">érzékeny adat továbbítása leállítható üzleti adatvesztés nélkül</w:t>
            </w:r>
          </w:p>
        </w:tc>
      </w:tr>
    </w:tbl>
    <w:p>
      <w:pPr>
        <w:spacing w:after="100"/>
      </w:pPr>
    </w:p>
    <w:p>
      <w:pPr>
        <w:pStyle w:val="BodyText"/>
        <w:spacing w:before="0" w:after="110"/>
      </w:pPr>
      <w:r>
        <w:t xml:space="preserve">Javasolt azonosítók: </w:t>
      </w:r>
      <w:r>
        <w:rPr>
          <w:rFonts w:ascii="Consolas" w:hAnsi="Consolas"/>
          <w:shd w:val="clear" w:color="auto" w:fill="E9EEF3"/>
          <w:sz w:val="18"/>
          <w:szCs w:val="18"/>
        </w:rPr>
        <w:t xml:space="preserve">VEN-RAILWAY-*</w:t>
      </w:r>
      <w:r>
        <w:t xml:space="preserve">, </w:t>
      </w:r>
      <w:r>
        <w:rPr>
          <w:rFonts w:ascii="Consolas" w:hAnsi="Consolas"/>
          <w:shd w:val="clear" w:color="auto" w:fill="E9EEF3"/>
          <w:sz w:val="18"/>
          <w:szCs w:val="18"/>
        </w:rPr>
        <w:t xml:space="preserve">VEN-OPENAI-*</w:t>
      </w:r>
      <w:r>
        <w:t xml:space="preserve">, </w:t>
      </w:r>
      <w:r>
        <w:rPr>
          <w:rFonts w:ascii="Consolas" w:hAnsi="Consolas"/>
          <w:shd w:val="clear" w:color="auto" w:fill="E9EEF3"/>
          <w:sz w:val="18"/>
          <w:szCs w:val="18"/>
        </w:rPr>
        <w:t xml:space="preserve">VEN-RESEND-*</w:t>
      </w:r>
      <w:r>
        <w:t xml:space="preserve">, </w:t>
      </w:r>
      <w:r>
        <w:rPr>
          <w:rFonts w:ascii="Consolas" w:hAnsi="Consolas"/>
          <w:shd w:val="clear" w:color="auto" w:fill="E9EEF3"/>
          <w:sz w:val="18"/>
          <w:szCs w:val="18"/>
        </w:rPr>
        <w:t xml:space="preserve">VEN-STRIPE-*</w:t>
      </w:r>
      <w:r>
        <w:t xml:space="preserve">, </w:t>
      </w:r>
      <w:r>
        <w:rPr>
          <w:rFonts w:ascii="Consolas" w:hAnsi="Consolas"/>
          <w:shd w:val="clear" w:color="auto" w:fill="E9EEF3"/>
          <w:sz w:val="18"/>
          <w:szCs w:val="18"/>
        </w:rPr>
        <w:t xml:space="preserve">VEN-SZAMLAZZHU-*</w:t>
      </w:r>
      <w:r>
        <w:t xml:space="preserve">, </w:t>
      </w:r>
      <w:r>
        <w:rPr>
          <w:rFonts w:ascii="Consolas" w:hAnsi="Consolas"/>
          <w:shd w:val="clear" w:color="auto" w:fill="E9EEF3"/>
          <w:sz w:val="18"/>
          <w:szCs w:val="18"/>
        </w:rPr>
        <w:t xml:space="preserve">VEN-WEBFLOW-*</w:t>
      </w:r>
      <w:r>
        <w:t xml:space="preserve">, </w:t>
      </w:r>
      <w:r>
        <w:rPr>
          <w:rFonts w:ascii="Consolas" w:hAnsi="Consolas"/>
          <w:shd w:val="clear" w:color="auto" w:fill="E9EEF3"/>
          <w:sz w:val="18"/>
          <w:szCs w:val="18"/>
        </w:rPr>
        <w:t xml:space="preserve">MKT-GOOGLE-*</w:t>
      </w:r>
      <w:r>
        <w:t xml:space="preserve">, </w:t>
      </w:r>
      <w:r>
        <w:rPr>
          <w:rFonts w:ascii="Consolas" w:hAnsi="Consolas"/>
          <w:shd w:val="clear" w:color="auto" w:fill="E9EEF3"/>
          <w:sz w:val="18"/>
          <w:szCs w:val="18"/>
        </w:rPr>
        <w:t xml:space="preserve">MKT-META-*</w:t>
      </w:r>
      <w:r>
        <w:t xml:space="preserve">, </w:t>
      </w:r>
      <w:r>
        <w:rPr>
          <w:rFonts w:ascii="Consolas" w:hAnsi="Consolas"/>
          <w:shd w:val="clear" w:color="auto" w:fill="E9EEF3"/>
          <w:sz w:val="18"/>
          <w:szCs w:val="18"/>
        </w:rPr>
        <w:t xml:space="preserve">MKT-TIKTOK-*</w:t>
      </w:r>
      <w:r>
        <w:t xml:space="preserve">.</w:t>
      </w:r>
    </w:p>
    <w:p>
      <w:pPr>
        <w:pStyle w:val="BodyText"/>
        <w:spacing w:before="0" w:after="110"/>
      </w:pPr>
      <w:r>
        <w:rPr>
          <w:b/>
        </w:rPr>
        <w:t xml:space="preserve">Kötelező indítási kapu:</w:t>
      </w:r>
      <w:r>
        <w:t xml:space="preserve"> Railway és OpenAI adatkategória/szerződéses eltérése, valamint a Resend érzékeny PDF-alkalmassága lezáratlan állapotban a DPIA nem írható alá jóváhagyottként.</w:t>
      </w:r>
    </w:p>
    <w:p>
      <w:pPr>
        <w:pStyle w:val="Heading1"/>
        <w:spacing w:before="260" w:after="150"/>
        <w:keepNext/>
      </w:pPr>
      <w:r>
        <w:t xml:space="preserve">20. Melléklet C - Marketingplatformok elkülönítése és tiltott payloadok</w:t>
      </w:r>
    </w:p>
    <w:p>
      <w:pPr>
        <w:pStyle w:val="Heading3"/>
        <w:spacing w:before="210" w:after="100"/>
        <w:keepNext/>
      </w:pPr>
      <w:r>
        <w:t xml:space="preserve">20.1 Google Analytics / Google tag</w:t>
      </w:r>
    </w:p>
    <w:p>
      <w:pPr>
        <w:pStyle w:val="BodyText"/>
        <w:spacing w:before="0" w:after="110"/>
      </w:pPr>
      <w:r>
        <w:rPr>
          <w:b/>
        </w:rPr>
        <w:t xml:space="preserve">Hivatalos források:</w:t>
      </w:r>
    </w:p>
    <w:p>
      <w:pPr>
        <w:pStyle w:val="ListParagraph"/>
        <w:spacing w:before="0" w:after="55"/>
        <w:keepLines/>
        <w:ind w:left="480" w:hanging="240"/>
        <w:numPr>
          <w:ilvl w:val="0"/>
          <w:numId w:val="1"/>
        </w:numPr>
      </w:pPr>
      <w:r>
        <w:t xml:space="preserve">adatfeldolgozási feltételek elfogadása: https://support.google.com/analytics/answer/3379636?hl=en</w:t>
      </w:r>
    </w:p>
    <w:p>
      <w:pPr>
        <w:pStyle w:val="ListParagraph"/>
        <w:spacing w:before="0" w:after="55"/>
        <w:keepLines/>
        <w:ind w:left="480" w:hanging="240"/>
        <w:numPr>
          <w:ilvl w:val="0"/>
          <w:numId w:val="1"/>
        </w:numPr>
      </w:pPr>
      <w:r>
        <w:t xml:space="preserve">Analytics adatvédelem és ügyfélkontrollok: https://support.google.com/analytics/answer/6004245?hl=en</w:t>
      </w:r>
    </w:p>
    <w:p>
      <w:pPr>
        <w:pStyle w:val="ListParagraph"/>
        <w:spacing w:before="0" w:after="55"/>
        <w:keepLines/>
        <w:ind w:left="480" w:hanging="240"/>
        <w:numPr>
          <w:ilvl w:val="0"/>
          <w:numId w:val="1"/>
        </w:numPr>
      </w:pPr>
      <w:r>
        <w:t xml:space="preserve">PII és érzékeny adat tiltása: https://support.google.com/analytics/answer/13297105?hl=en</w:t>
      </w:r>
    </w:p>
    <w:p>
      <w:pPr>
        <w:pStyle w:val="ListParagraph"/>
        <w:spacing w:before="0" w:after="55"/>
        <w:keepLines/>
        <w:ind w:left="480" w:hanging="240"/>
        <w:numPr>
          <w:ilvl w:val="0"/>
          <w:numId w:val="1"/>
        </w:numPr>
      </w:pPr>
      <w:r>
        <w:t xml:space="preserve">regionális adatgyűjtés: https://support.google.com/analytics/answer/12017362?hl=en</w:t>
      </w:r>
    </w:p>
    <w:p>
      <w:pPr>
        <w:pStyle w:val="ListParagraph"/>
        <w:spacing w:before="0" w:after="55"/>
        <w:keepLines/>
        <w:ind w:left="480" w:hanging="240"/>
        <w:numPr>
          <w:ilvl w:val="0"/>
          <w:numId w:val="1"/>
        </w:numPr>
      </w:pPr>
      <w:r>
        <w:t xml:space="preserve">Google-termékekkel való adatmegosztás: https://support.google.com/analytics/answer/9012600?hl=en</w:t>
      </w:r>
    </w:p>
    <w:p>
      <w:pPr>
        <w:pStyle w:val="ListParagraph"/>
        <w:spacing w:before="0" w:after="55"/>
        <w:keepLines/>
        <w:ind w:left="480" w:hanging="240"/>
        <w:numPr>
          <w:ilvl w:val="0"/>
          <w:numId w:val="1"/>
        </w:numPr>
      </w:pPr>
      <w:r>
        <w:t xml:space="preserve">EU user-consent policy: https://www.google.com/about/company/user-consent-policy/</w:t>
      </w:r>
    </w:p>
    <w:p>
      <w:pPr>
        <w:pStyle w:val="BodyText"/>
        <w:spacing w:before="0" w:after="110"/>
      </w:pPr>
      <w:r>
        <w:t xml:space="preserve">A Google Analytics szabályai tiltják a felismerhető PII és az érzékeny információt feltáró/azonosító adat átadását. A NeuroMap számára csak előzetes hozzájáruláson alapuló, durva landing-page mérés tervezhető. Hozzájárulás sem teszi megengedhetővé a gyermekre vagy egészségi jellegre utaló payloadot.</w:t>
      </w:r>
    </w:p>
    <w:p>
      <w:pPr>
        <w:pStyle w:val="BodyText"/>
        <w:spacing w:before="0" w:after="110"/>
      </w:pPr>
      <w:r>
        <w:t xml:space="preserve">Tiltott: email, gyermekadat, korosztályi részlet, válasz, bank/fókusz, másodlagos fókusz, severity, riport, session/access token, számla-/fizetési referencia, érzékeny URL vagy query paraméter. A kérdőív-, összegzés-, checkout-success-, riport- és megfigyelési oldalakon tag nem tölthető be, amíg külön jogi/policy review és network capture ezt nem engedélyezi.</w:t>
      </w:r>
    </w:p>
    <w:p>
      <w:pPr>
        <w:pStyle w:val="Heading3"/>
        <w:spacing w:before="210" w:after="100"/>
        <w:keepNext/>
      </w:pPr>
      <w:r>
        <w:t xml:space="preserve">20.2 Meta Business Tools</w:t>
      </w:r>
    </w:p>
    <w:p>
      <w:pPr>
        <w:pStyle w:val="BodyText"/>
        <w:spacing w:before="0" w:after="110"/>
      </w:pPr>
      <w:r>
        <w:rPr>
          <w:b/>
        </w:rPr>
        <w:t xml:space="preserve">Hivatalos források:</w:t>
      </w:r>
    </w:p>
    <w:p>
      <w:pPr>
        <w:pStyle w:val="ListParagraph"/>
        <w:spacing w:before="0" w:after="55"/>
        <w:keepLines/>
        <w:ind w:left="480" w:hanging="240"/>
        <w:numPr>
          <w:ilvl w:val="0"/>
          <w:numId w:val="1"/>
        </w:numPr>
      </w:pPr>
      <w:r>
        <w:t xml:space="preserve">adatfeldolgozási feltételek: https://www.facebook.com/legal/terms/dataprocessing</w:t>
      </w:r>
    </w:p>
    <w:p>
      <w:pPr>
        <w:pStyle w:val="ListParagraph"/>
        <w:spacing w:before="0" w:after="55"/>
        <w:keepLines/>
        <w:ind w:left="480" w:hanging="240"/>
        <w:numPr>
          <w:ilvl w:val="0"/>
          <w:numId w:val="1"/>
        </w:numPr>
      </w:pPr>
      <w:r>
        <w:t xml:space="preserve">Business Tools feltételek: https://www.facebook.com/legal/terms/businesstools/preview</w:t>
      </w:r>
    </w:p>
    <w:p>
      <w:pPr>
        <w:pStyle w:val="BodyText"/>
        <w:spacing w:before="0" w:after="110"/>
      </w:pPr>
      <w:r>
        <w:t xml:space="preserve">A Meta Business Tools feltételei tiltják a 13 év alatti gyermekhez kapcsolódó, egészségügyi és más érzékeny adatok beküldését. A production szerveroldali Meta-eseményküldés jelenleg szándékosan letiltott. Pixel/CAPI nem jelenhet meg a kérdőív-, összegzés-, success/report- és megfigyelési oldalakon. A landing-only mérés is külön DPIA-változásértékelést, consent/policy review-t és hálózati bizonyítékot igényel.</w:t>
      </w:r>
    </w:p>
    <w:p>
      <w:pPr>
        <w:pStyle w:val="Heading3"/>
        <w:spacing w:before="210" w:after="100"/>
        <w:keepNext/>
      </w:pPr>
      <w:r>
        <w:t xml:space="preserve">20.3 TikTok advertiser tools</w:t>
      </w:r>
    </w:p>
    <w:p>
      <w:pPr>
        <w:pStyle w:val="BodyText"/>
        <w:spacing w:before="0" w:after="110"/>
      </w:pPr>
      <w:r>
        <w:rPr>
          <w:b/>
        </w:rPr>
        <w:t xml:space="preserve">Hivatalos források:</w:t>
      </w:r>
    </w:p>
    <w:p>
      <w:pPr>
        <w:pStyle w:val="ListParagraph"/>
        <w:spacing w:before="0" w:after="55"/>
        <w:keepLines/>
        <w:ind w:left="480" w:hanging="240"/>
        <w:numPr>
          <w:ilvl w:val="0"/>
          <w:numId w:val="1"/>
        </w:numPr>
      </w:pPr>
      <w:r>
        <w:t xml:space="preserve">Business Products adatfeltételek: https://ads.tiktok.com/i18n/official/policy/controller-to-controller%2Fprivacy</w:t>
      </w:r>
    </w:p>
    <w:p>
      <w:pPr>
        <w:pStyle w:val="ListParagraph"/>
        <w:spacing w:before="0" w:after="55"/>
        <w:keepLines/>
        <w:ind w:left="480" w:hanging="240"/>
        <w:numPr>
          <w:ilvl w:val="0"/>
          <w:numId w:val="1"/>
        </w:numPr>
      </w:pPr>
      <w:r>
        <w:t xml:space="preserve">advertiser tools feltételek: https://ads.tiktok.com/help/article/tiktok-advertiser-tools-and-related-terms?lang=en</w:t>
      </w:r>
    </w:p>
    <w:p>
      <w:pPr>
        <w:pStyle w:val="ListParagraph"/>
        <w:spacing w:before="0" w:after="55"/>
        <w:keepLines/>
        <w:ind w:left="480" w:hanging="240"/>
        <w:numPr>
          <w:ilvl w:val="0"/>
          <w:numId w:val="1"/>
        </w:numPr>
      </w:pPr>
      <w:r>
        <w:t xml:space="preserve">tiltott adatmegosztás: https://ads.tiktok.com/help/article/about-notifications-of-potentially-prohibited-data-sharing-on-tiktok?lang=en</w:t>
      </w:r>
    </w:p>
    <w:p>
      <w:pPr>
        <w:pStyle w:val="BodyText"/>
        <w:spacing w:before="0" w:after="110"/>
      </w:pPr>
      <w:r>
        <w:t xml:space="preserve">A TikTok iránymutatása tiltja a gyermekekre, egészségre, pénzügyekre és más érzékeny kategóriára vonatkozó adatok megosztását, és érzékeny oldalakon külön kockázatként kezeli a pixelt/Events API-t. A vizsgált production flow-ban nincs TikTok-integráció. Új pixel, Events API, SDK, enhanced matching vagy kampány-URL paraméter anyagi adatkezelési változás; jóváhagyott DPIA-módosítás előtt nem telepíthető.</w:t>
      </w:r>
    </w:p>
    <w:p>
      <w:pPr>
        <w:pStyle w:val="Heading3"/>
        <w:spacing w:before="210" w:after="100"/>
        <w:keepNext/>
      </w:pPr>
      <w:r>
        <w:t xml:space="preserve">20.4 Kötelező technikai korlát</w:t>
      </w:r>
    </w:p>
    <w:p>
      <w:pPr>
        <w:pStyle w:val="BodyText"/>
        <w:spacing w:before="0" w:after="110"/>
      </w:pPr>
      <w:r>
        <w:t xml:space="preserve">A marketing eseménysémának allow-list alapúnak kell lennie, alapértelmezett consent </w:t>
      </w:r>
      <w:r>
        <w:rPr>
          <w:rFonts w:ascii="Consolas" w:hAnsi="Consolas"/>
          <w:shd w:val="clear" w:color="auto" w:fill="E9EEF3"/>
          <w:sz w:val="18"/>
          <w:szCs w:val="18"/>
        </w:rPr>
        <w:t xml:space="preserve">denied</w:t>
      </w:r>
      <w:r>
        <w:t xml:space="preserve"> állapottal. A tiltást automatizált build/smoke ellenőrzés, böngészőhálózati vizsgálat és GTM/Webflow custom-code leltár igazolja. A marketinges teljesítménymérés nem kapcsolható össze kérdőív-, riport-, email-, fizetési vagy stabil session-azonosítóval.</w:t>
      </w:r>
    </w:p>
    <w:sectPr>
      <w:headerReference w:type="default" r:id="rId4"/>
      <w:footerReference w:type="default" r:id="rId5"/>
      <w:pgSz w:w="11906" w:h="16838"/>
      <w:pgMar w:top="1000" w:right="850" w:bottom="900" w:left="850" w:header="420" w:footer="420" w:gutter="0"/>
      <w:cols w:space="720"/>
      <w:docGrid w:linePitch="360"/>
    </w:sectPr>
  </w:body>
</w:document>
</file>

<file path=word/footer1.xml><?xml version="1.0" encoding="utf-8"?>
<w:ftr xmlns:w="http://schemas.openxmlformats.org/wordprocessingml/2006/main" xmlns:r="http://schemas.openxmlformats.org/officeDocument/2006/relationships">
  <w:p>
    <w:pPr>
      <w:tabs>
        <w:tab w:val="right" w:pos="10180"/>
      </w:tabs>
      <w:pBdr>
        <w:top w:val="single" w:sz="5" w:space="5" w:color="C9DCE8"/>
      </w:pBdr>
      <w:spacing w:before="80"/>
    </w:pPr>
    <w:r>
      <w:rPr>
        <w:color w:val="5D6B82"/>
        <w:sz w:val="16"/>
        <w:szCs w:val="16"/>
      </w:rPr>
      <w:t xml:space="preserve">NeuroMap Kids adatvédelmi hatásvizsgálat</w:t>
    </w:r>
    <w:r>
      <w:tab/>
    </w:r>
    <w:r>
      <w:rPr>
        <w:color w:val="5D6B82"/>
        <w:sz w:val="16"/>
        <w:szCs w:val="16"/>
      </w:rPr>
      <w:t xml:space="preserve">Oldal </w:t>
    </w:r>
    <w:r>
      <w:fldChar w:fldCharType="begin"/>
    </w:r>
    <w:r>
      <w:instrText xml:space="preserve"> PAGE </w:instrText>
    </w:r>
    <w:r>
      <w:fldChar w:fldCharType="separate"/>
    </w:r>
    <w:r>
      <w:rPr>
        <w:color w:val="5D6B82"/>
        <w:sz w:val="16"/>
        <w:szCs w:val="16"/>
      </w:rPr>
      <w:t xml:space="preserve">1</w:t>
    </w:r>
    <w:r>
      <w:fldChar w:fldCharType="end"/>
    </w:r>
    <w:r>
      <w:rPr>
        <w:color w:val="5D6B82"/>
        <w:sz w:val="16"/>
        <w:szCs w:val="16"/>
      </w:rPr>
      <w:t xml:space="preserve"> / </w:t>
    </w:r>
    <w:r>
      <w:fldChar w:fldCharType="begin"/>
    </w:r>
    <w:r>
      <w:instrText xml:space="preserve"> NUMPAGES </w:instrText>
    </w:r>
    <w:r>
      <w:fldChar w:fldCharType="separate"/>
    </w:r>
    <w:r>
      <w:rPr>
        <w:color w:val="5D6B82"/>
        <w:sz w:val="16"/>
        <w:szCs w:val="16"/>
      </w:rPr>
      <w:t xml:space="preserve">1</w:t>
    </w:r>
    <w:r>
      <w:fldChar w:fldCharType="end"/>
    </w:r>
  </w:p>
</w:ftr>
</file>

<file path=word/header1.xml><?xml version="1.0" encoding="utf-8"?>
<w:hdr xmlns:w="http://schemas.openxmlformats.org/wordprocessingml/2006/main" xmlns:r="http://schemas.openxmlformats.org/officeDocument/2006/relationships">
  <w:p>
    <w:pPr>
      <w:tabs>
        <w:tab w:val="right" w:pos="10180"/>
      </w:tabs>
      <w:pBdr>
        <w:bottom w:val="single" w:sz="5" w:space="5" w:color="C9DCE8"/>
      </w:pBdr>
      <w:spacing w:after="80"/>
    </w:pPr>
    <w:r>
      <w:rPr>
        <w:b/>
        <w:color w:val="098DCC"/>
        <w:sz w:val="17"/>
        <w:szCs w:val="17"/>
      </w:rPr>
      <w:t xml:space="preserve">NEUROMAP KIDS</w:t>
    </w:r>
    <w:r>
      <w:tab/>
    </w:r>
    <w:r>
      <w:rPr>
        <w:b/>
        <w:color w:val="5D6B82"/>
        <w:sz w:val="16"/>
        <w:szCs w:val="16"/>
      </w:rPr>
      <w:t xml:space="preserve">NMK-DPIA-HU-001 · MUNKAPÉLDÁNY</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480"/>
        </w:tabs>
        <w:ind w:left="480" w:hanging="240"/>
      </w:pPr>
      <w:rPr>
        <w:color w:val="098DCC"/>
        <w:rFonts w:ascii="Arial" w:hAnsi="Arial"/>
      </w:rPr>
    </w:lvl>
  </w:abstractNum>
  <w:num w:numId="1">
    <w:abstractNumId w:val="0"/>
  </w:num>
</w:numbering>
</file>

<file path=word/settings.xml><?xml version="1.0" encoding="utf-8"?>
<w:settings xmlns:w="http://schemas.openxmlformats.org/wordprocessingml/2006/main">
  <w:zoom w:percent="90"/>
  <w:defaultTabStop w:val="720"/>
  <w:updateFields w:val="true"/>
  <w:doNotTrackMoves/>
  <w:doNotTrackFormatting/>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olor w:val="14213D"/>
        <w:sz w:val="20"/>
        <w:szCs w:val="20"/>
        <w:lang w:val="hu-HU"/>
      </w:rPr>
    </w:rPrDefault>
    <w:pPrDefault>
      <w:pPr>
        <w:spacing w:after="110" w:line="270" w:lineRule="auto"/>
      </w:pPr>
    </w:pPrDefault>
  </w:docDefaults>
  <w:style w:type="paragraph" w:default="1" w:styleId="Normal">
    <w:name w:val="Normal"/>
    <w:qFormat/>
    <w:pPr>
      <w:widowControl/>
    </w:pPr>
  </w:style>
  <w:style w:type="paragraph" w:styleId="BodyText">
    <w:name w:val="Body Text"/>
    <w:basedOn w:val="Normal"/>
    <w:qFormat/>
    <w:pPr>
      <w:widowControl/>
      <w:spacing w:after="110" w:line="276" w:lineRule="auto"/>
    </w:pPr>
    <w:rPr>
      <w:sz w:val="20"/>
      <w:szCs w:val="20"/>
    </w:rPr>
  </w:style>
  <w:style w:type="paragraph" w:styleId="Title">
    <w:name w:val="Title"/>
    <w:basedOn w:val="Normal"/>
    <w:qFormat/>
    <w:pPr>
      <w:keepNext/>
      <w:spacing w:before="80" w:after="180"/>
      <w:outlineLvl w:val="0"/>
    </w:pPr>
    <w:rPr>
      <w:b/>
      <w:color w:val="14213D"/>
      <w:sz w:val="42"/>
      <w:szCs w:val="42"/>
    </w:rPr>
  </w:style>
  <w:style w:type="paragraph" w:styleId="Subtitle">
    <w:name w:val="Subtitle"/>
    <w:basedOn w:val="Normal"/>
    <w:qFormat/>
    <w:pPr>
      <w:keepNext/>
    </w:pPr>
    <w:rPr>
      <w:color w:val="5D6B82"/>
      <w:sz w:val="22"/>
      <w:szCs w:val="22"/>
    </w:rPr>
  </w:style>
  <w:style w:type="paragraph" w:styleId="Heading1">
    <w:name w:val="heading 1"/>
    <w:basedOn w:val="Normal"/>
    <w:next w:val="BodyText"/>
    <w:qFormat/>
    <w:pPr>
      <w:keepNext/>
      <w:keepLines/>
      <w:spacing w:before="280" w:after="140"/>
      <w:outlineLvl w:val="0"/>
      <w:pBdr>
        <w:bottom w:val="single" w:sz="12" w:space="6" w:color="098DCC"/>
      </w:pBdr>
    </w:pPr>
    <w:rPr>
      <w:b/>
      <w:color w:val="075985"/>
      <w:sz w:val="30"/>
      <w:szCs w:val="30"/>
    </w:rPr>
  </w:style>
  <w:style w:type="paragraph" w:styleId="Heading2">
    <w:name w:val="heading 2"/>
    <w:basedOn w:val="Normal"/>
    <w:next w:val="BodyText"/>
    <w:qFormat/>
    <w:pPr>
      <w:keepNext/>
      <w:keepLines/>
      <w:outlineLvl w:val="1"/>
    </w:pPr>
    <w:rPr>
      <w:b/>
      <w:color w:val="075985"/>
      <w:sz w:val="25"/>
      <w:szCs w:val="25"/>
    </w:rPr>
  </w:style>
  <w:style w:type="paragraph" w:styleId="Heading3">
    <w:name w:val="heading 3"/>
    <w:basedOn w:val="Normal"/>
    <w:next w:val="BodyText"/>
    <w:qFormat/>
    <w:pPr>
      <w:keepNext/>
      <w:keepLines/>
      <w:spacing w:before="210" w:after="100"/>
      <w:outlineLvl w:val="2"/>
      <w:shd w:val="clear" w:color="auto" w:fill="EAF4FA"/>
      <w:pBdr>
        <w:left w:val="single" w:sz="18" w:space="7" w:color="098DCC"/>
      </w:pBdr>
      <w:ind w:left="120"/>
    </w:pPr>
    <w:rPr>
      <w:b/>
      <w:color w:val="14213D"/>
      <w:sz w:val="23"/>
      <w:szCs w:val="23"/>
    </w:rPr>
  </w:style>
  <w:style w:type="paragraph" w:styleId="ListParagraph">
    <w:name w:val="List Paragraph"/>
    <w:basedOn w:val="BodyText"/>
    <w:qFormat/>
  </w:style>
  <w:style w:type="paragraph" w:styleId="Callout">
    <w:name w:val="Callout"/>
    <w:basedOn w:val="BodyText"/>
    <w:qFormat/>
    <w:pPr>
      <w:keepLines/>
      <w:ind w:left="180" w:right="160"/>
      <w:spacing w:before="70" w:after="90"/>
    </w:pPr>
  </w:style>
  <w:style w:type="paragraph" w:styleId="Code">
    <w:name w:val="Code"/>
    <w:basedOn w:val="Normal"/>
    <w:qFormat/>
    <w:pPr>
      <w:keepLines/>
      <w:ind w:left="180" w:right="180"/>
      <w:spacing w:before="90" w:after="140" w:line="230" w:lineRule="auto"/>
    </w:pPr>
    <w:rPr>
      <w:rFonts w:ascii="Consolas" w:hAnsi="Consolas"/>
      <w:color w:val="FFFFFF"/>
      <w:sz w:val="16"/>
      <w:szCs w:val="16"/>
    </w:rPr>
  </w:style>
  <w:style w:type="table" w:default="1" w:styleId="TableNormal">
    <w:name w:val="Normal Table"/>
    <w:uiPriority w:val="99"/>
    <w:semiHidden/>
    <w:unhideWhenUsed/>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header" Target="header1.xml"/>
  <Relationship Id="rId5"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NeuroMap Kids evidence register generator</Application>
  <AppVersion>1.0</AppVersion>
  <Company>NeuroMap Kids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NeuroMap Kids adatvédelmi hatásvizsgálat</dc:title>
  <dc:subject>NMK-DPIA-HU-001</dc:subject>
  <dc:creator>NeuroMap Kids</dc:creator>
  <cp:lastModifiedBy>Codex belső dokumentumgenerátor</cp:lastModifiedBy>
  <dc:description>Adatkezelői DPIA-munkapéldány; vizsgált commit: 4eae0933c7b8d1c065f0e38f5e7421091d005e08</dc:description>
  <dcterms:created xsi:type="dcterms:W3CDTF">2026-07-26T19:24:07Z</dcterms:created>
  <dcterms:modified xsi:type="dcterms:W3CDTF">2026-07-26T19:24:07Z</dcterms:modified>
</cp:coreProperties>
</file>