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ubtitle"/>
        <w:spacing w:before="0" w:after="160"/>
      </w:pPr>
      <w:r>
        <w:rPr>
          <w:b/>
          <w:color w:val="098DCC"/>
          <w:sz w:val="22"/>
          <w:szCs w:val="22"/>
        </w:rPr>
        <w:t xml:space="preserve">NEUROMAP KIDS</w:t>
      </w:r>
    </w:p>
    <w:p>
      <w:pPr>
        <w:pStyle w:val="Title"/>
        <w:spacing w:before="0" w:after="180"/>
        <w:keepNext/>
      </w:pPr>
      <w:r>
        <w:t xml:space="preserve">Biztonsági javítások és bizonyítékok nyilvántartása</w:t>
      </w:r>
    </w:p>
    <w:p>
      <w:pPr>
        <w:pStyle w:val="Subtitle"/>
        <w:spacing w:before="0" w:after="260"/>
      </w:pPr>
      <w:r>
        <w:rPr>
          <w:color w:val="5D6B82"/>
          <w:sz w:val="24"/>
          <w:szCs w:val="24"/>
        </w:rPr>
        <w:t xml:space="preserve">Belső biztonsági kontroll- és bizonyítéknyilvántartás</w:t>
      </w:r>
    </w:p>
    <w:tbl>
      <w:tblPr>
        <w:tblW w:w="10180" w:type="dxa"/>
        <w:tblLayout w:type="fixed"/>
        <w:tblBorders>
          <w:top w:val="single" w:sz="4" w:color="C9DCE8"/>
          <w:left w:val="single" w:sz="4" w:color="C9DCE8"/>
          <w:bottom w:val="single" w:sz="4" w:color="C9DCE8"/>
          <w:right w:val="single" w:sz="4" w:color="C9DCE8"/>
          <w:insideH w:val="single" w:sz="4" w:color="C9DCE8"/>
          <w:insideV w:val="single" w:sz="4" w:color="C9DCE8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7380"/>
      </w:tblGrid>
      <w:tr>
        <w:trPr>
          <w:cantSplit/>
        </w:trPr>
        <w:tc>
          <w:tcPr>
            <w:tcW w:w="28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Dokumentumazonosító</w:t>
            </w:r>
          </w:p>
        </w:tc>
        <w:tc>
          <w:tcPr>
            <w:tcW w:w="738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NMK-SEC-REG-001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Verzió</w:t>
            </w:r>
          </w:p>
        </w:tc>
        <w:tc>
          <w:tcPr>
            <w:tcW w:w="738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1.0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Állapot</w:t>
            </w:r>
          </w:p>
        </w:tc>
        <w:tc>
          <w:tcPr>
            <w:tcW w:w="738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belső, ellenőrzött munkapéldány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Bizonyítéki pillanatkép dátuma</w:t>
            </w:r>
          </w:p>
        </w:tc>
        <w:tc>
          <w:tcPr>
            <w:tcW w:w="738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2026. július 20.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Vizsgált forrásállapot</w:t>
            </w:r>
          </w:p>
        </w:tc>
        <w:tc>
          <w:tcPr>
            <w:tcW w:w="738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rFonts w:ascii="Consolas" w:hAnsi="Consolas"/>
                <w:shd w:val="clear" w:color="auto" w:fill="E9EEF3"/>
                <w:sz w:val="18"/>
                <w:szCs w:val="18"/>
              </w:rPr>
              <w:t xml:space="preserve">b2d8e6b27f8b3084abd232e0488a8acdd91dfeb9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Rendszer</w:t>
            </w:r>
          </w:p>
        </w:tc>
        <w:tc>
          <w:tcPr>
            <w:tcW w:w="738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NeuroMap Kids Webflow + Railway kérdőív-, fizetési és riportfolyamat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Dokumentumgazda</w:t>
            </w:r>
          </w:p>
        </w:tc>
        <w:tc>
          <w:tcPr>
            <w:tcW w:w="738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kijelölendő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Következő kötelező felülvizsgálat</w:t>
            </w:r>
          </w:p>
        </w:tc>
        <w:tc>
          <w:tcPr>
            <w:tcW w:w="738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éles indulás előtt, majd legalább negyedévente és minden jelentős biztonsági változás után</w:t>
            </w:r>
          </w:p>
        </w:tc>
      </w:tr>
    </w:tbl>
    <w:p>
      <w:pPr>
        <w:spacing w:after="100"/>
      </w:pPr>
    </w:p>
    <w:p>
      <w:pPr>
        <w:pStyle w:val="Callout"/>
        <w:spacing w:before="120" w:after="100"/>
        <w:shd w:val="clear" w:color="auto" w:fill="FFF4E6"/>
        <w:pBdr>
          <w:left w:val="single" w:sz="18" w:space="8" w:color="F59E0B"/>
        </w:pBdr>
      </w:pPr>
      <w:r>
        <w:rPr>
          <w:b/>
          <w:color w:val="9A4D00"/>
          <w:sz w:val="19"/>
          <w:szCs w:val="19"/>
        </w:rPr>
        <w:t xml:space="preserve">BELSŐ MŰSZAKI IGAZOLÁS - NEM FÜGGETLEN TANÚSÍTVÁNY</w:t>
      </w:r>
    </w:p>
    <w:p>
      <w:pPr>
        <w:pStyle w:val="Callout"/>
        <w:spacing w:before="0" w:after="180"/>
        <w:shd w:val="clear" w:color="auto" w:fill="FFF4E6"/>
        <w:pBdr>
          <w:left w:val="single" w:sz="18" w:space="8" w:color="F59E0B"/>
        </w:pBdr>
      </w:pPr>
      <w:r>
        <w:t xml:space="preserve">A dokumentum a megjelölt forrásállapot belső bizonyítékait rögzíti. Külső audit, jogi szakvélemény vagy tanúsítás hiányában ilyen állításra nem használható.</w:t>
      </w:r>
    </w:p>
    <w:p>
      <w:r>
        <w:br w:type="page"/>
      </w:r>
    </w:p>
    <w:p>
      <w:pPr>
        <w:pStyle w:val="Heading1"/>
        <w:spacing w:before="260" w:after="150"/>
        <w:keepNext/>
      </w:pPr>
      <w:r>
        <w:t xml:space="preserve">1. A dokumentum célja</w:t>
      </w:r>
    </w:p>
    <w:p>
      <w:pPr>
        <w:pStyle w:val="BodyText"/>
        <w:spacing w:before="0" w:after="110"/>
      </w:pPr>
      <w:r>
        <w:t xml:space="preserve">Ez a nyilvántartás a NeuroMap Kids rendszerben végrehajtott biztonsági javításokat, azok műszaki indokát, forráskódbeli bizonyítékát, belső ellenőrzési eredményét, fennmaradó kockázatát és a még beszerzendő külső vagy üzemeltetési bizonyítékokat foglalja össze.</w:t>
      </w:r>
    </w:p>
    <w:p>
      <w:pPr>
        <w:pStyle w:val="BodyText"/>
        <w:spacing w:before="0" w:after="110"/>
      </w:pPr>
      <w:r>
        <w:t xml:space="preserve">A dokumentum célja, hogy: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visszakövethető legyen, mely kockázatra milyen javítás készült;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a javítás ne csak állítás, hanem forráskóddal és ellenőrzési eredménnyel alátámasztott tétel legyen;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egy külső biztonsági auditor, adatvédelmi szakértő vagy megbízott üzemeltető azonos bizonyítéki struktúrából dolgozhasson;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elkülönüljön a belső műszaki igazolás a külső tanúsítástól;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a DPIA és az élesítési döntés biztonsági mellékleteként használható legyen.</w:t>
      </w:r>
    </w:p>
    <w:p>
      <w:pPr>
        <w:pStyle w:val="Heading1"/>
        <w:spacing w:before="260" w:after="150"/>
        <w:keepNext/>
      </w:pPr>
      <w:r>
        <w:t xml:space="preserve">2. Fontos korlátozás</w:t>
      </w:r>
    </w:p>
    <w:p>
      <w:pPr>
        <w:pStyle w:val="Callout"/>
        <w:spacing w:before="0" w:after="110"/>
        <w:shd w:val="clear" w:color="auto" w:fill="FFF4E6"/>
        <w:pBdr>
          <w:left w:val="single" w:sz="18" w:space="8" w:color="F59E0B"/>
        </w:pBdr>
      </w:pPr>
      <w:r>
        <w:t xml:space="preserve">Ez a dokumentum </w:t>
      </w:r>
      <w:r>
        <w:rPr>
          <w:b/>
        </w:rPr>
        <w:t xml:space="preserve">nem külső biztonsági tanúsítvány</w:t>
      </w:r>
      <w:r>
        <w:t xml:space="preserve">, nem behatolási teszt, nem SOC 2 vagy ISO 27001 igazolás, nem jogi szakvélemény és nem GDPR-megfelelőségi tanúsítvány. A benne szereplő „igazolt” minősítés azt jelenti, hogy a megjelölt forrásállapotban a kontroll jelenléte belső kódvizsgálattal és - ahol elérhető - automatizált ellenőrzéssel alátámasztható.</w:t>
      </w:r>
    </w:p>
    <w:p>
      <w:pPr>
        <w:pStyle w:val="BodyText"/>
        <w:spacing w:before="0" w:after="110"/>
      </w:pPr>
      <w:r>
        <w:t xml:space="preserve">Külső kommunikációban az „függetlenül auditált”, „tanúsított”, „teljesen biztonságos” vagy „GDPR-tanúsított” állítás csak megfelelő, aláírt külső bizonyíték birtokában használható.</w:t>
      </w:r>
    </w:p>
    <w:p>
      <w:pPr>
        <w:pStyle w:val="Heading1"/>
        <w:spacing w:before="260" w:after="150"/>
        <w:keepNext/>
      </w:pPr>
      <w:r>
        <w:t xml:space="preserve">3. Hatókör</w:t>
      </w:r>
    </w:p>
    <w:p>
      <w:pPr>
        <w:pStyle w:val="BodyText"/>
        <w:spacing w:before="0" w:after="110"/>
      </w:pPr>
      <w:r>
        <w:t xml:space="preserve">A vizsgálat a következő rendszerterületekre terjed ki: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Webflow frontend és publikus kérdőívfolyamat;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ügyfél-session, checkout és checkout-helyreállítás;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Stripe checkout és webhook-feldolgozás;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Railway Node/Express API;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admin vezérlőközpont hitelesítése és műveletvédelme;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PostgreSQL kapcsolat, rate limit és érzékeny adatok tárolása;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elemzési queue és worker;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PDF- és számlafeldolgozás idempotenciája;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hozzájárulás, különleges adatkezelés, érintetti kérelmek;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megőrzés, törlés és adatminimalizálás;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jogi launch gate és élesítési feltételek;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production npm-függőségek ismert sérülékenységei.</w:t>
      </w:r>
    </w:p>
    <w:p>
      <w:pPr>
        <w:pStyle w:val="BodyText"/>
        <w:spacing w:before="0" w:after="110"/>
      </w:pPr>
      <w:r>
        <w:t xml:space="preserve">A vizsgálat nem foglal magában tényleges külső penetrációs tesztet, Railway/Stripe/OpenAI/Resend fiókszintű IAM-auditot, hálózati forgalomrögzítést, éles adatbázis-konfiguráció exportját vagy jogi szakértői jóváhagyást.</w:t>
      </w:r>
    </w:p>
    <w:p>
      <w:pPr>
        <w:pStyle w:val="Heading1"/>
        <w:spacing w:before="260" w:after="150"/>
        <w:keepNext/>
      </w:pPr>
      <w:r>
        <w:t xml:space="preserve">4. Bizonyítéki minősítések</w:t>
      </w:r>
    </w:p>
    <w:tbl>
      <w:tblPr>
        <w:tblW w:w="10180" w:type="dxa"/>
        <w:tblLayout w:type="fixed"/>
        <w:tblBorders>
          <w:top w:val="single" w:sz="4" w:color="C9DCE8"/>
          <w:left w:val="single" w:sz="4" w:color="C9DCE8"/>
          <w:bottom w:val="single" w:sz="4" w:color="C9DCE8"/>
          <w:right w:val="single" w:sz="4" w:color="C9DCE8"/>
          <w:insideH w:val="single" w:sz="4" w:color="C9DCE8"/>
          <w:insideV w:val="single" w:sz="4" w:color="C9DCE8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000"/>
        <w:gridCol w:w="7180"/>
      </w:tblGrid>
      <w:tr>
        <w:trPr>
          <w:cantSplit/>
          <w:tblHeader/>
        </w:trPr>
        <w:tc>
          <w:tcPr>
            <w:tcW w:w="3000" w:type="dxa"/>
            <w:shd w:val="clear" w:color="auto" w:fill="075985"/>
            <w:vAlign w:val="center"/>
          </w:tcPr>
          <w:p>
            <w:pPr>
              <w:spacing w:before="45" w:after="45"/>
            </w:pPr>
            <w:r>
              <w:rPr>
                <w:b/>
                <w:color w:val="FFFFFF"/>
                <w:sz w:val="17"/>
                <w:szCs w:val="17"/>
              </w:rPr>
              <w:t xml:space="preserve">Minősítés</w:t>
            </w:r>
          </w:p>
        </w:tc>
        <w:tc>
          <w:tcPr>
            <w:tcW w:w="7180" w:type="dxa"/>
            <w:shd w:val="clear" w:color="auto" w:fill="075985"/>
            <w:vAlign w:val="center"/>
          </w:tcPr>
          <w:p>
            <w:pPr>
              <w:spacing w:before="45" w:after="45"/>
            </w:pPr>
            <w:r>
              <w:rPr>
                <w:b/>
                <w:color w:val="FFFFFF"/>
                <w:sz w:val="17"/>
                <w:szCs w:val="17"/>
              </w:rPr>
              <w:t xml:space="preserve">Jelentés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b/>
              </w:rPr>
              <w:t xml:space="preserve">A</w:t>
            </w:r>
          </w:p>
        </w:tc>
        <w:tc>
          <w:tcPr>
            <w:tcW w:w="718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Forráskód + automatizált ellenőrzés + dátumozott éles vagy független bizonyíték.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b/>
              </w:rPr>
              <w:t xml:space="preserve">B</w:t>
            </w:r>
          </w:p>
        </w:tc>
        <w:tc>
          <w:tcPr>
            <w:tcW w:w="718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Forráskód + sikeres automatizált belső ellenőrzés.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b/>
              </w:rPr>
              <w:t xml:space="preserve">C</w:t>
            </w:r>
          </w:p>
        </w:tc>
        <w:tc>
          <w:tcPr>
            <w:tcW w:w="718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Forráskód- vagy tervszintű bizonyíték rendelkezésre áll, de nincs teljes automatizált vagy éles igazolás.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b/>
              </w:rPr>
              <w:t xml:space="preserve">P</w:t>
            </w:r>
          </w:p>
        </w:tc>
        <w:tc>
          <w:tcPr>
            <w:tcW w:w="718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Függőben lévő külső, szerződéses vagy üzemeltetési bizonyíték.</w:t>
            </w:r>
          </w:p>
        </w:tc>
      </w:tr>
    </w:tbl>
    <w:p>
      <w:pPr>
        <w:spacing w:after="100"/>
      </w:pPr>
    </w:p>
    <w:p>
      <w:pPr>
        <w:pStyle w:val="Callout"/>
        <w:spacing w:before="0" w:after="110"/>
        <w:shd w:val="clear" w:color="auto" w:fill="EAF4FA"/>
        <w:pBdr>
          <w:left w:val="single" w:sz="18" w:space="8" w:color="098DCC"/>
        </w:pBdr>
      </w:pPr>
      <w:r>
        <w:rPr>
          <w:b/>
        </w:rPr>
        <w:t xml:space="preserve">Értelmezés:</w:t>
      </w:r>
      <w:r>
        <w:t xml:space="preserve"> a jelen pillanatképben nincs A minősítésű tétel, mert nem áll rendelkezésre csatolt, dátumozott éles konfigurációexport vagy független auditor által aláírt jelentés. Ez nem a kontroll hiányát, hanem az A szintű bizonyíték hiányát jelenti.</w:t>
      </w:r>
    </w:p>
    <w:p>
      <w:pPr>
        <w:pStyle w:val="Heading1"/>
        <w:spacing w:before="260" w:after="150"/>
        <w:keepNext/>
      </w:pPr>
      <w:r>
        <w:t xml:space="preserve">5. Vezetői összefoglaló</w:t>
      </w:r>
    </w:p>
    <w:tbl>
      <w:tblPr>
        <w:tblW w:w="10180" w:type="dxa"/>
        <w:tblLayout w:type="fixed"/>
        <w:tblBorders>
          <w:top w:val="single" w:sz="4" w:color="C9DCE8"/>
          <w:left w:val="single" w:sz="4" w:color="C9DCE8"/>
          <w:bottom w:val="single" w:sz="4" w:color="C9DCE8"/>
          <w:right w:val="single" w:sz="4" w:color="C9DCE8"/>
          <w:insideH w:val="single" w:sz="4" w:color="C9DCE8"/>
          <w:insideV w:val="single" w:sz="4" w:color="C9DCE8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000"/>
        <w:gridCol w:w="7180"/>
      </w:tblGrid>
      <w:tr>
        <w:trPr>
          <w:cantSplit/>
          <w:tblHeader/>
        </w:trPr>
        <w:tc>
          <w:tcPr>
            <w:tcW w:w="3000" w:type="dxa"/>
            <w:shd w:val="clear" w:color="auto" w:fill="075985"/>
            <w:vAlign w:val="center"/>
          </w:tcPr>
          <w:p>
            <w:pPr>
              <w:spacing w:before="45" w:after="45"/>
            </w:pPr>
            <w:r>
              <w:rPr>
                <w:b/>
                <w:color w:val="FFFFFF"/>
                <w:sz w:val="17"/>
                <w:szCs w:val="17"/>
              </w:rPr>
              <w:t xml:space="preserve">Mutató</w:t>
            </w:r>
          </w:p>
        </w:tc>
        <w:tc>
          <w:tcPr>
            <w:tcW w:w="7180" w:type="dxa"/>
            <w:shd w:val="clear" w:color="auto" w:fill="075985"/>
            <w:vAlign w:val="center"/>
          </w:tcPr>
          <w:p>
            <w:pPr>
              <w:spacing w:before="45" w:after="45"/>
            </w:pPr>
            <w:r>
              <w:rPr>
                <w:b/>
                <w:color w:val="FFFFFF"/>
                <w:sz w:val="17"/>
                <w:szCs w:val="17"/>
              </w:rPr>
              <w:t xml:space="preserve">Eredmény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Nyilvántartott bevezetett kontrollok</w:t>
            </w:r>
          </w:p>
        </w:tc>
        <w:tc>
          <w:tcPr>
            <w:tcW w:w="718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20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B minősítésű, automatizáltan is ellenőrzött kontrollok</w:t>
            </w:r>
          </w:p>
        </w:tc>
        <w:tc>
          <w:tcPr>
            <w:tcW w:w="718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14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C minősítésű, kóddal igazolt kontrollok</w:t>
            </w:r>
          </w:p>
        </w:tc>
        <w:tc>
          <w:tcPr>
            <w:tcW w:w="718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Függő külső vagy üzemeltetési bizonyítékok</w:t>
            </w:r>
          </w:p>
        </w:tc>
        <w:tc>
          <w:tcPr>
            <w:tcW w:w="718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rFonts w:ascii="Consolas" w:hAnsi="Consolas"/>
                <w:shd w:val="clear" w:color="auto" w:fill="E9EEF3"/>
                <w:sz w:val="18"/>
                <w:szCs w:val="18"/>
              </w:rPr>
              <w:t xml:space="preserve">npm run audit:security</w:t>
            </w:r>
          </w:p>
        </w:tc>
        <w:tc>
          <w:tcPr>
            <w:tcW w:w="718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10/10 PASS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Jogi/hozzájárulási smoke ellenőrzések</w:t>
            </w:r>
          </w:p>
        </w:tc>
        <w:tc>
          <w:tcPr>
            <w:tcW w:w="718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3/3 sikeres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Ismert production npm-sérülékenységek</w:t>
            </w:r>
          </w:p>
        </w:tc>
        <w:tc>
          <w:tcPr>
            <w:tcW w:w="718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0</w:t>
            </w:r>
          </w:p>
        </w:tc>
      </w:tr>
    </w:tbl>
    <w:p>
      <w:pPr>
        <w:spacing w:after="100"/>
      </w:pPr>
    </w:p>
    <w:p>
      <w:pPr>
        <w:pStyle w:val="Heading3"/>
        <w:spacing w:before="210" w:after="100"/>
        <w:keepNext/>
      </w:pPr>
      <w:r>
        <w:t xml:space="preserve">5.1. Összesített álláspont</w:t>
      </w:r>
    </w:p>
    <w:p>
      <w:pPr>
        <w:pStyle w:val="BodyText"/>
        <w:spacing w:before="0" w:after="110"/>
      </w:pPr>
      <w:r>
        <w:t xml:space="preserve">A vizsgált forrásállapotban a legfontosabb korábbi kockázatokra - nyers admin token újrahasználata, publikus session védtelensége, érzékeny checkout token query paraméterben, kérdőívválaszok tartós böngészőtárolása, teljes Stripe webhook payload tárolása, egyetlen példányra korlátozódó rate limit és implicit adatbázis-SSL - konkrét műszaki javítás készült.</w:t>
      </w:r>
    </w:p>
    <w:p>
      <w:pPr>
        <w:pStyle w:val="BodyText"/>
        <w:spacing w:before="0" w:after="110"/>
      </w:pPr>
      <w:r>
        <w:t xml:space="preserve">A belső auditok alapján a javítások fő invariánsai jelen vannak. Az éles indítás biztonsági lezárásához azonban még szükséges a production konfiguráció dokumentált ellenőrzése, jogosultsági felülvizsgálat, helyreállítási próba és külső penetrációs teszt.</w:t>
      </w:r>
    </w:p>
    <w:p>
      <w:pPr>
        <w:pStyle w:val="Heading1"/>
        <w:spacing w:before="260" w:after="150"/>
        <w:keepNext/>
        <w:pageBreakBefore/>
      </w:pPr>
      <w:r>
        <w:t xml:space="preserve">6. Tételes kontrollnyilvántartás</w:t>
      </w:r>
    </w:p>
    <w:p>
      <w:pPr>
        <w:pStyle w:val="Heading3"/>
        <w:spacing w:before="210" w:after="100"/>
        <w:keepNext/>
      </w:pPr>
      <w:r>
        <w:t xml:space="preserve">SEC-001 - Rövid élettartamú admin session és CSRF-védelem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belsőleg ellenőrizve </w:t>
      </w:r>
      <w:r>
        <w:rPr>
          <w:b/>
        </w:rPr>
        <w:t xml:space="preserve">Bizonyítéki minősítés:</w:t>
      </w:r>
      <w:r>
        <w:t xml:space="preserve"> B </w:t>
      </w:r>
      <w:r>
        <w:rPr>
          <w:b/>
        </w:rPr>
        <w:t xml:space="preserve">Kapcsolódó commit:</w:t>
      </w:r>
      <w:r>
        <w:t xml:space="preserve">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bfe0d72</w:t>
      </w:r>
      <w:r>
        <w:t xml:space="preserve"> - Harden admin and checkout security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A nyers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ADMIN_TOKEN</w:t>
      </w:r>
      <w:r>
        <w:t xml:space="preserve"> minden admin kérésben való továbbítása és böngészőoldali tárolása növeli a token kiszivárgásának és újrajátszásának kockázatát. A sessionalapú admin műveletek CSRF-védelem nélkül más webhelyről is kezdeményezhetők lehetnek.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Az admin felület rövid élettartamú,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HttpOnly</w:t>
      </w:r>
      <w:r>
        <w:t xml:space="preserve">,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SameSite=Strict</w:t>
      </w:r>
      <w:r>
        <w:t xml:space="preserve"> cookie-sessiont használ. Az állapotmódosító admin kérések külön CSRF cookie-t és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x-admin-csrf</w:t>
      </w:r>
      <w:r>
        <w:t xml:space="preserve"> fejlécet ellenőriznek. A session időtartama környezeti változóval szabályozható.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src/middleware/adminAuth.js:10-11</w:t>
      </w:r>
      <w:r>
        <w:t xml:space="preserve"> - session- és CSRF-cookie nevek;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src/middleware/adminAuth.js:33-53</w:t>
      </w:r>
      <w:r>
        <w:t xml:space="preserve"> -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SameSite=Strict</w:t>
      </w:r>
      <w:r>
        <w:t xml:space="preserve">,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HttpOnly</w:t>
      </w:r>
      <w:r>
        <w:t xml:space="preserve">, secure cookie beállítások;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src/middleware/adminAuth.js:162</w:t>
      </w:r>
      <w:r>
        <w:t xml:space="preserve"> - CSRF fejléc ellenőrzése;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src/config/env.js:202</w:t>
      </w:r>
      <w:r>
        <w:t xml:space="preserve"> -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ADMIN_SESSION_TTL_MINUTES</w:t>
      </w:r>
      <w:r>
        <w:t xml:space="preserve">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src/config/env.js:207-208</w:t>
      </w:r>
      <w:r>
        <w:t xml:space="preserve"> - secure admin cookie konfiguráció.</w:t>
      </w:r>
    </w:p>
    <w:p>
      <w:pPr>
        <w:pStyle w:val="BodyText"/>
        <w:spacing w:before="0" w:after="110"/>
      </w:pPr>
      <w:r>
        <w:rPr>
          <w:b/>
        </w:rPr>
        <w:t xml:space="preserve">Automatizált bizonyíték:</w:t>
      </w:r>
      <w:r>
        <w:t xml:space="preserve">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npm run audit:security</w:t>
      </w:r>
      <w:r>
        <w:t xml:space="preserve"> - PASS: „Admin dashboard uses session + CSRF instead of raw token headers”; PASS: „Admin middleware creates HttpOnly session and verifies CSRF”.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A cookie tényleges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Secure</w:t>
      </w:r>
      <w:r>
        <w:t xml:space="preserve"> attribútuma és a session lejárata csak éles HTTPS konfigurációexporttal igazolható A szinten.</w:t>
      </w:r>
    </w:p>
    <w:p>
      <w:pPr>
        <w:pStyle w:val="BodyText"/>
        <w:spacing w:before="0" w:after="110"/>
      </w:pPr>
      <w:r>
        <w:rPr>
          <w:b/>
        </w:rPr>
        <w:t xml:space="preserve">A szinthez még szükséges:</w:t>
      </w:r>
      <w:r>
        <w:t xml:space="preserve"> dátumozott Railway environment export titkok nélkül; böngésző DevTools cookie-kép; külső CSRF-próba.</w:t>
      </w:r>
    </w:p>
    <w:p>
      <w:pPr>
        <w:pStyle w:val="Heading3"/>
        <w:spacing w:before="210" w:after="100"/>
        <w:keepNext/>
      </w:pPr>
      <w:r>
        <w:t xml:space="preserve">SEC-002 - Konstans idejű titok-összehasonlítás és legacy admin hitelesítés tiltása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belsőleg ellenőrizve </w:t>
      </w:r>
      <w:r>
        <w:rPr>
          <w:b/>
        </w:rPr>
        <w:t xml:space="preserve">Bizonyítéki minősítés:</w:t>
      </w:r>
      <w:r>
        <w:t xml:space="preserve"> B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Egyszerű karakterlánc-összehasonlítás timing side-channel kockázatot okozhat. A legacy admin header hitelesítés bekapcsolva hagyása megkerülné a session- és CSRF-védelmet.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A titokellenőrzés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crypto.timingSafeEqual</w:t>
      </w:r>
      <w:r>
        <w:t xml:space="preserve"> alapú segédfüggvényt használ. A legacy tokenes hitelesítés alapértelmezetten tiltott, és csak explicit környezeti kapcsolóval engedhető vissza.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src/utils/secureCompare.js:1-15</w:t>
      </w:r>
      <w:r>
        <w:t xml:space="preserve"> - timing-safe összehasonlítás;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src/services/admin-session.service.js:17</w:t>
      </w:r>
      <w:r>
        <w:t xml:space="preserve"> - session secret ellenőrzése;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src/middleware/adminAuth.js:94</w:t>
      </w:r>
      <w:r>
        <w:t xml:space="preserve"> - biztonságos összehasonlítás;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src/middleware/adminAuth.js:179</w:t>
      </w:r>
      <w:r>
        <w:t xml:space="preserve"> - legacy út csak engedélyező flag mellett;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src/config/env.js:206</w:t>
      </w:r>
      <w:r>
        <w:t xml:space="preserve"> -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ADMIN_LEGACY_TOKEN_AUTH=false</w:t>
      </w:r>
      <w:r>
        <w:t xml:space="preserve"> alapértelmezés.</w:t>
      </w:r>
    </w:p>
    <w:p>
      <w:pPr>
        <w:pStyle w:val="BodyText"/>
        <w:spacing w:before="0" w:after="110"/>
      </w:pPr>
      <w:r>
        <w:rPr>
          <w:b/>
        </w:rPr>
        <w:t xml:space="preserve">Automatizált bizonyíték:</w:t>
      </w:r>
      <w:r>
        <w:t xml:space="preserve">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npm run audit:security</w:t>
      </w:r>
      <w:r>
        <w:t xml:space="preserve"> - az admin dashboard nyers tokenes működésének hiányát ellenőrzi, eredmény PASS.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Hibás production env esetén a legacy kapcsoló visszakapcsolható; ezért konfigurációs változáskezelés szükséges.</w:t>
      </w:r>
    </w:p>
    <w:p>
      <w:pPr>
        <w:pStyle w:val="Heading3"/>
        <w:spacing w:before="210" w:after="100"/>
        <w:keepNext/>
        <w:pageBreakBefore/>
      </w:pPr>
      <w:r>
        <w:t xml:space="preserve">SEC-003 - CORS allowlist és HTTP biztonsági fejlécek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belsőleg ellenőrizve </w:t>
      </w:r>
      <w:r>
        <w:rPr>
          <w:b/>
        </w:rPr>
        <w:t xml:space="preserve">Bizonyítéki minősítés:</w:t>
      </w:r>
      <w:r>
        <w:t xml:space="preserve"> B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Széles CORS-beállítások és hiányzó böngészővédelmi fejlécek növelik a nem engedélyezett originről történő API-használat, tartalombeágyazás, MIME-sniffing és downgrade támadások kockázatát.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Explicit origin allowlist, korlátozott metódusok és fejlécek,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X-Content-Type-Options</w:t>
      </w:r>
      <w:r>
        <w:t xml:space="preserve">,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Referrer-Policy</w:t>
      </w:r>
      <w:r>
        <w:t xml:space="preserve">,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Permissions-Policy</w:t>
      </w:r>
      <w:r>
        <w:t xml:space="preserve">, szigorú CSP,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frame-ancestors 'none'</w:t>
      </w:r>
      <w:r>
        <w:t xml:space="preserve"> és production HSTS került bevezetésre.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src/app/server.js:25-55</w:t>
      </w:r>
      <w:r>
        <w:t xml:space="preserve"> - CORS origin allowlist, metódusok és engedélyezett fejlécek;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src/middleware/security.js:100-107</w:t>
      </w:r>
      <w:r>
        <w:t xml:space="preserve"> - nosniff, referrer, permissions, CSP és HSTS.</w:t>
      </w:r>
    </w:p>
    <w:p>
      <w:pPr>
        <w:pStyle w:val="BodyText"/>
        <w:spacing w:before="0" w:after="110"/>
      </w:pPr>
      <w:r>
        <w:rPr>
          <w:b/>
        </w:rPr>
        <w:t xml:space="preserve">Automatizált bizonyíték:</w:t>
      </w:r>
      <w:r>
        <w:t xml:space="preserve">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npm run audit:security</w:t>
      </w:r>
      <w:r>
        <w:t xml:space="preserve"> - PASS: „Rate limiting can use database-backed counters and production HSTS”.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Az éles domainlista és a tényleges válaszfejlécek külön production HTTP-felvételt igényelnek.</w:t>
      </w:r>
    </w:p>
    <w:p>
      <w:pPr>
        <w:pStyle w:val="Heading3"/>
        <w:spacing w:before="210" w:after="100"/>
        <w:keepNext/>
      </w:pPr>
      <w:r>
        <w:t xml:space="preserve">SEC-004 - Több replika között közös, fail-closed rate limiting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belsőleg ellenőrizve </w:t>
      </w:r>
      <w:r>
        <w:rPr>
          <w:b/>
        </w:rPr>
        <w:t xml:space="preserve">Bizonyítéki minősítés:</w:t>
      </w:r>
      <w:r>
        <w:t xml:space="preserve"> B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Memóriában tárolt rate limit több Railway replika esetén példányonként újraindul, így megkerülhető. Hibánál automatikusan engedő limiter túlterhelést és brute-force kockázatot okozhat.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PostgreSQL-alapú számlálók támogatása készült, a production alapértelmezés adatbázis-backed és fail-closed. A memóriás mód csak explicit konfigurációval használható.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src/middleware/security.js:38-65</w:t>
      </w:r>
      <w:r>
        <w:t xml:space="preserve"> - adatbázis limiter és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api_rate_limits</w:t>
      </w:r>
      <w:r>
        <w:t xml:space="preserve"> műveletek;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src/middleware/security.js:133</w:t>
      </w:r>
      <w:r>
        <w:t xml:space="preserve"> - fail-open csak explicit környezeti beállítással;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src/config/env.js:237-238</w:t>
      </w:r>
      <w:r>
        <w:t xml:space="preserve"> -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RATE_LIMIT_BACKEND=database</w:t>
      </w:r>
      <w:r>
        <w:t xml:space="preserve">,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RATE_LIMIT_FAIL_OPEN=false</w:t>
      </w:r>
      <w:r>
        <w:t xml:space="preserve">.</w:t>
      </w:r>
    </w:p>
    <w:p>
      <w:pPr>
        <w:pStyle w:val="BodyText"/>
        <w:spacing w:before="0" w:after="110"/>
      </w:pPr>
      <w:r>
        <w:rPr>
          <w:b/>
        </w:rPr>
        <w:t xml:space="preserve">Automatizált bizonyíték:</w:t>
      </w:r>
      <w:r>
        <w:t xml:space="preserve">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npm run audit:security</w:t>
      </w:r>
      <w:r>
        <w:t xml:space="preserve"> - PASS: adatbázis-backed rate limiting jelenléte.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A limitek kapacitás- és false-positive beállításai terhelési mérés alapján hangolandók.</w:t>
      </w:r>
    </w:p>
    <w:p>
      <w:pPr>
        <w:pStyle w:val="Heading3"/>
        <w:spacing w:before="210" w:after="100"/>
        <w:keepNext/>
      </w:pPr>
      <w:r>
        <w:t xml:space="preserve">SEC-005 - Explicit adatbázis-SSL konfiguráció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belsőleg ellenőrizve </w:t>
      </w:r>
      <w:r>
        <w:rPr>
          <w:b/>
        </w:rPr>
        <w:t xml:space="preserve">Bizonyítéki minősítés:</w:t>
      </w:r>
      <w:r>
        <w:t xml:space="preserve"> B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Implicit vagy kikapcsolt TLS esetén az alkalmazás és az adatbázis közötti forgalom lehallgatható vagy módosítható lehet.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Az SSL-viselkedés explicit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DATABASE_SSL_MODE</w:t>
      </w:r>
      <w:r>
        <w:t xml:space="preserve"> változóval szabályozott; a tanúsítvány-ellenőrzés alapértelmezett, és egyedi CA base64 formában betölthető.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src/db/db.js:4-14</w:t>
      </w:r>
      <w:r>
        <w:t xml:space="preserve"> - SSL mód,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rejectUnauthorized</w:t>
      </w:r>
      <w:r>
        <w:t xml:space="preserve">, egyedi CA;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src/db/db.js:31</w:t>
      </w:r>
      <w:r>
        <w:t xml:space="preserve"> - pool SSL konfiguráció;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src/config/env.js:232-233</w:t>
      </w:r>
      <w:r>
        <w:t xml:space="preserve"> - kapcsolódó env változók.</w:t>
      </w:r>
    </w:p>
    <w:p>
      <w:pPr>
        <w:pStyle w:val="BodyText"/>
        <w:spacing w:before="0" w:after="110"/>
      </w:pPr>
      <w:r>
        <w:rPr>
          <w:b/>
        </w:rPr>
        <w:t xml:space="preserve">Automatizált bizonyíték:</w:t>
      </w:r>
      <w:r>
        <w:t xml:space="preserve">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npm run audit:security</w:t>
      </w:r>
      <w:r>
        <w:t xml:space="preserve"> - PASS: „Database SSL behavior is explicit and configurable”.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A Railway tényleges CA- és connection-string beállítása production exporttal igazolandó.</w:t>
      </w:r>
    </w:p>
    <w:p>
      <w:pPr>
        <w:pStyle w:val="Heading3"/>
        <w:spacing w:before="210" w:after="100"/>
        <w:keepNext/>
      </w:pPr>
      <w:r>
        <w:t xml:space="preserve">SEC-006 - Ügyfél-session hozzáférési token hash-elése és kötelező ellenőrzése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belsőleg ellenőrizve </w:t>
      </w:r>
      <w:r>
        <w:rPr>
          <w:b/>
        </w:rPr>
        <w:t xml:space="preserve">Bizonyítéki minősítés:</w:t>
      </w:r>
      <w:r>
        <w:t xml:space="preserve"> B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Pusztán session UUID alapján lekérhető fizetési vagy riportállapot jogosulatlan hozzáférést eredményezhet. Nyers hozzáférési token adatbázisban történő tárolása adatbázis-szivárgás esetén azonnal felhasználható lenne.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Kriptográfiailag véletlen public access token készül; az adatbázisban csak SHA-256 hash tárolódik. A session elérés és checkout retry a token birtoklását és timing-safe egyezését követeli meg.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src/db/migrations/018_security_hardening.sql:2-8</w:t>
      </w:r>
      <w:r>
        <w:t xml:space="preserve"> - token hash oszlop és index;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src/services/session.service.js:10</w:t>
      </w:r>
      <w:r>
        <w:t xml:space="preserve"> - token hash-elés;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src/services/session.service.js:29-43</w:t>
      </w:r>
      <w:r>
        <w:t xml:space="preserve"> - kötelező token és biztonságos összehasonlítás;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src/services/session.service.js:62-83</w:t>
      </w:r>
      <w:r>
        <w:t xml:space="preserve"> - token generálása és hash tárolása;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src/config/env.js:239</w:t>
      </w:r>
      <w:r>
        <w:t xml:space="preserve"> -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PUBLIC_SESSION_TOKEN_REQUIRED=true</w:t>
      </w:r>
      <w:r>
        <w:t xml:space="preserve">.</w:t>
      </w:r>
    </w:p>
    <w:p>
      <w:pPr>
        <w:pStyle w:val="BodyText"/>
        <w:spacing w:before="0" w:after="110"/>
      </w:pPr>
      <w:r>
        <w:rPr>
          <w:b/>
        </w:rPr>
        <w:t xml:space="preserve">Automatizált bizonyíték:</w:t>
      </w:r>
      <w:r>
        <w:t xml:space="preserve">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npm run audit:security</w:t>
      </w:r>
      <w:r>
        <w:t xml:space="preserve"> - PASS: „Customer session access tokens are hashed and enforced”; PASS: „Checkout retry requires customer session token”.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A böngészőben átmenetileg tárolt token XSS esetén hozzáférhető; ezt CSP, rövid élettartam és frontend minimalizálás csökkenti.</w:t>
      </w:r>
    </w:p>
    <w:p>
      <w:pPr>
        <w:pStyle w:val="Heading3"/>
        <w:spacing w:before="210" w:after="100"/>
        <w:keepNext/>
      </w:pPr>
      <w:r>
        <w:t xml:space="preserve">SEC-007 - Checkout access token URL fragmentben, nem query paraméterben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belsőleg ellenőrizve </w:t>
      </w:r>
      <w:r>
        <w:rPr>
          <w:b/>
        </w:rPr>
        <w:t xml:space="preserve">Bizonyítéki minősítés:</w:t>
      </w:r>
      <w:r>
        <w:t xml:space="preserve"> B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Query paraméterben szereplő hozzáférési token bekerülhet szerver-, proxy-, analitikai és böngészőelőzmény-naplókba, illetve referrerbe.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A Stripe success/cancel URL a tokent hash fragmentben adja át. A fragmentet a böngésző nem küldi el HTTP kérésben; a checkout oldal a tokent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sessionStorage</w:t>
      </w:r>
      <w:r>
        <w:t xml:space="preserve">-ba veszi át.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src/services/stripe.service.js:155-189</w:t>
      </w:r>
      <w:r>
        <w:t xml:space="preserve"> - session és access token fragmentbe építése;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src/services/stripe.service.js:224-225</w:t>
      </w:r>
      <w:r>
        <w:t xml:space="preserve"> - success/cancel URL használat;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public/webflow/checkout-pages.js:389-411</w:t>
      </w:r>
      <w:r>
        <w:t xml:space="preserve"> - fragment olvasása és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sessionStorage</w:t>
      </w:r>
      <w:r>
        <w:t xml:space="preserve"> használata;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public/webflow/engine.js:8816-8825</w:t>
      </w:r>
      <w:r>
        <w:t xml:space="preserve"> - ügyfél-token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sessionStorage</w:t>
      </w:r>
      <w:r>
        <w:t xml:space="preserve"> használata.</w:t>
      </w:r>
    </w:p>
    <w:p>
      <w:pPr>
        <w:pStyle w:val="BodyText"/>
        <w:spacing w:before="0" w:after="110"/>
      </w:pPr>
      <w:r>
        <w:rPr>
          <w:b/>
        </w:rPr>
        <w:t xml:space="preserve">Automatizált bizonyíték:</w:t>
      </w:r>
      <w:r>
        <w:t xml:space="preserve">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npm run audit:security</w:t>
      </w:r>
      <w:r>
        <w:t xml:space="preserve"> - PASS: „Success/cancel pages pass session access token only from hash/sessionStorage”.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Harmadik fél script ugyanazon originen olvashatja a fragmentet; csak szükséges scriptek engedélyezendők.</w:t>
      </w:r>
    </w:p>
    <w:p>
      <w:pPr>
        <w:pStyle w:val="Heading3"/>
        <w:spacing w:before="210" w:after="100"/>
        <w:keepNext/>
      </w:pPr>
      <w:r>
        <w:t xml:space="preserve">SEC-008 - Kérdőívválaszok tartós localStorage-tárolásának megszüntetése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belsőleg ellenőrizve </w:t>
      </w:r>
      <w:r>
        <w:rPr>
          <w:b/>
        </w:rPr>
        <w:t xml:space="preserve">Bizonyítéki minősítés:</w:t>
      </w:r>
      <w:r>
        <w:t xml:space="preserve"> B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A gyermekre vonatkozó potenciálisan különleges adat hosszú ideig megmaradhat közös vagy elveszett eszközön, és minden azonos originű script hozzáférhet.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A Webflow engine nem ír kérdőívdraftot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localStorage</w:t>
      </w:r>
      <w:r>
        <w:t xml:space="preserve">-ba; a korábbi draftkulcs csak eltávolítási célból maradt kompatibilitási takarításként.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public/webflow/engine.js:12</w:t>
      </w:r>
      <w:r>
        <w:t xml:space="preserve"> - legacy draftkulcs;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public/webflow/engine.js:5032,5042,5050</w:t>
      </w:r>
      <w:r>
        <w:t xml:space="preserve"> - korábbi draft törlése;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nincs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localStorage.setItem(DRAFT_STORAGE_KEY, ...)</w:t>
      </w:r>
      <w:r>
        <w:t xml:space="preserve"> művelet.</w:t>
      </w:r>
    </w:p>
    <w:p>
      <w:pPr>
        <w:pStyle w:val="BodyText"/>
        <w:spacing w:before="0" w:after="110"/>
      </w:pPr>
      <w:r>
        <w:rPr>
          <w:b/>
        </w:rPr>
        <w:t xml:space="preserve">Automatizált bizonyíték:</w:t>
      </w:r>
      <w:r>
        <w:t xml:space="preserve">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npm run audit:security</w:t>
      </w:r>
      <w:r>
        <w:t xml:space="preserve"> - PASS: „Questionnaire draft answers are not persisted in localStorage”.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A kitöltés alatti értékek a böngésző memóriájában vannak; XSS- és eszközbiztonság továbbra is releváns.</w:t>
      </w:r>
    </w:p>
    <w:p>
      <w:pPr>
        <w:pStyle w:val="Heading3"/>
        <w:spacing w:before="210" w:after="100"/>
        <w:keepNext/>
      </w:pPr>
      <w:r>
        <w:t xml:space="preserve">SEC-009 - Stripe webhook aláírás ellenőrzése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kóddal igazolva </w:t>
      </w:r>
      <w:r>
        <w:rPr>
          <w:b/>
        </w:rPr>
        <w:t xml:space="preserve">Bizonyítéki minősítés:</w:t>
      </w:r>
      <w:r>
        <w:t xml:space="preserve"> C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Aláírás-ellenőrzés nélkül támadó hamis fizetési eseménnyel riportot, emailt vagy számlát indíthatna.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A webhook controller átadja a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stripe-signature</w:t>
      </w:r>
      <w:r>
        <w:t xml:space="preserve"> fejlécet, és az esemény kizárólag a Stripe SDK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webhooks.constructEvent</w:t>
      </w:r>
      <w:r>
        <w:t xml:space="preserve"> ellenőrzése után kerül feldolgozásra. A webhook secret kötelező környezeti változó.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src/api/controllers/webhook.controller.js:7</w:t>
      </w:r>
      <w:r>
        <w:t xml:space="preserve"> - signature fejléc;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src/services/stripe.service.js:238-242</w:t>
      </w:r>
      <w:r>
        <w:t xml:space="preserve"> - secret ellenőrzés és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constructEvent</w:t>
      </w:r>
      <w:r>
        <w:t xml:space="preserve">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src/config/env.js:172</w:t>
      </w:r>
      <w:r>
        <w:t xml:space="preserve"> - kötelező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STRIPE_WEBHOOK_SECRET</w:t>
      </w:r>
      <w:r>
        <w:t xml:space="preserve">.</w:t>
      </w:r>
    </w:p>
    <w:p>
      <w:pPr>
        <w:pStyle w:val="BodyText"/>
        <w:spacing w:before="0" w:after="110"/>
      </w:pPr>
      <w:r>
        <w:rPr>
          <w:b/>
        </w:rPr>
        <w:t xml:space="preserve">Belső ellenőrzés:</w:t>
      </w:r>
      <w:r>
        <w:t xml:space="preserve"> forráskódvizsgálat.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Nincs ehhez a pillanatképhez csatolt Stripe CLI valid/invalid signature replay eredmény vagy dashboard screenshot.</w:t>
      </w:r>
    </w:p>
    <w:p>
      <w:pPr>
        <w:pStyle w:val="BodyText"/>
        <w:spacing w:before="0" w:after="110"/>
      </w:pPr>
      <w:r>
        <w:rPr>
          <w:b/>
        </w:rPr>
        <w:t xml:space="preserve">A szinthez még szükséges:</w:t>
      </w:r>
      <w:r>
        <w:t xml:space="preserve"> teszt webhook érvényes és hibás aláírással, eseményazonosítóval és időbélyeggel.</w:t>
      </w:r>
    </w:p>
    <w:p>
      <w:pPr>
        <w:pStyle w:val="Heading3"/>
        <w:spacing w:before="210" w:after="100"/>
        <w:keepNext/>
      </w:pPr>
      <w:r>
        <w:t xml:space="preserve">SEC-010 - Webhook idempotencia, feldolgozási claim és payload-minimalizálás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belsőleg ellenőrizve </w:t>
      </w:r>
      <w:r>
        <w:rPr>
          <w:b/>
        </w:rPr>
        <w:t xml:space="preserve">Bizonyítéki minősítés:</w:t>
      </w:r>
      <w:r>
        <w:t xml:space="preserve"> B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A Stripe eseményeket ismételten kézbesítheti. Párhuzamos feldolgozás dupla queue-jobot, emailt vagy számlát okozhat. Teljes webhook objektum tárolása felesleges személyes és fizetési metaadatot őrizhet meg.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A webhook esemény egyedi claim tokennel, státusz- és stale-feldolgozás szabályokkal foglalható le. Adatbázisba csak allowlistelt, minimalizált audit payload kerül. A payload külön életciklus szerint redaktálható.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src/services/webhook.service.js:19-37</w:t>
      </w:r>
      <w:r>
        <w:t xml:space="preserve"> - payload allowlist/minimalizálás;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src/services/webhook.service.js:53-84</w:t>
      </w:r>
      <w:r>
        <w:t xml:space="preserve"> - claim és safe payload tárolás;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src/services/webhook.service.js:115,217</w:t>
      </w:r>
      <w:r>
        <w:t xml:space="preserve"> - feldolgozás lezárása és claim használata;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src/db/migrations/014_webhook_event_claims.sql</w:t>
      </w:r>
      <w:r>
        <w:t xml:space="preserve"> - processing token és index;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src/db/migrations/018_security_hardening.sql:39</w:t>
      </w:r>
      <w:r>
        <w:t xml:space="preserve"> - payload redaction időpont;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src/db/migrations/002_webhook_events.sql:7-10</w:t>
      </w:r>
      <w:r>
        <w:t xml:space="preserve"> - payload és feldolgozási mezők.</w:t>
      </w:r>
    </w:p>
    <w:p>
      <w:pPr>
        <w:pStyle w:val="BodyText"/>
        <w:spacing w:before="0" w:after="110"/>
      </w:pPr>
      <w:r>
        <w:rPr>
          <w:b/>
        </w:rPr>
        <w:t xml:space="preserve">Automatizált bizonyíték:</w:t>
      </w:r>
      <w:r>
        <w:t xml:space="preserve">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npm run audit:security</w:t>
      </w:r>
      <w:r>
        <w:t xml:space="preserve"> - PASS: „Stripe webhook payload is minimized before database persistence”.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A teljes idempotencia éles bizonyítása ismételt azonos Stripe event replay-jel szükséges.</w:t>
      </w:r>
    </w:p>
    <w:p>
      <w:pPr>
        <w:pStyle w:val="Heading3"/>
        <w:spacing w:before="210" w:after="100"/>
        <w:keepNext/>
      </w:pPr>
      <w:r>
        <w:t xml:space="preserve">SEC-011 - Stripe checkout létrehozási idempotencia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kóddal igazolva </w:t>
      </w:r>
      <w:r>
        <w:rPr>
          <w:b/>
        </w:rPr>
        <w:t xml:space="preserve">Bizonyítéki minősítés:</w:t>
      </w:r>
      <w:r>
        <w:t xml:space="preserve"> C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Hálózati retry vagy többszöri kattintás több checkout sessiont hozhat létre ugyanahhoz a kérdőív-sessionhöz.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A checkout létrehozás determinisztikus idempotency key-t használ, amelyet a Stripe SDK kérésopcióként kap meg.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src/services/stripe.service.js:144</w:t>
      </w:r>
      <w:r>
        <w:t xml:space="preserve"> - idempotency key képzése;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src/services/stripe.service.js:230</w:t>
      </w:r>
      <w:r>
        <w:t xml:space="preserve"> - idempotency key átadása.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Stripe tesztkörnyezetben párhuzamos retry eredménnyel még igazolandó.</w:t>
      </w:r>
    </w:p>
    <w:p>
      <w:pPr>
        <w:pStyle w:val="Heading3"/>
        <w:spacing w:before="210" w:after="100"/>
        <w:keepNext/>
      </w:pPr>
      <w:r>
        <w:t xml:space="preserve">SEC-012 - Elemzési queue lease, heartbeat, ownership és visszaállítás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kóddal igazolva </w:t>
      </w:r>
      <w:r>
        <w:rPr>
          <w:b/>
        </w:rPr>
        <w:t xml:space="preserve">Bizonyítéki minősítés:</w:t>
      </w:r>
      <w:r>
        <w:t xml:space="preserve"> C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Több worker ugyanazt a jobot dolgozhatja fel; worker crash esetén job maradhat örökre processing állapotban; korábbi worker későn visszaírhatja egy új lease eredményét.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Egyedi lease token, heartbeat,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FOR UPDATE SKIP LOCKED</w:t>
      </w:r>
      <w:r>
        <w:t xml:space="preserve">, ownership ellenőrzés, időzített retry és stale-job recovery került bevezetésre. A terminális hibák kísérletszámhoz kötöttek.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src/db/migrations/013_analysis_job_leases.sql:2-10</w:t>
      </w:r>
      <w:r>
        <w:t xml:space="preserve"> - lease és heartbeat mezők/index;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src/services/analysis-queue.service.js:74-99</w:t>
      </w:r>
      <w:r>
        <w:t xml:space="preserve"> - claim, heartbeat és SKIP LOCKED;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src/services/analysis-queue.service.js:108-195</w:t>
      </w:r>
      <w:r>
        <w:t xml:space="preserve"> - lease ownership és retry;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src/services/analysis-queue.service.js:224</w:t>
      </w:r>
      <w:r>
        <w:t xml:space="preserve"> - stale recovery;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src/services/analysis-job-lease.service.js:13-45</w:t>
      </w:r>
      <w:r>
        <w:t xml:space="preserve"> - heartbeat és ownership assert.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Több workerrel végzett fault-injection teszt és Railway restart-próba még szükséges.</w:t>
      </w:r>
    </w:p>
    <w:p>
      <w:pPr>
        <w:pStyle w:val="Heading3"/>
        <w:spacing w:before="210" w:after="100"/>
        <w:keepNext/>
      </w:pPr>
      <w:r>
        <w:t xml:space="preserve">SEC-013 - Számlafeldolgozási claim és idempotens státuszmodell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kóddal igazolva </w:t>
      </w:r>
      <w:r>
        <w:rPr>
          <w:b/>
        </w:rPr>
        <w:t xml:space="preserve">Bizonyítéki minősítés:</w:t>
      </w:r>
      <w:r>
        <w:t xml:space="preserve"> C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Párhuzamos számlázási retry duplikált számlát állíthat ki; elakadt processing státusz nem áll helyre.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A számla rekord processing tokennel foglalható le; csak megengedett kezdőstátuszból indulhat; a stale feldolgozás helyreállítható; success/failure csak a megfelelő token birtokában írható vissza.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src/db/migrations/015_invoice_processing_claims.sql:2-6</w:t>
      </w:r>
      <w:r>
        <w:t xml:space="preserve"> - processing token és index;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src/db/migrations/006_invoices.sql:6-27</w:t>
      </w:r>
      <w:r>
        <w:t xml:space="preserve"> - státuszok, kísérletszám és időpontok;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src/services/invoice.service.js:140-189</w:t>
      </w:r>
      <w:r>
        <w:t xml:space="preserve"> - claim és stale recovery;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src/services/invoice.service.js:253-325</w:t>
      </w:r>
      <w:r>
        <w:t xml:space="preserve"> - issued/failure lezárás tokenfeltétellel.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Számlázz.hu sandboxban párhuzamos retry- és provider-timeout teszt szükséges.</w:t>
      </w:r>
    </w:p>
    <w:p>
      <w:pPr>
        <w:pStyle w:val="Heading3"/>
        <w:spacing w:before="210" w:after="100"/>
        <w:keepNext/>
      </w:pPr>
      <w:r>
        <w:t xml:space="preserve">SEC-014 - Különleges adatokhoz kifejezett hozzájárulás és reklámcélú tiltás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belsőleg ellenőrizve </w:t>
      </w:r>
      <w:r>
        <w:rPr>
          <w:b/>
        </w:rPr>
        <w:t xml:space="preserve">Bizonyítéki minősítés:</w:t>
      </w:r>
      <w:r>
        <w:t xml:space="preserve"> B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A gyermek viselkedésére és lehetséges egészségi mintázataira vonatkozó adatok különleges személyes adatnak minősülhetnek. Kifejezett hozzájárulás és bizonyítható policy-verzió nélkül az adatkezelés jogalapja és elszámoltathatósága gyenge. Érzékeny adatok reklámprofilozásra továbbítása különösen magas kockázatú.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Verziózott explicit consent receipt, különleges adathoz adott hozzájárulás, visszavonási állapot és consent event napló készült. A rendszer az érzékeny folyamatban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advertising=false</w:t>
      </w:r>
      <w:r>
        <w:t xml:space="preserve"> értéket követel; opcionális analytics hozzájárulás külön kezelhető.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src/services/consent.service.js:17-19</w:t>
      </w:r>
      <w:r>
        <w:t xml:space="preserve"> - withdrawal és special category consent;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src/services/consent.service.js:63-65</w:t>
      </w:r>
      <w:r>
        <w:t xml:space="preserve"> - advertising consent tiltása;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src/services/consent.service.js:94-95,126-127</w:t>
      </w:r>
      <w:r>
        <w:t xml:space="preserve"> - analytics és advertising szétválasztása;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src/services/consent.service.js:151-158</w:t>
      </w:r>
      <w:r>
        <w:t xml:space="preserve"> - bizonyító consent event mezők;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src/services/consent.service.js:203-247</w:t>
      </w:r>
      <w:r>
        <w:t xml:space="preserve"> - receipt és policy-verzió ellenőrzése;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src/services/consent.service.js:316-350</w:t>
      </w:r>
      <w:r>
        <w:t xml:space="preserve"> - visszavonás és sessionkorlátozás.</w:t>
      </w:r>
    </w:p>
    <w:p>
      <w:pPr>
        <w:pStyle w:val="BodyText"/>
        <w:spacing w:before="0" w:after="110"/>
      </w:pPr>
      <w:r>
        <w:rPr>
          <w:b/>
        </w:rPr>
        <w:t xml:space="preserve">Automatizált bizonyíték:</w:t>
      </w:r>
      <w:r>
        <w:t xml:space="preserve">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npm run smoke:legal-consent</w:t>
      </w:r>
      <w:r>
        <w:t xml:space="preserve"> -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[smoke:legal-consent] OK</w:t>
      </w:r>
      <w:r>
        <w:t xml:space="preserve">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A hozzájárulási szöveg jogi megfelelőségét és a gyermek/szülői jogosultság kezelését célországonként jogi szakértőnek kell jóváhagynia.</w:t>
      </w:r>
    </w:p>
    <w:p>
      <w:pPr>
        <w:pStyle w:val="Heading3"/>
        <w:spacing w:before="210" w:after="100"/>
        <w:keepNext/>
      </w:pPr>
      <w:r>
        <w:t xml:space="preserve">SEC-015 - Adatmegőrzés, redakció és érzékeny session törlése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belsőleg ellenőrizve </w:t>
      </w:r>
      <w:r>
        <w:rPr>
          <w:b/>
        </w:rPr>
        <w:t xml:space="preserve">Bizonyítéki minősítés:</w:t>
      </w:r>
      <w:r>
        <w:t xml:space="preserve"> B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Határidő nélküli kérdőív-, riport- és webhook-adattárolás sérti az adattakarékosság és korlátozott tárolhatóság elvét, és növeli egy incidens hatását.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Adatmegőrzési mátrix, sessionenkénti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retention_delete_at</w:t>
      </w:r>
      <w:r>
        <w:t xml:space="preserve">, érzékeny mezők pszeudonimizálása/törlése, webhook payload redakció és batch lifecycle runner készült. A számlázási megőrzési kivétel dokumentált.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docs/RETENTION_AND_ERASURE_SCHEDULE.md:13-33</w:t>
      </w:r>
      <w:r>
        <w:t xml:space="preserve"> - megőrzési mátrix, napi lifecycle és jogi kivétel;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src/db/migrations/016_consent_and_data_lifecycle.sql:6</w:t>
      </w:r>
      <w:r>
        <w:t xml:space="preserve"> - retention delete időpont;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src/services/data-governance.service.js:164-211</w:t>
      </w:r>
      <w:r>
        <w:t xml:space="preserve"> - érzékeny sessionadatok törlése és pszeudonimizálás;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src/services/data-lifecycle.service.js:11-71</w:t>
      </w:r>
      <w:r>
        <w:t xml:space="preserve"> - batch erasure és webhook-redakció;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src/services/data-lifecycle.service.js:211-212</w:t>
      </w:r>
      <w:r>
        <w:t xml:space="preserve"> - lifecycle runner.</w:t>
      </w:r>
    </w:p>
    <w:p>
      <w:pPr>
        <w:pStyle w:val="BodyText"/>
        <w:spacing w:before="0" w:after="110"/>
      </w:pPr>
      <w:r>
        <w:rPr>
          <w:b/>
        </w:rPr>
        <w:t xml:space="preserve">Automatizált bizonyíték:</w:t>
      </w:r>
      <w:r>
        <w:t xml:space="preserve">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npm run smoke:legal-governance</w:t>
      </w:r>
      <w:r>
        <w:t xml:space="preserve"> -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[smoke:legal-governance] OK</w:t>
      </w:r>
      <w:r>
        <w:t xml:space="preserve">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Éles cronfutás, törlési napló és backupból való lejárat igazolása szükséges.</w:t>
      </w:r>
    </w:p>
    <w:p>
      <w:pPr>
        <w:pStyle w:val="Heading3"/>
        <w:spacing w:before="210" w:after="100"/>
        <w:keepNext/>
      </w:pPr>
      <w:r>
        <w:t xml:space="preserve">SEC-016 - Érintetti kérelmek tokenvédett feldolgozása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belsőleg ellenőrizve </w:t>
      </w:r>
      <w:r>
        <w:rPr>
          <w:b/>
        </w:rPr>
        <w:t xml:space="preserve">Bizonyítéki minősítés:</w:t>
      </w:r>
      <w:r>
        <w:t xml:space="preserve"> B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Gyenge kérelmezőazonosítás esetén támadó más személy adatait kérheti le, módosíthatja vagy törölheti.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Hozzáférés, hordozhatóság, korlátozás, hozzájárulás-visszavonás, törlés és helyesbítés kezelése készült. A request token csak hash-elve tárolódik, összehasonlítása timing-safe; session hozzáférési token szükséges. A számlázási jogi kivétel elkülönül.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src/db/migrations/019_legal_governance_and_data_subject_rights.sql:51-93</w:t>
      </w:r>
      <w:r>
        <w:t xml:space="preserve"> - privacy request és event táblák, token hash és indexek;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src/services/privacy-rights.service.js:283-319</w:t>
      </w:r>
      <w:r>
        <w:t xml:space="preserve"> - random token, hash és session token ellenőrzés;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src/services/privacy-rights.service.js:328-393</w:t>
      </w:r>
      <w:r>
        <w:t xml:space="preserve"> - export, korlátozás, visszavonás és törlés;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src/services/privacy-rights.service.js:461-465</w:t>
      </w:r>
      <w:r>
        <w:t xml:space="preserve"> - timing-safe request token ellenőrzés;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docs/DATA_SUBJECT_RIGHTS_RUNBOOK.md:7-34</w:t>
      </w:r>
      <w:r>
        <w:t xml:space="preserve"> - hitelesített privacy center, határidő és export szabályok.</w:t>
      </w:r>
    </w:p>
    <w:p>
      <w:pPr>
        <w:pStyle w:val="BodyText"/>
        <w:spacing w:before="0" w:after="110"/>
      </w:pPr>
      <w:r>
        <w:rPr>
          <w:b/>
        </w:rPr>
        <w:t xml:space="preserve">Automatizált bizonyíték:</w:t>
      </w:r>
      <w:r>
        <w:t xml:space="preserve">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npm run smoke:legal-governance</w:t>
      </w:r>
      <w:r>
        <w:t xml:space="preserve"> - OK.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Az ügyfélszolgálati személyazonosság-ellenőrzés, határidőfigyelés és elutasítási folyamat operatív próbája szükséges.</w:t>
      </w:r>
    </w:p>
    <w:p>
      <w:pPr>
        <w:pStyle w:val="Heading3"/>
        <w:spacing w:before="210" w:after="100"/>
        <w:keepNext/>
      </w:pPr>
      <w:r>
        <w:t xml:space="preserve">SEC-017 - Jogi és adatvédelmi launch gate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belsőleg ellenőrizve </w:t>
      </w:r>
      <w:r>
        <w:rPr>
          <w:b/>
        </w:rPr>
        <w:t xml:space="preserve">Bizonyítéki minősítés:</w:t>
      </w:r>
      <w:r>
        <w:t xml:space="preserve"> B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A checkout technikailag elindulhat akkor is, ha kötelező privacy policy, DPIA, vendor DPA, security vagy szakmai tartalmi jóváhagyás hiányzik.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Kódolt readiness-check és launch-gate készült a szükséges jóváhagyási kategóriákkal. A checkout blokkolási viselkedés konfigurálható; a jogi sign-off dokumentum rögzíti, hogy ez nem megfelelőségi tanúsítvány.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src/services/launch-gate.service.js:4-66</w:t>
      </w:r>
      <w:r>
        <w:t xml:space="preserve"> - kötelező jóváhagyások, állapot és checkout gate;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src/config/env.js:298</w:t>
      </w:r>
      <w:r>
        <w:t xml:space="preserve"> - legal approval flag;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docs/LEGAL_RELEASE_SIGNOFF.md:5</w:t>
      </w:r>
      <w:r>
        <w:t xml:space="preserve"> - launch gate korlátozása és sign-off rend.</w:t>
      </w:r>
    </w:p>
    <w:p>
      <w:pPr>
        <w:pStyle w:val="BodyText"/>
        <w:spacing w:before="0" w:after="110"/>
      </w:pPr>
      <w:r>
        <w:rPr>
          <w:b/>
        </w:rPr>
        <w:t xml:space="preserve">Automatizált bizonyíték:</w:t>
      </w:r>
      <w:r>
        <w:t xml:space="preserve">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npm run smoke:launch-gate</w:t>
      </w:r>
      <w:r>
        <w:t xml:space="preserve"> - „Launch gate smoke test passed.” A teszt adatbázis nélküli, kontrollált fixture-környezetben futott; az „outstanding readiness checks” log a negatív állapot modellezését mutatja, nem éles jóváhagyást.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A production approval rekordok, felelősök és aláírt külső dokumentumok nélkül a launch gate nem jelent jogi megfelelőséget.</w:t>
      </w:r>
    </w:p>
    <w:p>
      <w:pPr>
        <w:pStyle w:val="Heading3"/>
        <w:spacing w:before="210" w:after="100"/>
        <w:keepNext/>
      </w:pPr>
      <w:r>
        <w:t xml:space="preserve">SEC-018 - Kötelező titkok és production konfiguráció validálása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kóddal igazolva </w:t>
      </w:r>
      <w:r>
        <w:rPr>
          <w:b/>
        </w:rPr>
        <w:t xml:space="preserve">Bizonyítéki minősítés:</w:t>
      </w:r>
      <w:r>
        <w:t xml:space="preserve"> C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Hiányzó vagy üres OpenAI, Stripe, webhook, Resend, email- és URL-konfiguráció hibás fizetési, riport- vagy kommunikációs folyamatot, illetve biztonságtalan fallbacket okozhat.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A konfigurációs modul kötelező változókat és biztonsági alapértékeket definiál, az adatbázis-konfiguráció hibáját diagnosztizálja.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src/config/env.js:168-180</w:t>
      </w:r>
      <w:r>
        <w:t xml:space="preserve"> - OpenAI, Stripe, webhook, Resend, email és URL változók;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src/config/env.js:202-239</w:t>
      </w:r>
      <w:r>
        <w:t xml:space="preserve"> - admin, SSL, rate limit és public token biztonsági beállítások.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A titkok tényleges erőssége, rotációja, Railway scope-ja és hozzáférési köre repo-szinten nem ellenőrizhető.</w:t>
      </w:r>
    </w:p>
    <w:p>
      <w:pPr>
        <w:pStyle w:val="Heading3"/>
        <w:spacing w:before="210" w:after="100"/>
        <w:keepNext/>
      </w:pPr>
      <w:r>
        <w:t xml:space="preserve">SEC-019 - Production függőségek sérülékenységi ellenőrzése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2026. július 20-án belsőleg ellenőrizve </w:t>
      </w:r>
      <w:r>
        <w:rPr>
          <w:b/>
        </w:rPr>
        <w:t xml:space="preserve">Bizonyítéki minősítés:</w:t>
      </w:r>
      <w:r>
        <w:t xml:space="preserve"> B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Ismert sérülékenységet tartalmazó npm-függőség távoli kódfuttatást, szolgáltatásmegtagadást vagy adatszivárgást okozhat.</w:t>
      </w:r>
    </w:p>
    <w:p>
      <w:pPr>
        <w:pStyle w:val="BodyText"/>
        <w:spacing w:before="0" w:after="110"/>
      </w:pPr>
      <w:r>
        <w:rPr>
          <w:b/>
        </w:rPr>
        <w:t xml:space="preserve">Végrehajtott kontroll:</w:t>
      </w:r>
      <w:r>
        <w:t xml:space="preserve"> A production dependency tree rendszeresen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npm audit --omit=dev</w:t>
      </w:r>
      <w:r>
        <w:t xml:space="preserve"> ellenőrzést kap. A jelen pillanatkép auditja 151 összes függőséget és 0 ismert sérülékenységet jelzett.</w:t>
      </w:r>
    </w:p>
    <w:p>
      <w:pPr>
        <w:pStyle w:val="BodyText"/>
        <w:spacing w:before="0" w:after="110"/>
      </w:pPr>
      <w:r>
        <w:rPr>
          <w:b/>
        </w:rPr>
        <w:t xml:space="preserve">Automatizált bizonyíték:</w:t>
      </w:r>
      <w:r>
        <w:t xml:space="preserve"> 2026-07-20, </w:t>
      </w:r>
      <w:r>
        <w:rPr>
          <w:rFonts w:ascii="Consolas" w:hAnsi="Consolas"/>
          <w:shd w:val="clear" w:color="auto" w:fill="E9EEF3"/>
          <w:sz w:val="18"/>
          <w:szCs w:val="18"/>
        </w:rPr>
        <w:t xml:space="preserve">NODE_OPTIONS=--use-system-ca npm audit --omit=dev --json</w:t>
      </w:r>
      <w:r>
        <w:t xml:space="preserve">, exit code 0; info/low/moderate/high/critical/total mind 0.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Az audit csak az npm advisory adatbázisban ismert és a lockfile-ban azonosítható hibákat látja; zero-day és alkalmazáslogikai hibát nem zár ki.</w:t>
      </w:r>
    </w:p>
    <w:p>
      <w:pPr>
        <w:pStyle w:val="Heading3"/>
        <w:spacing w:before="210" w:after="100"/>
        <w:keepNext/>
      </w:pPr>
      <w:r>
        <w:t xml:space="preserve">SEC-020 - Biztonsági események, hibák és működési állapot monitorozhatósága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bevezetve, kóddal és admin funkciókkal igazolva </w:t>
      </w:r>
      <w:r>
        <w:rPr>
          <w:b/>
        </w:rPr>
        <w:t xml:space="preserve">Bizonyítéki minősítés:</w:t>
      </w:r>
      <w:r>
        <w:t xml:space="preserve"> C</w:t>
      </w:r>
    </w:p>
    <w:p>
      <w:pPr>
        <w:pStyle w:val="BodyText"/>
        <w:spacing w:before="0" w:after="110"/>
      </w:pPr>
      <w:r>
        <w:rPr>
          <w:b/>
        </w:rPr>
        <w:t xml:space="preserve">Kiinduló kockázat:</w:t>
      </w:r>
      <w:r>
        <w:t xml:space="preserve"> Elakadt queue, sikertelen email, feldolgozatlan webhook vagy hibás számlázás észrevétlen maradhat, ami ügyfélkárosodást és késői incidenskezelést okoz.</w:t>
      </w:r>
    </w:p>
    <w:p>
      <w:pPr>
        <w:pStyle w:val="BodyText"/>
        <w:spacing w:before="0" w:after="110"/>
      </w:pPr>
      <w:r>
        <w:rPr>
          <w:b/>
        </w:rPr>
        <w:t xml:space="preserve">Végrehajtott javítás:</w:t>
      </w:r>
      <w:r>
        <w:t xml:space="preserve"> Admin control center, queue-, email-, post-payment- és operational alert funkciók, esemény- és retry státuszok készültek. A webhook, queue, invoice, consent és privacy folyamatok külön adatbázis-állapotot és auditmezőket használnak.</w:t>
      </w:r>
    </w:p>
    <w:p>
      <w:pPr>
        <w:pStyle w:val="BodyText"/>
        <w:spacing w:before="0" w:after="110"/>
      </w:pPr>
      <w:r>
        <w:rPr>
          <w:b/>
        </w:rPr>
        <w:t xml:space="preserve">Forrásbizonyíték: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src/services/admin-alert.service.js</w:t>
      </w:r>
      <w:r>
        <w:t xml:space="preserve"> - admin riasztási összesítések;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src/services/post-payment-monitoring.service.js</w:t>
      </w:r>
      <w:r>
        <w:t xml:space="preserve"> - fizetés utáni folyamatfigyelés;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src/services/analysis-queue.service.js</w:t>
      </w:r>
      <w:r>
        <w:t xml:space="preserve"> - queue állapot, retry és stale recovery;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src/services/webhook.service.js</w:t>
      </w:r>
      <w:r>
        <w:t xml:space="preserve"> - webhook állapotok;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rPr>
          <w:rFonts w:ascii="Consolas" w:hAnsi="Consolas"/>
          <w:shd w:val="clear" w:color="auto" w:fill="E9EEF3"/>
          <w:sz w:val="18"/>
          <w:szCs w:val="18"/>
        </w:rPr>
        <w:t xml:space="preserve">public/admin-dashboard.js</w:t>
      </w:r>
      <w:r>
        <w:t xml:space="preserve"> - műveleti és monitorozási felület.</w:t>
      </w:r>
    </w:p>
    <w:p>
      <w:pPr>
        <w:pStyle w:val="BodyText"/>
        <w:spacing w:before="0" w:after="110"/>
      </w:pPr>
      <w:r>
        <w:rPr>
          <w:b/>
        </w:rPr>
        <w:t xml:space="preserve">Fennmaradó kockázat:</w:t>
      </w:r>
      <w:r>
        <w:t xml:space="preserve"> Nincs csatolt külső, 24/7 riasztási csatorna, SIEM, log-retention export, on-call rend vagy bizonyított reakcióidő.</w:t>
      </w:r>
    </w:p>
    <w:p>
      <w:pPr>
        <w:pStyle w:val="Heading1"/>
        <w:spacing w:before="260" w:after="150"/>
        <w:keepNext/>
        <w:pageBreakBefore/>
      </w:pPr>
      <w:r>
        <w:t xml:space="preserve">7. Függő külső és üzemeltetési bizonyítékok</w:t>
      </w:r>
    </w:p>
    <w:p>
      <w:pPr>
        <w:pStyle w:val="Heading3"/>
        <w:spacing w:before="210" w:after="100"/>
        <w:keepNext/>
      </w:pPr>
      <w:r>
        <w:t xml:space="preserve">SEC-P01 - Független penetrációs teszt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nyitott </w:t>
      </w:r>
      <w:r>
        <w:rPr>
          <w:b/>
        </w:rPr>
        <w:t xml:space="preserve">Minősítés:</w:t>
      </w:r>
      <w:r>
        <w:t xml:space="preserve"> P </w:t>
      </w:r>
      <w:r>
        <w:rPr>
          <w:b/>
        </w:rPr>
        <w:t xml:space="preserve">Szükséges eredmény:</w:t>
      </w:r>
      <w:r>
        <w:t xml:space="preserve"> OWASP-alapú, külső fél által végzett API-, admin-, Webflow-, checkout- és jogosultsági teszt; megállapítások, javítási retest és aláírt zárójelentés. </w:t>
      </w:r>
      <w:r>
        <w:rPr>
          <w:b/>
        </w:rPr>
        <w:t xml:space="preserve">Élesítésre gyakorolt hatás:</w:t>
      </w:r>
      <w:r>
        <w:t xml:space="preserve"> erősen ajánlott az első nagy kampány előtt; külső „auditált” állítás feltétele.</w:t>
      </w:r>
    </w:p>
    <w:p>
      <w:pPr>
        <w:pStyle w:val="Heading3"/>
        <w:spacing w:before="210" w:after="100"/>
        <w:keepNext/>
      </w:pPr>
      <w:r>
        <w:t xml:space="preserve">SEC-P02 - Production IAM- és titokkezelési bizonyíték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nyitott </w:t>
      </w:r>
      <w:r>
        <w:rPr>
          <w:b/>
        </w:rPr>
        <w:t xml:space="preserve">Minősítés:</w:t>
      </w:r>
      <w:r>
        <w:t xml:space="preserve"> P </w:t>
      </w:r>
      <w:r>
        <w:rPr>
          <w:b/>
        </w:rPr>
        <w:t xml:space="preserve">Szükséges eredmény:</w:t>
      </w:r>
      <w:r>
        <w:t xml:space="preserve"> Railway, Stripe, OpenAI, Resend, Számlázz.hu és adatbázis felhasználók/role-ok listája; MFA; legkisebb jogosultság; titokrotáció dátuma; kilépő felhasználó visszavonási folyamat. </w:t>
      </w:r>
      <w:r>
        <w:rPr>
          <w:b/>
        </w:rPr>
        <w:t xml:space="preserve">Élesítésre gyakorolt hatás:</w:t>
      </w:r>
      <w:r>
        <w:t xml:space="preserve"> kötelező üzemeltetési sign-off.</w:t>
      </w:r>
    </w:p>
    <w:p>
      <w:pPr>
        <w:pStyle w:val="Heading3"/>
        <w:spacing w:before="210" w:after="100"/>
        <w:keepNext/>
      </w:pPr>
      <w:r>
        <w:t xml:space="preserve">SEC-P03 - Szállítói DPA, adattovábbítás és alfeldolgozói bizonyíték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nyitott </w:t>
      </w:r>
      <w:r>
        <w:rPr>
          <w:b/>
        </w:rPr>
        <w:t xml:space="preserve">Minősítés:</w:t>
      </w:r>
      <w:r>
        <w:t xml:space="preserve"> P </w:t>
      </w:r>
      <w:r>
        <w:rPr>
          <w:b/>
        </w:rPr>
        <w:t xml:space="preserve">Szükséges eredmény:</w:t>
      </w:r>
      <w:r>
        <w:t xml:space="preserve"> DPA-k, régiók, SCC/TIA ahol szükséges, retention és tréningre felhasználás kizárása/konfigurációja, alfeldolgozói lista. </w:t>
      </w:r>
      <w:r>
        <w:rPr>
          <w:b/>
        </w:rPr>
        <w:t xml:space="preserve">Élesítésre gyakorolt hatás:</w:t>
      </w:r>
      <w:r>
        <w:t xml:space="preserve"> jogi és DPIA lezárási feltétel.</w:t>
      </w:r>
    </w:p>
    <w:p>
      <w:pPr>
        <w:pStyle w:val="Heading3"/>
        <w:spacing w:before="210" w:after="100"/>
        <w:keepNext/>
      </w:pPr>
      <w:r>
        <w:t xml:space="preserve">SEC-P04 - Éles konfigurációs pillanatkép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nyitott </w:t>
      </w:r>
      <w:r>
        <w:rPr>
          <w:b/>
        </w:rPr>
        <w:t xml:space="preserve">Minősítés:</w:t>
      </w:r>
      <w:r>
        <w:t xml:space="preserve"> P </w:t>
      </w:r>
      <w:r>
        <w:rPr>
          <w:b/>
        </w:rPr>
        <w:t xml:space="preserve">Szükséges eredmény:</w:t>
      </w:r>
      <w:r>
        <w:t xml:space="preserve"> titkok nélküli, dátumozott Railway konfigurációexport vagy screenshot a következőkről: secure cookie, legacy auth false, public token required, DB rate limit, fail closed, DB SSL, CORS allowlist, webhook retention és launch gate. </w:t>
      </w:r>
      <w:r>
        <w:rPr>
          <w:b/>
        </w:rPr>
        <w:t xml:space="preserve">Élesítésre gyakorolt hatás:</w:t>
      </w:r>
      <w:r>
        <w:t xml:space="preserve"> kötelező belső release evidence.</w:t>
      </w:r>
    </w:p>
    <w:p>
      <w:pPr>
        <w:pStyle w:val="Heading3"/>
        <w:spacing w:before="210" w:after="100"/>
        <w:keepNext/>
      </w:pPr>
      <w:r>
        <w:t xml:space="preserve">SEC-P05 - Backup restore, worker crash és incidensgyakorlat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nyitott </w:t>
      </w:r>
      <w:r>
        <w:rPr>
          <w:b/>
        </w:rPr>
        <w:t xml:space="preserve">Minősítés:</w:t>
      </w:r>
      <w:r>
        <w:t xml:space="preserve"> P </w:t>
      </w:r>
      <w:r>
        <w:rPr>
          <w:b/>
        </w:rPr>
        <w:t xml:space="preserve">Szükséges eredmény:</w:t>
      </w:r>
      <w:r>
        <w:t xml:space="preserve"> dátumozott adatbázis-restore próba, worker kill/recovery, webhook replay, queue lease takeover, duplikált számla elleni próba és incidens runbook tabletop jegyzőkönyv. </w:t>
      </w:r>
      <w:r>
        <w:rPr>
          <w:b/>
        </w:rPr>
        <w:t xml:space="preserve">Élesítésre gyakorolt hatás:</w:t>
      </w:r>
      <w:r>
        <w:t xml:space="preserve"> nagy kampány előtt kötelező kapacitási és helyreállítási bizonyíték.</w:t>
      </w:r>
    </w:p>
    <w:p>
      <w:pPr>
        <w:pStyle w:val="Heading3"/>
        <w:spacing w:before="210" w:after="100"/>
        <w:keepNext/>
      </w:pPr>
      <w:r>
        <w:t xml:space="preserve">SEC-P06 - Független jogi, adatvédelmi és szakmai tartalmi jóváhagyás</w:t>
      </w:r>
    </w:p>
    <w:p>
      <w:pPr>
        <w:pStyle w:val="BodyText"/>
        <w:spacing w:before="0" w:after="110"/>
      </w:pPr>
      <w:r>
        <w:rPr>
          <w:b/>
        </w:rPr>
        <w:t xml:space="preserve">Állapot:</w:t>
      </w:r>
      <w:r>
        <w:t xml:space="preserve"> nyitott </w:t>
      </w:r>
      <w:r>
        <w:rPr>
          <w:b/>
        </w:rPr>
        <w:t xml:space="preserve">Minősítés:</w:t>
      </w:r>
      <w:r>
        <w:t xml:space="preserve"> P </w:t>
      </w:r>
      <w:r>
        <w:rPr>
          <w:b/>
        </w:rPr>
        <w:t xml:space="preserve">Szükséges eredmény:</w:t>
      </w:r>
      <w:r>
        <w:t xml:space="preserve"> célországokra kiterjedő jogi/privacy review, DPIA jóváhagyás, gyermekpszichológiai kérdésbank- és riportreview, orvostechnikai besorolási álláspont. </w:t>
      </w:r>
      <w:r>
        <w:rPr>
          <w:b/>
        </w:rPr>
        <w:t xml:space="preserve">Élesítésre gyakorolt hatás:</w:t>
      </w:r>
      <w:r>
        <w:t xml:space="preserve"> egészségügyi következtetés kockázata miatt az EU-s széles körű élesítés előtt szükséges.</w:t>
      </w:r>
    </w:p>
    <w:p>
      <w:pPr>
        <w:pStyle w:val="Heading1"/>
        <w:spacing w:before="260" w:after="150"/>
        <w:keepNext/>
      </w:pPr>
      <w:r>
        <w:t xml:space="preserve">8. Dátumozott ellenőrzési napló</w:t>
      </w:r>
    </w:p>
    <w:tbl>
      <w:tblPr>
        <w:tblW w:w="10180" w:type="dxa"/>
        <w:tblLayout w:type="fixed"/>
        <w:tblBorders>
          <w:top w:val="single" w:sz="4" w:color="C9DCE8"/>
          <w:left w:val="single" w:sz="4" w:color="C9DCE8"/>
          <w:bottom w:val="single" w:sz="4" w:color="C9DCE8"/>
          <w:right w:val="single" w:sz="4" w:color="C9DCE8"/>
          <w:insideH w:val="single" w:sz="4" w:color="C9DCE8"/>
          <w:insideV w:val="single" w:sz="4" w:color="C9DCE8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250"/>
        <w:gridCol w:w="1850"/>
        <w:gridCol w:w="2100"/>
        <w:gridCol w:w="1350"/>
        <w:gridCol w:w="3630"/>
      </w:tblGrid>
      <w:tr>
        <w:trPr>
          <w:cantSplit/>
          <w:tblHeader/>
        </w:trPr>
        <w:tc>
          <w:tcPr>
            <w:tcW w:w="1250" w:type="dxa"/>
            <w:shd w:val="clear" w:color="auto" w:fill="075985"/>
            <w:vAlign w:val="center"/>
          </w:tcPr>
          <w:p>
            <w:pPr>
              <w:spacing w:before="45" w:after="45"/>
            </w:pPr>
            <w:r>
              <w:rPr>
                <w:b/>
                <w:color w:val="FFFFFF"/>
                <w:sz w:val="17"/>
                <w:szCs w:val="17"/>
              </w:rPr>
              <w:t xml:space="preserve">Dátum</w:t>
            </w:r>
          </w:p>
        </w:tc>
        <w:tc>
          <w:tcPr>
            <w:tcW w:w="1850" w:type="dxa"/>
            <w:shd w:val="clear" w:color="auto" w:fill="075985"/>
            <w:vAlign w:val="center"/>
          </w:tcPr>
          <w:p>
            <w:pPr>
              <w:spacing w:before="45" w:after="45"/>
            </w:pPr>
            <w:r>
              <w:rPr>
                <w:b/>
                <w:color w:val="FFFFFF"/>
                <w:sz w:val="17"/>
                <w:szCs w:val="17"/>
              </w:rPr>
              <w:t xml:space="preserve">Vizsgált commit</w:t>
            </w:r>
          </w:p>
        </w:tc>
        <w:tc>
          <w:tcPr>
            <w:tcW w:w="2100" w:type="dxa"/>
            <w:shd w:val="clear" w:color="auto" w:fill="075985"/>
            <w:vAlign w:val="center"/>
          </w:tcPr>
          <w:p>
            <w:pPr>
              <w:spacing w:before="45" w:after="45"/>
            </w:pPr>
            <w:r>
              <w:rPr>
                <w:b/>
                <w:color w:val="FFFFFF"/>
                <w:sz w:val="17"/>
                <w:szCs w:val="17"/>
              </w:rPr>
              <w:t xml:space="preserve">Ellenőrzés</w:t>
            </w:r>
          </w:p>
        </w:tc>
        <w:tc>
          <w:tcPr>
            <w:tcW w:w="1350" w:type="dxa"/>
            <w:shd w:val="clear" w:color="auto" w:fill="075985"/>
            <w:vAlign w:val="center"/>
          </w:tcPr>
          <w:p>
            <w:pPr>
              <w:spacing w:before="45" w:after="45"/>
            </w:pPr>
            <w:r>
              <w:rPr>
                <w:b/>
                <w:color w:val="FFFFFF"/>
                <w:sz w:val="17"/>
                <w:szCs w:val="17"/>
              </w:rPr>
              <w:t xml:space="preserve">Eredmény</w:t>
            </w:r>
          </w:p>
        </w:tc>
        <w:tc>
          <w:tcPr>
            <w:tcW w:w="3630" w:type="dxa"/>
            <w:shd w:val="clear" w:color="auto" w:fill="075985"/>
            <w:vAlign w:val="center"/>
          </w:tcPr>
          <w:p>
            <w:pPr>
              <w:spacing w:before="45" w:after="45"/>
            </w:pPr>
            <w:r>
              <w:rPr>
                <w:b/>
                <w:color w:val="FFFFFF"/>
                <w:sz w:val="17"/>
                <w:szCs w:val="17"/>
              </w:rPr>
              <w:t xml:space="preserve">Megjegyzés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2026-07-20</w:t>
            </w:r>
          </w:p>
        </w:tc>
        <w:tc>
          <w:tcPr>
            <w:tcW w:w="185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rFonts w:ascii="Consolas" w:hAnsi="Consolas"/>
                <w:shd w:val="clear" w:color="auto" w:fill="E9EEF3"/>
                <w:sz w:val="18"/>
                <w:szCs w:val="18"/>
                <w:sz w:val="17"/>
                <w:szCs w:val="17"/>
              </w:rPr>
              <w:t xml:space="preserve">b2d8e6b27f8b3084abd232e0488a8acdd91dfeb9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rFonts w:ascii="Consolas" w:hAnsi="Consolas"/>
                <w:shd w:val="clear" w:color="auto" w:fill="E9EEF3"/>
                <w:sz w:val="18"/>
                <w:szCs w:val="18"/>
                <w:sz w:val="17"/>
                <w:szCs w:val="17"/>
              </w:rPr>
              <w:t xml:space="preserve">npm run audit:security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b/>
                <w:sz w:val="17"/>
                <w:szCs w:val="17"/>
              </w:rPr>
              <w:t xml:space="preserve">PASS, 10/10</w:t>
            </w:r>
          </w:p>
        </w:tc>
        <w:tc>
          <w:tcPr>
            <w:tcW w:w="363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Admin session/CSRF, token hash, checkout access, fragment, localStorage, webhook-minimalizálás, rate limit/HSTS, DB SSL és migration kontrollok.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2026-07-20</w:t>
            </w:r>
          </w:p>
        </w:tc>
        <w:tc>
          <w:tcPr>
            <w:tcW w:w="185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ugyanaz</w:t>
            </w:r>
          </w:p>
        </w:tc>
        <w:tc>
          <w:tcPr>
            <w:tcW w:w="21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rFonts w:ascii="Consolas" w:hAnsi="Consolas"/>
                <w:shd w:val="clear" w:color="auto" w:fill="E9EEF3"/>
                <w:sz w:val="18"/>
                <w:szCs w:val="18"/>
                <w:sz w:val="17"/>
                <w:szCs w:val="17"/>
              </w:rPr>
              <w:t xml:space="preserve">npm run smoke:legal-consent</w:t>
            </w:r>
          </w:p>
        </w:tc>
        <w:tc>
          <w:tcPr>
            <w:tcW w:w="135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b/>
                <w:sz w:val="17"/>
                <w:szCs w:val="17"/>
              </w:rPr>
              <w:t xml:space="preserve">OK</w:t>
            </w:r>
          </w:p>
        </w:tc>
        <w:tc>
          <w:tcPr>
            <w:tcW w:w="363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Hozzájárulási modell belső smoke ellenőrzése.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2026-07-20</w:t>
            </w:r>
          </w:p>
        </w:tc>
        <w:tc>
          <w:tcPr>
            <w:tcW w:w="185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ugyanaz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rFonts w:ascii="Consolas" w:hAnsi="Consolas"/>
                <w:shd w:val="clear" w:color="auto" w:fill="E9EEF3"/>
                <w:sz w:val="18"/>
                <w:szCs w:val="18"/>
                <w:sz w:val="17"/>
                <w:szCs w:val="17"/>
              </w:rPr>
              <w:t xml:space="preserve">npm run smoke:legal-governance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b/>
                <w:sz w:val="17"/>
                <w:szCs w:val="17"/>
              </w:rPr>
              <w:t xml:space="preserve">OK</w:t>
            </w:r>
          </w:p>
        </w:tc>
        <w:tc>
          <w:tcPr>
            <w:tcW w:w="363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Jogi governance és érintetti folyamat belső smoke ellenőrzése.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2026-07-20</w:t>
            </w:r>
          </w:p>
        </w:tc>
        <w:tc>
          <w:tcPr>
            <w:tcW w:w="185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ugyanaz</w:t>
            </w:r>
          </w:p>
        </w:tc>
        <w:tc>
          <w:tcPr>
            <w:tcW w:w="21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rFonts w:ascii="Consolas" w:hAnsi="Consolas"/>
                <w:shd w:val="clear" w:color="auto" w:fill="E9EEF3"/>
                <w:sz w:val="18"/>
                <w:szCs w:val="18"/>
                <w:sz w:val="17"/>
                <w:szCs w:val="17"/>
              </w:rPr>
              <w:t xml:space="preserve">npm run smoke:launch-gate</w:t>
            </w:r>
          </w:p>
        </w:tc>
        <w:tc>
          <w:tcPr>
            <w:tcW w:w="135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b/>
                <w:sz w:val="17"/>
                <w:szCs w:val="17"/>
              </w:rPr>
              <w:t xml:space="preserve">PASS</w:t>
            </w:r>
          </w:p>
        </w:tc>
        <w:tc>
          <w:tcPr>
            <w:tcW w:w="363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Adatbázis nélküli fixture; az outstanding readiness log negatív állapot szimuláció, nem production sign-off.</w:t>
            </w:r>
          </w:p>
        </w:tc>
      </w:tr>
      <w:tr>
        <w:trPr>
          <w:cantSplit/>
        </w:trPr>
        <w:tc>
          <w:tcPr>
            <w:tcW w:w="125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2026-07-20</w:t>
            </w:r>
          </w:p>
        </w:tc>
        <w:tc>
          <w:tcPr>
            <w:tcW w:w="185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ugyanaz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rFonts w:ascii="Consolas" w:hAnsi="Consolas"/>
                <w:shd w:val="clear" w:color="auto" w:fill="E9EEF3"/>
                <w:sz w:val="18"/>
                <w:szCs w:val="18"/>
                <w:sz w:val="17"/>
                <w:szCs w:val="17"/>
              </w:rPr>
              <w:t xml:space="preserve">NODE_OPTIONS=--use-system-ca npm audit --omit=dev --json</w:t>
            </w:r>
          </w:p>
        </w:tc>
        <w:tc>
          <w:tcPr>
            <w:tcW w:w="135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b/>
                <w:sz w:val="17"/>
                <w:szCs w:val="17"/>
              </w:rPr>
              <w:t xml:space="preserve">0 sérülékenység</w:t>
            </w:r>
          </w:p>
        </w:tc>
        <w:tc>
          <w:tcPr>
            <w:tcW w:w="363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151 összes dependency; 148 production, 0 ismert advisory.</w:t>
            </w:r>
          </w:p>
        </w:tc>
      </w:tr>
    </w:tbl>
    <w:p>
      <w:pPr>
        <w:spacing w:after="100"/>
      </w:pPr>
    </w:p>
    <w:p>
      <w:pPr>
        <w:pStyle w:val="Heading3"/>
        <w:spacing w:before="210" w:after="100"/>
        <w:keepNext/>
      </w:pPr>
      <w:r>
        <w:t xml:space="preserve">8.1. Auditkimenet kivonata</w:t>
      </w:r>
    </w:p>
    <w:p>
      <w:pPr>
        <w:pStyle w:val="Code"/>
        <w:spacing w:before="0" w:after="160"/>
        <w:shd w:val="clear" w:color="auto" w:fill="101827"/>
        <w:pBdr>
          <w:left w:val="single" w:sz="18" w:space="8" w:color="098DCC"/>
        </w:pBdr>
      </w:pPr>
      <w:r>
        <w:rPr>
          <w:rFonts w:ascii="Consolas" w:hAnsi="Consolas"/>
          <w:shd w:val="clear" w:color="auto" w:fill="E9EEF3"/>
          <w:sz w:val="16"/>
          <w:szCs w:val="16"/>
        </w:rPr>
        <w:t xml:space="preserve">PASS Admin dashboard uses session + CSRF instead of raw token headers</w:t>
      </w:r>
      <w:r>
        <w:br/>
      </w:r>
      <w:r>
        <w:rPr>
          <w:rFonts w:ascii="Consolas" w:hAnsi="Consolas"/>
          <w:shd w:val="clear" w:color="auto" w:fill="E9EEF3"/>
          <w:sz w:val="16"/>
          <w:szCs w:val="16"/>
        </w:rPr>
        <w:t xml:space="preserve">PASS Admin middleware creates HttpOnly session and verifies CSRF</w:t>
      </w:r>
      <w:r>
        <w:br/>
      </w:r>
      <w:r>
        <w:rPr>
          <w:rFonts w:ascii="Consolas" w:hAnsi="Consolas"/>
          <w:shd w:val="clear" w:color="auto" w:fill="E9EEF3"/>
          <w:sz w:val="16"/>
          <w:szCs w:val="16"/>
        </w:rPr>
        <w:t xml:space="preserve">PASS Customer session access tokens are hashed and enforced</w:t>
      </w:r>
      <w:r>
        <w:br/>
      </w:r>
      <w:r>
        <w:rPr>
          <w:rFonts w:ascii="Consolas" w:hAnsi="Consolas"/>
          <w:shd w:val="clear" w:color="auto" w:fill="E9EEF3"/>
          <w:sz w:val="16"/>
          <w:szCs w:val="16"/>
        </w:rPr>
        <w:t xml:space="preserve">PASS Checkout retry requires customer session token</w:t>
      </w:r>
      <w:r>
        <w:br/>
      </w:r>
      <w:r>
        <w:rPr>
          <w:rFonts w:ascii="Consolas" w:hAnsi="Consolas"/>
          <w:shd w:val="clear" w:color="auto" w:fill="E9EEF3"/>
          <w:sz w:val="16"/>
          <w:szCs w:val="16"/>
        </w:rPr>
        <w:t xml:space="preserve">PASS Success/cancel pages pass session access token only from hash/sessionStorage</w:t>
      </w:r>
      <w:r>
        <w:br/>
      </w:r>
      <w:r>
        <w:rPr>
          <w:rFonts w:ascii="Consolas" w:hAnsi="Consolas"/>
          <w:shd w:val="clear" w:color="auto" w:fill="E9EEF3"/>
          <w:sz w:val="16"/>
          <w:szCs w:val="16"/>
        </w:rPr>
        <w:t xml:space="preserve">PASS Questionnaire draft answers are not persisted in localStorage</w:t>
      </w:r>
      <w:r>
        <w:br/>
      </w:r>
      <w:r>
        <w:rPr>
          <w:rFonts w:ascii="Consolas" w:hAnsi="Consolas"/>
          <w:shd w:val="clear" w:color="auto" w:fill="E9EEF3"/>
          <w:sz w:val="16"/>
          <w:szCs w:val="16"/>
        </w:rPr>
        <w:t xml:space="preserve">PASS Stripe webhook payload is minimized before database persistence</w:t>
      </w:r>
      <w:r>
        <w:br/>
      </w:r>
      <w:r>
        <w:rPr>
          <w:rFonts w:ascii="Consolas" w:hAnsi="Consolas"/>
          <w:shd w:val="clear" w:color="auto" w:fill="E9EEF3"/>
          <w:sz w:val="16"/>
          <w:szCs w:val="16"/>
        </w:rPr>
        <w:t xml:space="preserve">PASS Rate limiting can use database-backed counters and production HSTS</w:t>
      </w:r>
      <w:r>
        <w:br/>
      </w:r>
      <w:r>
        <w:rPr>
          <w:rFonts w:ascii="Consolas" w:hAnsi="Consolas"/>
          <w:shd w:val="clear" w:color="auto" w:fill="E9EEF3"/>
          <w:sz w:val="16"/>
          <w:szCs w:val="16"/>
        </w:rPr>
        <w:t xml:space="preserve">PASS Database SSL behavior is explicit and configurable</w:t>
      </w:r>
      <w:r>
        <w:br/>
      </w:r>
      <w:r>
        <w:rPr>
          <w:rFonts w:ascii="Consolas" w:hAnsi="Consolas"/>
          <w:shd w:val="clear" w:color="auto" w:fill="E9EEF3"/>
          <w:sz w:val="16"/>
          <w:szCs w:val="16"/>
        </w:rPr>
        <w:t xml:space="preserve">PASS Security hardening migration exists</w:t>
      </w:r>
      <w:r>
        <w:br/>
      </w:r>
      <w:r>
        <w:rPr>
          <w:rFonts w:ascii="Consolas" w:hAnsi="Consolas"/>
          <w:shd w:val="clear" w:color="auto" w:fill="E9EEF3"/>
          <w:sz w:val="16"/>
          <w:szCs w:val="16"/>
        </w:rPr>
        <w:t xml:space="preserve">Security audit passed.</w:t>
      </w:r>
    </w:p>
    <w:p>
      <w:pPr>
        <w:pStyle w:val="Heading1"/>
        <w:spacing w:before="260" w:after="150"/>
        <w:keepNext/>
      </w:pPr>
      <w:r>
        <w:t xml:space="preserve">9. Biztonsági változási előzmény</w:t>
      </w:r>
    </w:p>
    <w:tbl>
      <w:tblPr>
        <w:tblW w:w="10180" w:type="dxa"/>
        <w:tblLayout w:type="fixed"/>
        <w:tblBorders>
          <w:top w:val="single" w:sz="4" w:color="C9DCE8"/>
          <w:left w:val="single" w:sz="4" w:color="C9DCE8"/>
          <w:bottom w:val="single" w:sz="4" w:color="C9DCE8"/>
          <w:right w:val="single" w:sz="4" w:color="C9DCE8"/>
          <w:insideH w:val="single" w:sz="4" w:color="C9DCE8"/>
          <w:insideV w:val="single" w:sz="4" w:color="C9DCE8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393"/>
        <w:gridCol w:w="3393"/>
        <w:gridCol w:w="3394"/>
      </w:tblGrid>
      <w:tr>
        <w:trPr>
          <w:cantSplit/>
          <w:tblHeader/>
        </w:trPr>
        <w:tc>
          <w:tcPr>
            <w:tcW w:w="3393" w:type="dxa"/>
            <w:shd w:val="clear" w:color="auto" w:fill="075985"/>
            <w:vAlign w:val="center"/>
          </w:tcPr>
          <w:p>
            <w:pPr>
              <w:spacing w:before="45" w:after="45"/>
            </w:pPr>
            <w:r>
              <w:rPr>
                <w:b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w="3393" w:type="dxa"/>
            <w:shd w:val="clear" w:color="auto" w:fill="075985"/>
            <w:vAlign w:val="center"/>
          </w:tcPr>
          <w:p>
            <w:pPr>
              <w:spacing w:before="45" w:after="45"/>
            </w:pPr>
            <w:r>
              <w:rPr>
                <w:b/>
                <w:color w:val="FFFFFF"/>
                <w:sz w:val="17"/>
                <w:szCs w:val="17"/>
              </w:rPr>
              <w:t xml:space="preserve">Dátum</w:t>
            </w:r>
          </w:p>
        </w:tc>
        <w:tc>
          <w:tcPr>
            <w:tcW w:w="3394" w:type="dxa"/>
            <w:shd w:val="clear" w:color="auto" w:fill="075985"/>
            <w:vAlign w:val="center"/>
          </w:tcPr>
          <w:p>
            <w:pPr>
              <w:spacing w:before="45" w:after="45"/>
            </w:pPr>
            <w:r>
              <w:rPr>
                <w:b/>
                <w:color w:val="FFFFFF"/>
                <w:sz w:val="17"/>
                <w:szCs w:val="17"/>
              </w:rPr>
              <w:t xml:space="preserve">Biztonsági jelentőség</w:t>
            </w:r>
          </w:p>
        </w:tc>
      </w:tr>
      <w:tr>
        <w:trPr>
          <w:cantSplit/>
        </w:trPr>
        <w:tc>
          <w:tcPr>
            <w:tcW w:w="3393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rFonts w:ascii="Consolas" w:hAnsi="Consolas"/>
                <w:shd w:val="clear" w:color="auto" w:fill="E9EEF3"/>
                <w:sz w:val="18"/>
                <w:szCs w:val="18"/>
              </w:rPr>
              <w:t xml:space="preserve">a850770</w:t>
            </w:r>
          </w:p>
        </w:tc>
        <w:tc>
          <w:tcPr>
            <w:tcW w:w="3393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2026-07-14</w:t>
            </w:r>
          </w:p>
        </w:tc>
        <w:tc>
          <w:tcPr>
            <w:tcW w:w="3394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Checkout és feldolgozási pipeline hardening.</w:t>
            </w:r>
          </w:p>
        </w:tc>
      </w:tr>
      <w:tr>
        <w:trPr>
          <w:cantSplit/>
        </w:trPr>
        <w:tc>
          <w:tcPr>
            <w:tcW w:w="3393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rFonts w:ascii="Consolas" w:hAnsi="Consolas"/>
                <w:shd w:val="clear" w:color="auto" w:fill="E9EEF3"/>
                <w:sz w:val="18"/>
                <w:szCs w:val="18"/>
              </w:rPr>
              <w:t xml:space="preserve">254efef</w:t>
            </w:r>
          </w:p>
        </w:tc>
        <w:tc>
          <w:tcPr>
            <w:tcW w:w="3393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2026-07-14</w:t>
            </w:r>
          </w:p>
        </w:tc>
        <w:tc>
          <w:tcPr>
            <w:tcW w:w="3394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Élesítési readiness és checkout flow erősítése.</w:t>
            </w:r>
          </w:p>
        </w:tc>
      </w:tr>
      <w:tr>
        <w:trPr>
          <w:cantSplit/>
        </w:trPr>
        <w:tc>
          <w:tcPr>
            <w:tcW w:w="3393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rFonts w:ascii="Consolas" w:hAnsi="Consolas"/>
                <w:shd w:val="clear" w:color="auto" w:fill="E9EEF3"/>
                <w:sz w:val="18"/>
                <w:szCs w:val="18"/>
              </w:rPr>
              <w:t xml:space="preserve">b832826</w:t>
            </w:r>
          </w:p>
        </w:tc>
        <w:tc>
          <w:tcPr>
            <w:tcW w:w="3393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2026-07-15</w:t>
            </w:r>
          </w:p>
        </w:tc>
        <w:tc>
          <w:tcPr>
            <w:tcW w:w="3394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GDPR consent és jogi launch safeguardok.</w:t>
            </w:r>
          </w:p>
        </w:tc>
      </w:tr>
      <w:tr>
        <w:trPr>
          <w:cantSplit/>
        </w:trPr>
        <w:tc>
          <w:tcPr>
            <w:tcW w:w="3393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rFonts w:ascii="Consolas" w:hAnsi="Consolas"/>
                <w:shd w:val="clear" w:color="auto" w:fill="E9EEF3"/>
                <w:sz w:val="18"/>
                <w:szCs w:val="18"/>
              </w:rPr>
              <w:t xml:space="preserve">ae917dd</w:t>
            </w:r>
          </w:p>
        </w:tc>
        <w:tc>
          <w:tcPr>
            <w:tcW w:w="3393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2026-07-15</w:t>
            </w:r>
          </w:p>
        </w:tc>
        <w:tc>
          <w:tcPr>
            <w:tcW w:w="3394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Checkout visszaállítása advisory launch gate mellett.</w:t>
            </w:r>
          </w:p>
        </w:tc>
      </w:tr>
      <w:tr>
        <w:trPr>
          <w:cantSplit/>
        </w:trPr>
        <w:tc>
          <w:tcPr>
            <w:tcW w:w="3393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rFonts w:ascii="Consolas" w:hAnsi="Consolas"/>
                <w:shd w:val="clear" w:color="auto" w:fill="E9EEF3"/>
                <w:sz w:val="18"/>
                <w:szCs w:val="18"/>
              </w:rPr>
              <w:t xml:space="preserve">bfe0d72</w:t>
            </w:r>
          </w:p>
        </w:tc>
        <w:tc>
          <w:tcPr>
            <w:tcW w:w="3393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2026-07-16</w:t>
            </w:r>
          </w:p>
        </w:tc>
        <w:tc>
          <w:tcPr>
            <w:tcW w:w="3394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Admin és checkout biztonsági hardening.</w:t>
            </w:r>
          </w:p>
        </w:tc>
      </w:tr>
      <w:tr>
        <w:trPr>
          <w:cantSplit/>
        </w:trPr>
        <w:tc>
          <w:tcPr>
            <w:tcW w:w="3393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rFonts w:ascii="Consolas" w:hAnsi="Consolas"/>
                <w:shd w:val="clear" w:color="auto" w:fill="E9EEF3"/>
                <w:sz w:val="18"/>
                <w:szCs w:val="18"/>
              </w:rPr>
              <w:t xml:space="preserve">b2d8e6b</w:t>
            </w:r>
          </w:p>
        </w:tc>
        <w:tc>
          <w:tcPr>
            <w:tcW w:w="3393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2026-07-16</w:t>
            </w:r>
          </w:p>
        </w:tc>
        <w:tc>
          <w:tcPr>
            <w:tcW w:w="3394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Jogi governance és DPIA workflow.</w:t>
            </w:r>
          </w:p>
        </w:tc>
      </w:tr>
    </w:tbl>
    <w:p>
      <w:pPr>
        <w:spacing w:after="100"/>
      </w:pPr>
    </w:p>
    <w:p>
      <w:pPr>
        <w:pStyle w:val="Heading1"/>
        <w:spacing w:before="260" w:after="150"/>
        <w:keepNext/>
        <w:pageBreakBefore/>
      </w:pPr>
      <w:r>
        <w:t xml:space="preserve">10. Élesítés előtti kötelező bizonyítékcsomag</w:t>
      </w:r>
    </w:p>
    <w:p>
      <w:pPr>
        <w:pStyle w:val="BodyText"/>
        <w:spacing w:before="0" w:after="110"/>
      </w:pPr>
      <w:r>
        <w:t xml:space="preserve">Az alábbi bizonyítékok hiányában a belső kódállapot megfelelő irányú, de a teljes production biztonsági állapot nem tekinthető lezártnak:</w:t>
      </w:r>
    </w:p>
    <w:p>
      <w:pPr>
        <w:pStyle w:val="BodyText"/>
        <w:spacing w:before="0" w:after="110"/>
      </w:pPr>
      <w:r>
        <w:t xml:space="preserve">1. Production env kontrolllista aláírva, titkok értéke nélkül. 2. Railway service-ek és database role-ok jogosultsági listája. 3. Stripe webhook érvényes/érvénytelen aláírási replay jegyzőkönyv. 4. Dupla checkout és ismételt webhook idempotencia-jegyzőkönyv. 5. Két workerrel végzett lease/failover teszt. 6. Számlázási timeout és duplikációellenes sandbox teszt. 7. Adatmegőrzési cron és törlési napló mintája. 8. Backup-visszaállítás időponttal, RTO/RPO eredménnyel. 9. Érintetti kérelem teljes próba exporttal és törléssel. 10. Független penetration test és retest. 11. Vendor DPA/SCC/TIA csomag. 12. Jogi, DPIA és szakmai tartalmi sign-off.</w:t>
      </w:r>
    </w:p>
    <w:p>
      <w:pPr>
        <w:pStyle w:val="Heading1"/>
        <w:spacing w:before="260" w:after="150"/>
        <w:keepNext/>
      </w:pPr>
      <w:r>
        <w:t xml:space="preserve">11. Felülvizsgálati és jóváhagyási lap</w:t>
      </w:r>
    </w:p>
    <w:tbl>
      <w:tblPr>
        <w:tblW w:w="10180" w:type="dxa"/>
        <w:tblLayout w:type="fixed"/>
        <w:tblBorders>
          <w:top w:val="single" w:sz="4" w:color="C9DCE8"/>
          <w:left w:val="single" w:sz="4" w:color="C9DCE8"/>
          <w:bottom w:val="single" w:sz="4" w:color="C9DCE8"/>
          <w:right w:val="single" w:sz="4" w:color="C9DCE8"/>
          <w:insideH w:val="single" w:sz="4" w:color="C9DCE8"/>
          <w:insideV w:val="single" w:sz="4" w:color="C9DCE8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300"/>
        <w:gridCol w:w="1500"/>
        <w:gridCol w:w="1400"/>
        <w:gridCol w:w="4980"/>
      </w:tblGrid>
      <w:tr>
        <w:trPr>
          <w:cantSplit/>
          <w:tblHeader/>
        </w:trPr>
        <w:tc>
          <w:tcPr>
            <w:tcW w:w="2300" w:type="dxa"/>
            <w:shd w:val="clear" w:color="auto" w:fill="075985"/>
            <w:vAlign w:val="center"/>
          </w:tcPr>
          <w:p>
            <w:pPr>
              <w:spacing w:before="45" w:after="45"/>
            </w:pPr>
            <w:r>
              <w:rPr>
                <w:b/>
                <w:color w:val="FFFFFF"/>
                <w:sz w:val="17"/>
                <w:szCs w:val="17"/>
              </w:rPr>
              <w:t xml:space="preserve">Szerepkör</w:t>
            </w:r>
          </w:p>
        </w:tc>
        <w:tc>
          <w:tcPr>
            <w:tcW w:w="1500" w:type="dxa"/>
            <w:shd w:val="clear" w:color="auto" w:fill="075985"/>
            <w:vAlign w:val="center"/>
          </w:tcPr>
          <w:p>
            <w:pPr>
              <w:spacing w:before="45" w:after="45"/>
            </w:pPr>
            <w:r>
              <w:rPr>
                <w:b/>
                <w:color w:val="FFFFFF"/>
                <w:sz w:val="17"/>
                <w:szCs w:val="17"/>
              </w:rPr>
              <w:t xml:space="preserve">Név</w:t>
            </w:r>
          </w:p>
        </w:tc>
        <w:tc>
          <w:tcPr>
            <w:tcW w:w="1400" w:type="dxa"/>
            <w:shd w:val="clear" w:color="auto" w:fill="075985"/>
            <w:vAlign w:val="center"/>
          </w:tcPr>
          <w:p>
            <w:pPr>
              <w:spacing w:before="45" w:after="45"/>
            </w:pPr>
            <w:r>
              <w:rPr>
                <w:b/>
                <w:color w:val="FFFFFF"/>
                <w:sz w:val="17"/>
                <w:szCs w:val="17"/>
              </w:rPr>
              <w:t xml:space="preserve">Dátum</w:t>
            </w:r>
          </w:p>
        </w:tc>
        <w:tc>
          <w:tcPr>
            <w:tcW w:w="4980" w:type="dxa"/>
            <w:shd w:val="clear" w:color="auto" w:fill="075985"/>
            <w:vAlign w:val="center"/>
          </w:tcPr>
          <w:p>
            <w:pPr>
              <w:spacing w:before="45" w:after="45"/>
            </w:pPr>
            <w:r>
              <w:rPr>
                <w:b/>
                <w:color w:val="FFFFFF"/>
                <w:sz w:val="17"/>
                <w:szCs w:val="17"/>
              </w:rPr>
              <w:t xml:space="preserve">Döntés / aláírás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Dokumentumgazda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498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w="23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Műszaki felelős</w:t>
            </w:r>
          </w:p>
        </w:tc>
        <w:tc>
          <w:tcPr>
            <w:tcW w:w="15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14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498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Adatvédelmi felelős / DPO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498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w="23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Külső biztonsági auditor</w:t>
            </w:r>
          </w:p>
        </w:tc>
        <w:tc>
          <w:tcPr>
            <w:tcW w:w="15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14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498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t xml:space="preserve">Jogi jóváhagyó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4980" w:type="dxa"/>
            <w:shd w:val="clear" w:color="auto" w:fill="FFFFFF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w="23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t xml:space="preserve">Szakmai tartalmi jóváhagyó</w:t>
            </w:r>
          </w:p>
        </w:tc>
        <w:tc>
          <w:tcPr>
            <w:tcW w:w="15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140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4980" w:type="dxa"/>
            <w:shd w:val="clear" w:color="auto" w:fill="F7FAFC"/>
            <w:vAlign w:val="center"/>
          </w:tcPr>
          <w:p>
            <w:pPr>
              <w:spacing w:before="45" w:after="45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1"/>
        <w:spacing w:before="260" w:after="150"/>
        <w:keepNext/>
      </w:pPr>
      <w:r>
        <w:t xml:space="preserve">12. Felülvizsgálati szabály</w:t>
      </w:r>
    </w:p>
    <w:p>
      <w:pPr>
        <w:pStyle w:val="BodyText"/>
        <w:spacing w:before="0" w:after="110"/>
      </w:pPr>
      <w:r>
        <w:t xml:space="preserve">A nyilvántartást frissíteni kell: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minden biztonsági vagy adatkezelési változtatás után;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új külső szolgáltató vagy új célország bevezetésekor;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security advisory vagy incidens után;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production infrastruktúra vagy worker-topológia változásakor;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negyedévente akkor is, ha nem történt kódváltozás;</w:t>
      </w:r>
    </w:p>
    <w:p>
      <w:pPr>
        <w:pStyle w:val="ListParagraph"/>
        <w:spacing w:before="0" w:after="55"/>
        <w:keepLines/>
        <w:ind w:left="480" w:hanging="240"/>
        <w:numPr>
          <w:ilvl w:val="0"/>
          <w:numId w:val="1"/>
        </w:numPr>
      </w:pPr>
      <w:r>
        <w:t xml:space="preserve">minden külső audit megállapításának lezárásakor.</w:t>
      </w:r>
    </w:p>
    <w:p>
      <w:pPr>
        <w:pStyle w:val="BodyText"/>
        <w:spacing w:before="0" w:after="110"/>
      </w:pPr>
      <w:r>
        <w:t xml:space="preserve">Minden új bizonyítékhoz rögzíteni kell a dátumot, a vizsgált commitot vagy konfigurációverziót, a végrehajtót, az ellenőrzési módszert, az eredményt és az artifact elérési helyét.</w:t>
      </w:r>
    </w:p>
    <w:p>
      <w:pPr>
        <w:pStyle w:val="BodyText"/>
        <w:spacing w:before="0" w:after="110"/>
      </w:pPr>
      <w:r>
        <w:rPr>
          <w:b/>
        </w:rPr>
        <w:t xml:space="preserve">Belső validációs nyilatkozat:</w:t>
      </w:r>
      <w:r>
        <w:t xml:space="preserve"> A dokumentumban felsorolt forrásfájlok és automatizált ellenőrzések a megjelölt commiton 2026. július 20-án belsőleg áttekintésre kerültek. Ez az állítás reprodukálható műszaki ellenőrzést dokumentál, de nem helyettesíti az éles konfiguráció auditját vagy a független tanúsítást.</w:t>
      </w:r>
    </w:p>
    <w:sectPr>
      <w:headerReference w:type="default" r:id="rId4"/>
      <w:footerReference w:type="default" r:id="rId5"/>
      <w:pgSz w:w="11906" w:h="16838"/>
      <w:pgMar w:top="1000" w:right="850" w:bottom="900" w:left="850" w:header="420" w:footer="4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10180"/>
      </w:tabs>
      <w:pBdr>
        <w:top w:val="single" w:sz="5" w:space="5" w:color="C9DCE8"/>
      </w:pBdr>
      <w:spacing w:before="80"/>
    </w:pPr>
    <w:r>
      <w:rPr>
        <w:color w:val="5D6B82"/>
        <w:sz w:val="16"/>
        <w:szCs w:val="16"/>
      </w:rPr>
      <w:t xml:space="preserve">Biztonsági javítások és bizonyítékok nyilvántartása</w:t>
    </w:r>
    <w:r>
      <w:tab/>
    </w:r>
    <w:r>
      <w:rPr>
        <w:color w:val="5D6B82"/>
        <w:sz w:val="16"/>
        <w:szCs w:val="16"/>
      </w:rPr>
      <w:t xml:space="preserve">Oldal </w:t>
    </w:r>
    <w:r>
      <w:fldChar w:fldCharType="begin"/>
    </w:r>
    <w:r>
      <w:instrText xml:space="preserve"> PAGE </w:instrText>
    </w:r>
    <w:r>
      <w:fldChar w:fldCharType="separate"/>
    </w:r>
    <w:r>
      <w:rPr>
        <w:color w:val="5D6B82"/>
        <w:sz w:val="16"/>
        <w:szCs w:val="16"/>
      </w:rPr>
      <w:t xml:space="preserve">1</w:t>
    </w:r>
    <w:r>
      <w:fldChar w:fldCharType="end"/>
    </w:r>
    <w:r>
      <w:rPr>
        <w:color w:val="5D6B82"/>
        <w:sz w:val="16"/>
        <w:szCs w:val="16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5D6B82"/>
        <w:sz w:val="16"/>
        <w:szCs w:val="16"/>
      </w:rPr>
      <w:t xml:space="preserve"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10180"/>
      </w:tabs>
      <w:pBdr>
        <w:bottom w:val="single" w:sz="5" w:space="5" w:color="C9DCE8"/>
      </w:pBdr>
      <w:spacing w:after="80"/>
    </w:pPr>
    <w:r>
      <w:rPr>
        <w:b/>
        <w:color w:val="098DCC"/>
        <w:sz w:val="17"/>
        <w:szCs w:val="17"/>
      </w:rPr>
      <w:t xml:space="preserve">NEUROMAP KIDS</w:t>
    </w:r>
    <w:r>
      <w:tab/>
    </w:r>
    <w:r>
      <w:rPr>
        <w:b/>
        <w:color w:val="5D6B82"/>
        <w:sz w:val="16"/>
        <w:szCs w:val="16"/>
      </w:rPr>
      <w:t xml:space="preserve">NMK-SEC-REG-001 · BELSŐ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480"/>
        </w:tabs>
        <w:ind w:left="480" w:hanging="240"/>
      </w:pPr>
      <w:rPr>
        <w:color w:val="098DCC"/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90"/>
  <w:defaultTabStop w:val="720"/>
  <w:updateFields w:val="true"/>
  <w:doNotTrackMoves/>
  <w:doNotTrackFormatting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color w:val="14213D"/>
        <w:sz w:val="20"/>
        <w:szCs w:val="20"/>
        <w:lang w:val="hu-HU"/>
      </w:rPr>
    </w:rPrDefault>
    <w:pPrDefault>
      <w:pPr>
        <w:spacing w:after="110" w:line="270" w:lineRule="auto"/>
      </w:pPr>
    </w:pPrDefault>
  </w:docDefaults>
  <w:style w:type="paragraph" w:default="1" w:styleId="Normal">
    <w:name w:val="Normal"/>
    <w:qFormat/>
    <w:pPr>
      <w:widowControl/>
    </w:pPr>
  </w:style>
  <w:style w:type="paragraph" w:styleId="BodyText">
    <w:name w:val="Body Text"/>
    <w:basedOn w:val="Normal"/>
    <w:qFormat/>
    <w:pPr>
      <w:widowControl/>
      <w:spacing w:after="110" w:line="276" w:lineRule="auto"/>
    </w:pPr>
    <w:rPr>
      <w:sz w:val="20"/>
      <w:szCs w:val="20"/>
    </w:rPr>
  </w:style>
  <w:style w:type="paragraph" w:styleId="Title">
    <w:name w:val="Title"/>
    <w:basedOn w:val="Normal"/>
    <w:qFormat/>
    <w:pPr>
      <w:keepNext/>
      <w:spacing w:before="80" w:after="180"/>
      <w:outlineLvl w:val="0"/>
    </w:pPr>
    <w:rPr>
      <w:b/>
      <w:color w:val="14213D"/>
      <w:sz w:val="42"/>
      <w:szCs w:val="42"/>
    </w:rPr>
  </w:style>
  <w:style w:type="paragraph" w:styleId="Subtitle">
    <w:name w:val="Subtitle"/>
    <w:basedOn w:val="Normal"/>
    <w:qFormat/>
    <w:pPr>
      <w:keepNext/>
    </w:pPr>
    <w:rPr>
      <w:color w:val="5D6B82"/>
      <w:sz w:val="22"/>
      <w:szCs w:val="22"/>
    </w:rPr>
  </w:style>
  <w:style w:type="paragraph" w:styleId="Heading1">
    <w:name w:val="heading 1"/>
    <w:basedOn w:val="Normal"/>
    <w:next w:val="BodyText"/>
    <w:qFormat/>
    <w:pPr>
      <w:keepNext/>
      <w:keepLines/>
      <w:spacing w:before="280" w:after="140"/>
      <w:outlineLvl w:val="0"/>
      <w:pBdr>
        <w:bottom w:val="single" w:sz="12" w:space="6" w:color="098DCC"/>
      </w:pBdr>
    </w:pPr>
    <w:rPr>
      <w:b/>
      <w:color w:val="075985"/>
      <w:sz w:val="30"/>
      <w:szCs w:val="30"/>
    </w:rPr>
  </w:style>
  <w:style w:type="paragraph" w:styleId="Heading2">
    <w:name w:val="heading 2"/>
    <w:basedOn w:val="Normal"/>
    <w:next w:val="BodyText"/>
    <w:qFormat/>
    <w:pPr>
      <w:keepNext/>
      <w:keepLines/>
      <w:outlineLvl w:val="1"/>
    </w:pPr>
    <w:rPr>
      <w:b/>
      <w:color w:val="075985"/>
      <w:sz w:val="25"/>
      <w:szCs w:val="25"/>
    </w:rPr>
  </w:style>
  <w:style w:type="paragraph" w:styleId="Heading3">
    <w:name w:val="heading 3"/>
    <w:basedOn w:val="Normal"/>
    <w:next w:val="BodyText"/>
    <w:qFormat/>
    <w:pPr>
      <w:keepNext/>
      <w:keepLines/>
      <w:spacing w:before="210" w:after="100"/>
      <w:outlineLvl w:val="2"/>
      <w:shd w:val="clear" w:color="auto" w:fill="EAF4FA"/>
      <w:pBdr>
        <w:left w:val="single" w:sz="18" w:space="7" w:color="098DCC"/>
      </w:pBdr>
      <w:ind w:left="120"/>
    </w:pPr>
    <w:rPr>
      <w:b/>
      <w:color w:val="14213D"/>
      <w:sz w:val="23"/>
      <w:szCs w:val="23"/>
    </w:rPr>
  </w:style>
  <w:style w:type="paragraph" w:styleId="ListParagraph">
    <w:name w:val="List Paragraph"/>
    <w:basedOn w:val="BodyText"/>
    <w:qFormat/>
  </w:style>
  <w:style w:type="paragraph" w:styleId="Callout">
    <w:name w:val="Callout"/>
    <w:basedOn w:val="BodyText"/>
    <w:qFormat/>
    <w:pPr>
      <w:keepLines/>
      <w:ind w:left="180" w:right="160"/>
      <w:spacing w:before="70" w:after="90"/>
    </w:pPr>
  </w:style>
  <w:style w:type="paragraph" w:styleId="Code">
    <w:name w:val="Code"/>
    <w:basedOn w:val="Normal"/>
    <w:qFormat/>
    <w:pPr>
      <w:keepLines/>
      <w:ind w:left="180" w:right="180"/>
      <w:spacing w:before="90" w:after="140" w:line="230" w:lineRule="auto"/>
    </w:pPr>
    <w:rPr>
      <w:rFonts w:ascii="Consolas" w:hAnsi="Consolas"/>
      <w:color w:val="FFFFFF"/>
      <w:sz w:val="16"/>
      <w:szCs w:val="16"/>
    </w:rPr>
  </w:style>
  <w:style w:type="table" w:default="1" w:styleId="TableNormal">
    <w:name w:val="Normal Table"/>
    <w:uiPriority w:val="99"/>
    <w:semiHidden/>
    <w:unhideWhenUsed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header" Target="header1.xml"/>
  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NeuroMap Kids evidence register generator</Application>
  <AppVersion>1.0</AppVersion>
  <Company>NeuroMap Kids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Biztonsági javítások és bizonyítékok nyilvántartása</dc:title>
  <dc:subject>NMK-SEC-REG-001</dc:subject>
  <dc:creator>NeuroMap Kids</dc:creator>
  <cp:lastModifiedBy>Codex belső dokumentumgenerátor</cp:lastModifiedBy>
  <dc:description>Belső biztonsági bizonyítéknyilvántartás; vizsgált commit: b2d8e6b27f8b3084abd232e0488a8acdd91dfeb9</dc:description>
  <dcterms:created xsi:type="dcterms:W3CDTF">2026-07-20T10:45:56Z</dcterms:created>
  <dcterms:modified xsi:type="dcterms:W3CDTF">2026-07-20T10:45:56Z</dcterms:modified>
</cp:coreProperties>
</file>