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52"/>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60"/>
        <w:gridCol w:w="3282"/>
      </w:tblGrid>
      <w:tr w:rsidR="005171C3" w:rsidRPr="00895115" w14:paraId="21059E29" w14:textId="77777777" w:rsidTr="006560FA">
        <w:trPr>
          <w:trHeight w:val="567"/>
        </w:trPr>
        <w:tc>
          <w:tcPr>
            <w:tcW w:w="2660" w:type="dxa"/>
            <w:vAlign w:val="center"/>
          </w:tcPr>
          <w:p w14:paraId="4A013DAA" w14:textId="77777777" w:rsidR="005171C3" w:rsidRPr="00895115" w:rsidRDefault="005171C3" w:rsidP="006560FA">
            <w:pPr>
              <w:ind w:right="-214"/>
              <w:rPr>
                <w:sz w:val="20"/>
                <w:szCs w:val="20"/>
              </w:rPr>
            </w:pPr>
            <w:r w:rsidRPr="00895115">
              <w:rPr>
                <w:sz w:val="20"/>
                <w:szCs w:val="20"/>
              </w:rPr>
              <w:t>Назва тестового набору</w:t>
            </w:r>
          </w:p>
          <w:p w14:paraId="2CA779C0" w14:textId="77777777" w:rsidR="005171C3" w:rsidRPr="00895115" w:rsidRDefault="005171C3" w:rsidP="006560FA">
            <w:pPr>
              <w:ind w:right="-214"/>
              <w:rPr>
                <w:sz w:val="20"/>
                <w:szCs w:val="20"/>
              </w:rPr>
            </w:pPr>
            <w:r w:rsidRPr="00895115">
              <w:rPr>
                <w:rFonts w:ascii="Arial" w:hAnsi="Arial" w:cs="Arial"/>
                <w:sz w:val="20"/>
                <w:szCs w:val="20"/>
              </w:rPr>
              <w:t>Test Suite Description</w:t>
            </w:r>
          </w:p>
        </w:tc>
        <w:tc>
          <w:tcPr>
            <w:tcW w:w="3282" w:type="dxa"/>
            <w:vAlign w:val="center"/>
          </w:tcPr>
          <w:p w14:paraId="2FF6902B" w14:textId="30FE974F" w:rsidR="005171C3" w:rsidRPr="00024D48" w:rsidRDefault="005171C3" w:rsidP="006560FA">
            <w:pPr>
              <w:ind w:left="104"/>
              <w:rPr>
                <w:rFonts w:ascii="Arial Narrow" w:hAnsi="Arial Narrow"/>
                <w:sz w:val="25"/>
                <w:szCs w:val="25"/>
                <w:lang w:val="en-US"/>
              </w:rPr>
            </w:pPr>
            <w:r w:rsidRPr="00024D48">
              <w:t>TestSuite_</w:t>
            </w:r>
            <w:r>
              <w:t>10.2</w:t>
            </w:r>
          </w:p>
        </w:tc>
      </w:tr>
      <w:tr w:rsidR="005171C3" w:rsidRPr="00412C55" w14:paraId="7FD5DD2F" w14:textId="77777777" w:rsidTr="006560FA">
        <w:trPr>
          <w:trHeight w:val="567"/>
        </w:trPr>
        <w:tc>
          <w:tcPr>
            <w:tcW w:w="2660" w:type="dxa"/>
            <w:vAlign w:val="center"/>
          </w:tcPr>
          <w:p w14:paraId="6F914AE1" w14:textId="77777777" w:rsidR="005171C3" w:rsidRPr="00895115" w:rsidRDefault="005171C3" w:rsidP="006560FA">
            <w:pPr>
              <w:ind w:right="-214"/>
              <w:rPr>
                <w:sz w:val="20"/>
                <w:szCs w:val="20"/>
              </w:rPr>
            </w:pPr>
            <w:r w:rsidRPr="00895115">
              <w:rPr>
                <w:sz w:val="20"/>
                <w:szCs w:val="20"/>
              </w:rPr>
              <w:t>Назва проекта / ПЗ</w:t>
            </w:r>
          </w:p>
          <w:p w14:paraId="33F29E96" w14:textId="77777777" w:rsidR="005171C3" w:rsidRPr="00895115" w:rsidRDefault="005171C3" w:rsidP="006560FA">
            <w:pPr>
              <w:ind w:right="-214"/>
              <w:rPr>
                <w:sz w:val="20"/>
                <w:szCs w:val="20"/>
              </w:rPr>
            </w:pPr>
            <w:r w:rsidRPr="00895115">
              <w:rPr>
                <w:rFonts w:ascii="Arial" w:hAnsi="Arial" w:cs="Arial"/>
                <w:sz w:val="20"/>
                <w:szCs w:val="20"/>
              </w:rPr>
              <w:t>Name of Project / Software</w:t>
            </w:r>
          </w:p>
        </w:tc>
        <w:tc>
          <w:tcPr>
            <w:tcW w:w="3282" w:type="dxa"/>
            <w:vAlign w:val="center"/>
          </w:tcPr>
          <w:p w14:paraId="7DBABC47" w14:textId="7B08014E" w:rsidR="005171C3" w:rsidRPr="00412C55" w:rsidRDefault="005171C3" w:rsidP="006560FA">
            <w:pPr>
              <w:ind w:left="104"/>
              <w:rPr>
                <w:rFonts w:ascii="Arial Narrow" w:hAnsi="Arial Narrow"/>
                <w:sz w:val="25"/>
                <w:szCs w:val="25"/>
                <w:lang w:val="en-US"/>
              </w:rPr>
            </w:pPr>
            <w:r>
              <w:rPr>
                <w:lang w:val="en-US"/>
              </w:rPr>
              <w:t>TestDriver</w:t>
            </w:r>
            <w:r>
              <w:t>_10</w:t>
            </w:r>
            <w:r w:rsidR="00C325E8">
              <w:rPr>
                <w:lang w:val="en-US"/>
              </w:rPr>
              <w:t>.</w:t>
            </w:r>
            <w:r>
              <w:t>2.ехе</w:t>
            </w:r>
          </w:p>
        </w:tc>
      </w:tr>
      <w:tr w:rsidR="005171C3" w:rsidRPr="00895115" w14:paraId="67801727" w14:textId="77777777" w:rsidTr="006560FA">
        <w:trPr>
          <w:trHeight w:val="567"/>
        </w:trPr>
        <w:tc>
          <w:tcPr>
            <w:tcW w:w="2660" w:type="dxa"/>
            <w:vAlign w:val="center"/>
          </w:tcPr>
          <w:p w14:paraId="4A935BC5" w14:textId="77777777" w:rsidR="005171C3" w:rsidRPr="00895115" w:rsidRDefault="005171C3" w:rsidP="006560FA">
            <w:pPr>
              <w:ind w:right="-214"/>
              <w:rPr>
                <w:sz w:val="20"/>
                <w:szCs w:val="20"/>
              </w:rPr>
            </w:pPr>
            <w:r w:rsidRPr="00895115">
              <w:rPr>
                <w:sz w:val="20"/>
                <w:szCs w:val="20"/>
              </w:rPr>
              <w:t>Рівень тестування</w:t>
            </w:r>
          </w:p>
          <w:p w14:paraId="12346C9C" w14:textId="77777777" w:rsidR="005171C3" w:rsidRPr="00895115" w:rsidRDefault="005171C3" w:rsidP="006560FA">
            <w:pPr>
              <w:ind w:right="-214"/>
              <w:rPr>
                <w:rFonts w:ascii="Arial" w:hAnsi="Arial" w:cs="Arial"/>
                <w:sz w:val="20"/>
                <w:szCs w:val="20"/>
              </w:rPr>
            </w:pPr>
            <w:r w:rsidRPr="00895115">
              <w:rPr>
                <w:rFonts w:ascii="Arial" w:hAnsi="Arial" w:cs="Arial"/>
                <w:sz w:val="20"/>
                <w:szCs w:val="20"/>
              </w:rPr>
              <w:t>Level of Testing</w:t>
            </w:r>
          </w:p>
        </w:tc>
        <w:tc>
          <w:tcPr>
            <w:tcW w:w="3282" w:type="dxa"/>
            <w:vAlign w:val="center"/>
          </w:tcPr>
          <w:p w14:paraId="00376090" w14:textId="77777777" w:rsidR="005171C3" w:rsidRPr="00895115" w:rsidRDefault="005171C3" w:rsidP="006560FA">
            <w:pPr>
              <w:ind w:left="104" w:right="-218"/>
              <w:rPr>
                <w:rFonts w:ascii="Arial Narrow" w:hAnsi="Arial Narrow"/>
                <w:sz w:val="25"/>
                <w:szCs w:val="25"/>
                <w:lang w:val="en-US"/>
              </w:rPr>
            </w:pPr>
            <w:r>
              <w:rPr>
                <w:rFonts w:ascii="Arial Narrow" w:hAnsi="Arial Narrow"/>
                <w:sz w:val="25"/>
                <w:szCs w:val="25"/>
              </w:rPr>
              <w:t xml:space="preserve">модульний </w:t>
            </w:r>
            <w:r w:rsidRPr="00895115">
              <w:rPr>
                <w:rFonts w:ascii="Arial Narrow" w:hAnsi="Arial Narrow"/>
                <w:sz w:val="25"/>
                <w:szCs w:val="25"/>
                <w:lang w:val="en-US"/>
              </w:rPr>
              <w:t xml:space="preserve">  /  </w:t>
            </w:r>
            <w:r>
              <w:rPr>
                <w:rFonts w:ascii="Arial Narrow" w:hAnsi="Arial Narrow"/>
                <w:sz w:val="25"/>
                <w:szCs w:val="25"/>
                <w:lang w:val="en-US"/>
              </w:rPr>
              <w:t>Unit</w:t>
            </w:r>
            <w:r w:rsidRPr="00895115">
              <w:rPr>
                <w:rFonts w:ascii="Arial Narrow" w:hAnsi="Arial Narrow"/>
                <w:sz w:val="22"/>
                <w:szCs w:val="22"/>
              </w:rPr>
              <w:t xml:space="preserve"> Testing</w:t>
            </w:r>
          </w:p>
        </w:tc>
      </w:tr>
      <w:tr w:rsidR="005171C3" w:rsidRPr="00895115" w14:paraId="483FEF88" w14:textId="77777777" w:rsidTr="006560FA">
        <w:trPr>
          <w:trHeight w:val="567"/>
        </w:trPr>
        <w:tc>
          <w:tcPr>
            <w:tcW w:w="2660" w:type="dxa"/>
            <w:vAlign w:val="center"/>
          </w:tcPr>
          <w:p w14:paraId="38051EC4" w14:textId="77777777" w:rsidR="005171C3" w:rsidRPr="00895115" w:rsidRDefault="005171C3" w:rsidP="006560FA">
            <w:pPr>
              <w:ind w:right="-214"/>
              <w:rPr>
                <w:rFonts w:ascii="Arial" w:hAnsi="Arial" w:cs="Arial"/>
                <w:sz w:val="20"/>
                <w:szCs w:val="20"/>
              </w:rPr>
            </w:pPr>
            <w:r w:rsidRPr="00895115">
              <w:rPr>
                <w:sz w:val="20"/>
                <w:szCs w:val="20"/>
              </w:rPr>
              <w:t xml:space="preserve">Автор тест-сьюта </w:t>
            </w:r>
          </w:p>
          <w:p w14:paraId="377A2723" w14:textId="77777777" w:rsidR="005171C3" w:rsidRPr="00895115" w:rsidRDefault="005171C3" w:rsidP="006560FA">
            <w:pPr>
              <w:ind w:right="-214"/>
              <w:rPr>
                <w:sz w:val="20"/>
                <w:szCs w:val="20"/>
              </w:rPr>
            </w:pPr>
            <w:r w:rsidRPr="00895115">
              <w:rPr>
                <w:rFonts w:ascii="Arial" w:hAnsi="Arial" w:cs="Arial"/>
                <w:sz w:val="20"/>
                <w:szCs w:val="20"/>
              </w:rPr>
              <w:t>Test Suite Author</w:t>
            </w:r>
          </w:p>
        </w:tc>
        <w:tc>
          <w:tcPr>
            <w:tcW w:w="3282" w:type="dxa"/>
            <w:vAlign w:val="center"/>
          </w:tcPr>
          <w:p w14:paraId="643C2CB3" w14:textId="77777777" w:rsidR="005171C3" w:rsidRPr="00645291" w:rsidRDefault="005171C3" w:rsidP="006560FA">
            <w:pPr>
              <w:jc w:val="both"/>
              <w:rPr>
                <w:rFonts w:ascii="Arial Narrow" w:hAnsi="Arial Narrow"/>
              </w:rPr>
            </w:pPr>
            <w:r w:rsidRPr="00645291">
              <w:rPr>
                <w:rFonts w:ascii="Arial Narrow" w:hAnsi="Arial Narrow"/>
              </w:rPr>
              <w:t xml:space="preserve">Ярослава Дмитренко </w:t>
            </w:r>
          </w:p>
          <w:p w14:paraId="738BB7B3" w14:textId="77777777" w:rsidR="005171C3" w:rsidRDefault="005171C3" w:rsidP="006560FA">
            <w:pPr>
              <w:jc w:val="both"/>
              <w:rPr>
                <w:rFonts w:ascii="Arial Narrow" w:hAnsi="Arial Narrow"/>
              </w:rPr>
            </w:pPr>
            <w:r w:rsidRPr="00645291">
              <w:rPr>
                <w:rFonts w:ascii="Arial Narrow" w:hAnsi="Arial Narrow"/>
              </w:rPr>
              <w:t>телеграм: t.me/y_aradm</w:t>
            </w:r>
          </w:p>
          <w:p w14:paraId="521344B7" w14:textId="77777777" w:rsidR="005171C3" w:rsidRPr="00895115" w:rsidRDefault="005171C3" w:rsidP="006560FA">
            <w:pPr>
              <w:rPr>
                <w:rFonts w:ascii="Arial Narrow" w:hAnsi="Arial Narrow"/>
                <w:sz w:val="22"/>
                <w:szCs w:val="22"/>
              </w:rPr>
            </w:pPr>
            <w:r w:rsidRPr="00645291">
              <w:rPr>
                <w:rFonts w:ascii="Arial Narrow" w:hAnsi="Arial Narrow"/>
              </w:rPr>
              <w:t>e-пошта:</w:t>
            </w:r>
            <w:r w:rsidRPr="00750A76">
              <w:rPr>
                <w:rFonts w:ascii="Arial Narrow" w:hAnsi="Arial Narrow"/>
                <w:lang w:val="ru-RU"/>
              </w:rPr>
              <w:t xml:space="preserve"> </w:t>
            </w:r>
            <w:r w:rsidRPr="00645291">
              <w:rPr>
                <w:rFonts w:ascii="Arial Narrow" w:hAnsi="Arial Narrow"/>
              </w:rPr>
              <w:t>dmytrenkovika4@gmail.com</w:t>
            </w:r>
          </w:p>
        </w:tc>
      </w:tr>
      <w:tr w:rsidR="005171C3" w:rsidRPr="00412C55" w14:paraId="430D8482" w14:textId="77777777" w:rsidTr="006560FA">
        <w:trPr>
          <w:trHeight w:val="567"/>
        </w:trPr>
        <w:tc>
          <w:tcPr>
            <w:tcW w:w="2660" w:type="dxa"/>
            <w:vAlign w:val="center"/>
          </w:tcPr>
          <w:p w14:paraId="57D50015" w14:textId="77777777" w:rsidR="005171C3" w:rsidRPr="00895115" w:rsidRDefault="005171C3" w:rsidP="006560FA">
            <w:pPr>
              <w:ind w:right="-214"/>
              <w:rPr>
                <w:sz w:val="20"/>
                <w:szCs w:val="20"/>
              </w:rPr>
            </w:pPr>
            <w:r w:rsidRPr="00895115">
              <w:rPr>
                <w:sz w:val="20"/>
                <w:szCs w:val="20"/>
              </w:rPr>
              <w:t xml:space="preserve">Виконавець </w:t>
            </w:r>
          </w:p>
          <w:p w14:paraId="21711101" w14:textId="77777777" w:rsidR="005171C3" w:rsidRPr="00895115" w:rsidRDefault="005171C3" w:rsidP="006560FA">
            <w:pPr>
              <w:ind w:right="-214"/>
              <w:rPr>
                <w:sz w:val="20"/>
                <w:szCs w:val="20"/>
              </w:rPr>
            </w:pPr>
            <w:r w:rsidRPr="00895115">
              <w:rPr>
                <w:rFonts w:ascii="Arial" w:hAnsi="Arial" w:cs="Arial"/>
                <w:sz w:val="20"/>
                <w:szCs w:val="20"/>
              </w:rPr>
              <w:t>Implementer</w:t>
            </w:r>
          </w:p>
        </w:tc>
        <w:tc>
          <w:tcPr>
            <w:tcW w:w="3282" w:type="dxa"/>
            <w:vAlign w:val="center"/>
          </w:tcPr>
          <w:p w14:paraId="09A61202" w14:textId="77777777" w:rsidR="005171C3" w:rsidRPr="00412C55" w:rsidRDefault="005171C3" w:rsidP="006560FA">
            <w:pPr>
              <w:ind w:left="104"/>
              <w:rPr>
                <w:rFonts w:ascii="Arial Narrow" w:hAnsi="Arial Narrow"/>
                <w:sz w:val="25"/>
                <w:szCs w:val="25"/>
              </w:rPr>
            </w:pPr>
            <w:r>
              <w:rPr>
                <w:rFonts w:ascii="Arial Narrow" w:hAnsi="Arial Narrow"/>
                <w:sz w:val="25"/>
                <w:szCs w:val="25"/>
              </w:rPr>
              <w:t>Ярослава Дмитренко</w:t>
            </w:r>
          </w:p>
        </w:tc>
      </w:tr>
    </w:tbl>
    <w:p w14:paraId="78A14863" w14:textId="77777777" w:rsidR="005171C3" w:rsidRDefault="005171C3" w:rsidP="005171C3">
      <w:pPr>
        <w:spacing w:line="360" w:lineRule="auto"/>
        <w:ind w:left="68" w:firstLine="709"/>
        <w:jc w:val="both"/>
        <w:rPr>
          <w:sz w:val="28"/>
          <w:szCs w:val="28"/>
        </w:rPr>
      </w:pPr>
    </w:p>
    <w:p w14:paraId="5E630403" w14:textId="77777777" w:rsidR="005171C3" w:rsidRDefault="005171C3" w:rsidP="005171C3">
      <w:pPr>
        <w:spacing w:line="360" w:lineRule="auto"/>
        <w:ind w:left="68" w:firstLine="709"/>
        <w:jc w:val="both"/>
        <w:rPr>
          <w:sz w:val="28"/>
          <w:szCs w:val="28"/>
        </w:rPr>
      </w:pPr>
    </w:p>
    <w:p w14:paraId="179DBF49" w14:textId="77777777" w:rsidR="005171C3" w:rsidRDefault="005171C3" w:rsidP="005171C3">
      <w:pPr>
        <w:spacing w:line="360" w:lineRule="auto"/>
        <w:ind w:left="68" w:firstLine="709"/>
        <w:jc w:val="both"/>
        <w:rPr>
          <w:sz w:val="28"/>
          <w:szCs w:val="28"/>
        </w:rPr>
      </w:pPr>
      <w:r>
        <w:rPr>
          <w:noProof/>
        </w:rPr>
        <mc:AlternateContent>
          <mc:Choice Requires="wps">
            <w:drawing>
              <wp:anchor distT="0" distB="0" distL="114300" distR="114300" simplePos="0" relativeHeight="251659264" behindDoc="0" locked="0" layoutInCell="1" allowOverlap="1" wp14:anchorId="6C7167B3" wp14:editId="55A42487">
                <wp:simplePos x="0" y="0"/>
                <wp:positionH relativeFrom="column">
                  <wp:posOffset>-302169</wp:posOffset>
                </wp:positionH>
                <wp:positionV relativeFrom="paragraph">
                  <wp:posOffset>290377</wp:posOffset>
                </wp:positionV>
                <wp:extent cx="2724150" cy="809625"/>
                <wp:effectExtent l="0" t="0" r="0" b="9525"/>
                <wp:wrapNone/>
                <wp:docPr id="2" name="Прямокут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CAA1" w14:textId="77777777" w:rsidR="005171C3" w:rsidRDefault="005171C3" w:rsidP="005171C3">
                            <w:pPr>
                              <w:tabs>
                                <w:tab w:val="left" w:pos="1430"/>
                              </w:tabs>
                              <w:rPr>
                                <w:rFonts w:ascii="Courier New" w:hAnsi="Courier New" w:cs="Courier New"/>
                                <w:color w:val="333333"/>
                                <w:sz w:val="20"/>
                                <w:szCs w:val="20"/>
                                <w:lang w:val="en-US"/>
                              </w:rPr>
                            </w:pPr>
                            <w:r>
                              <w:rPr>
                                <w:rFonts w:ascii="Courier New" w:hAnsi="Courier New" w:cs="Courier New"/>
                                <w:color w:val="333333"/>
                                <w:sz w:val="20"/>
                                <w:szCs w:val="20"/>
                              </w:rPr>
                              <w:t xml:space="preserve">Artifact: </w:t>
                            </w:r>
                            <w:r>
                              <w:rPr>
                                <w:rFonts w:ascii="Courier New" w:hAnsi="Courier New" w:cs="Courier New"/>
                                <w:color w:val="333333"/>
                                <w:sz w:val="20"/>
                                <w:szCs w:val="20"/>
                                <w:lang w:val="en-US"/>
                              </w:rPr>
                              <w:tab/>
                            </w:r>
                            <w:r>
                              <w:rPr>
                                <w:rFonts w:ascii="Courier New" w:hAnsi="Courier New" w:cs="Courier New"/>
                                <w:color w:val="333333"/>
                                <w:sz w:val="20"/>
                                <w:szCs w:val="20"/>
                              </w:rPr>
                              <w:t>Test Suite</w:t>
                            </w:r>
                          </w:p>
                          <w:p w14:paraId="7EC73A88" w14:textId="77777777" w:rsidR="005171C3" w:rsidRDefault="005171C3" w:rsidP="005171C3">
                            <w:pPr>
                              <w:tabs>
                                <w:tab w:val="left" w:pos="1430"/>
                              </w:tabs>
                              <w:rPr>
                                <w:rFonts w:ascii="Courier New" w:hAnsi="Courier New" w:cs="Courier New"/>
                                <w:color w:val="333333"/>
                                <w:sz w:val="20"/>
                                <w:szCs w:val="20"/>
                                <w:lang w:val="en-US"/>
                              </w:rPr>
                            </w:pPr>
                          </w:p>
                          <w:p w14:paraId="3C1D6E84" w14:textId="1D70AF53" w:rsidR="005171C3" w:rsidRDefault="005171C3" w:rsidP="005171C3">
                            <w:pPr>
                              <w:tabs>
                                <w:tab w:val="left" w:pos="1430"/>
                              </w:tabs>
                              <w:rPr>
                                <w:rFonts w:ascii="Courier New" w:hAnsi="Courier New" w:cs="Courier New"/>
                                <w:color w:val="333333"/>
                                <w:sz w:val="20"/>
                                <w:szCs w:val="20"/>
                                <w:lang w:val="en-US"/>
                              </w:rPr>
                            </w:pPr>
                            <w:r>
                              <w:rPr>
                                <w:rFonts w:ascii="Courier New" w:hAnsi="Courier New" w:cs="Courier New"/>
                                <w:color w:val="333333"/>
                                <w:sz w:val="20"/>
                                <w:szCs w:val="20"/>
                                <w:lang w:val="en-US"/>
                              </w:rPr>
                              <w:t>Date:</w:t>
                            </w:r>
                            <w:r>
                              <w:rPr>
                                <w:rFonts w:ascii="Courier New" w:hAnsi="Courier New" w:cs="Courier New"/>
                                <w:color w:val="333333"/>
                                <w:sz w:val="20"/>
                                <w:szCs w:val="20"/>
                                <w:lang w:val="en-US"/>
                              </w:rPr>
                              <w:tab/>
                            </w:r>
                            <w:r>
                              <w:rPr>
                                <w:rFonts w:ascii="Courier New" w:hAnsi="Courier New" w:cs="Courier New"/>
                                <w:color w:val="333333"/>
                                <w:sz w:val="20"/>
                                <w:szCs w:val="20"/>
                                <w:lang w:val="en-US"/>
                              </w:rPr>
                              <w:fldChar w:fldCharType="begin"/>
                            </w:r>
                            <w:r>
                              <w:rPr>
                                <w:rFonts w:ascii="Courier New" w:hAnsi="Courier New" w:cs="Courier New"/>
                                <w:color w:val="333333"/>
                                <w:sz w:val="20"/>
                                <w:szCs w:val="20"/>
                                <w:lang w:val="en-US"/>
                              </w:rPr>
                              <w:instrText xml:space="preserve"> DATE \@ "M/d/yyyy" </w:instrText>
                            </w:r>
                            <w:r>
                              <w:rPr>
                                <w:rFonts w:ascii="Courier New" w:hAnsi="Courier New" w:cs="Courier New"/>
                                <w:color w:val="333333"/>
                                <w:sz w:val="20"/>
                                <w:szCs w:val="20"/>
                                <w:lang w:val="en-US"/>
                              </w:rPr>
                              <w:fldChar w:fldCharType="separate"/>
                            </w:r>
                            <w:r w:rsidR="00C325E8">
                              <w:rPr>
                                <w:rFonts w:ascii="Courier New" w:hAnsi="Courier New" w:cs="Courier New"/>
                                <w:noProof/>
                                <w:color w:val="333333"/>
                                <w:sz w:val="20"/>
                                <w:szCs w:val="20"/>
                                <w:lang w:val="en-US"/>
                              </w:rPr>
                              <w:t>4/17/2025</w:t>
                            </w:r>
                            <w:r>
                              <w:rPr>
                                <w:rFonts w:ascii="Courier New" w:hAnsi="Courier New" w:cs="Courier New"/>
                                <w:color w:val="333333"/>
                                <w:sz w:val="20"/>
                                <w:szCs w:val="20"/>
                                <w:lang w:val="en-US"/>
                              </w:rPr>
                              <w:fldChar w:fldCharType="end"/>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7167B3" id="Прямокутник 2" o:spid="_x0000_s1026" style="position:absolute;left:0;text-align:left;margin-left:-23.8pt;margin-top:22.85pt;width:214.5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" filled="f" stroked="f">
                <v:textbox>
                  <w:txbxContent>
                    <w:p w14:paraId="2B01CAA1" w14:textId="77777777" w:rsidR="005171C3" w:rsidRDefault="005171C3" w:rsidP="005171C3">
                      <w:pPr>
                        <w:tabs>
                          <w:tab w:val="left" w:pos="1430"/>
                        </w:tabs>
                        <w:rPr>
                          <w:rFonts w:ascii="Courier New" w:hAnsi="Courier New" w:cs="Courier New"/>
                          <w:color w:val="333333"/>
                          <w:sz w:val="20"/>
                          <w:szCs w:val="20"/>
                          <w:lang w:val="en-US"/>
                        </w:rPr>
                      </w:pPr>
                      <w:r>
                        <w:rPr>
                          <w:rFonts w:ascii="Courier New" w:hAnsi="Courier New" w:cs="Courier New"/>
                          <w:color w:val="333333"/>
                          <w:sz w:val="20"/>
                          <w:szCs w:val="20"/>
                        </w:rPr>
                        <w:t xml:space="preserve">Artifact: </w:t>
                      </w:r>
                      <w:r>
                        <w:rPr>
                          <w:rFonts w:ascii="Courier New" w:hAnsi="Courier New" w:cs="Courier New"/>
                          <w:color w:val="333333"/>
                          <w:sz w:val="20"/>
                          <w:szCs w:val="20"/>
                          <w:lang w:val="en-US"/>
                        </w:rPr>
                        <w:tab/>
                      </w:r>
                      <w:r>
                        <w:rPr>
                          <w:rFonts w:ascii="Courier New" w:hAnsi="Courier New" w:cs="Courier New"/>
                          <w:color w:val="333333"/>
                          <w:sz w:val="20"/>
                          <w:szCs w:val="20"/>
                        </w:rPr>
                        <w:t>Test Suite</w:t>
                      </w:r>
                    </w:p>
                    <w:p w14:paraId="7EC73A88" w14:textId="77777777" w:rsidR="005171C3" w:rsidRDefault="005171C3" w:rsidP="005171C3">
                      <w:pPr>
                        <w:tabs>
                          <w:tab w:val="left" w:pos="1430"/>
                        </w:tabs>
                        <w:rPr>
                          <w:rFonts w:ascii="Courier New" w:hAnsi="Courier New" w:cs="Courier New"/>
                          <w:color w:val="333333"/>
                          <w:sz w:val="20"/>
                          <w:szCs w:val="20"/>
                          <w:lang w:val="en-US"/>
                        </w:rPr>
                      </w:pPr>
                    </w:p>
                    <w:p w14:paraId="3C1D6E84" w14:textId="1D70AF53" w:rsidR="005171C3" w:rsidRDefault="005171C3" w:rsidP="005171C3">
                      <w:pPr>
                        <w:tabs>
                          <w:tab w:val="left" w:pos="1430"/>
                        </w:tabs>
                        <w:rPr>
                          <w:rFonts w:ascii="Courier New" w:hAnsi="Courier New" w:cs="Courier New"/>
                          <w:color w:val="333333"/>
                          <w:sz w:val="20"/>
                          <w:szCs w:val="20"/>
                          <w:lang w:val="en-US"/>
                        </w:rPr>
                      </w:pPr>
                      <w:r>
                        <w:rPr>
                          <w:rFonts w:ascii="Courier New" w:hAnsi="Courier New" w:cs="Courier New"/>
                          <w:color w:val="333333"/>
                          <w:sz w:val="20"/>
                          <w:szCs w:val="20"/>
                          <w:lang w:val="en-US"/>
                        </w:rPr>
                        <w:t>Date:</w:t>
                      </w:r>
                      <w:r>
                        <w:rPr>
                          <w:rFonts w:ascii="Courier New" w:hAnsi="Courier New" w:cs="Courier New"/>
                          <w:color w:val="333333"/>
                          <w:sz w:val="20"/>
                          <w:szCs w:val="20"/>
                          <w:lang w:val="en-US"/>
                        </w:rPr>
                        <w:tab/>
                      </w:r>
                      <w:r>
                        <w:rPr>
                          <w:rFonts w:ascii="Courier New" w:hAnsi="Courier New" w:cs="Courier New"/>
                          <w:color w:val="333333"/>
                          <w:sz w:val="20"/>
                          <w:szCs w:val="20"/>
                          <w:lang w:val="en-US"/>
                        </w:rPr>
                        <w:fldChar w:fldCharType="begin"/>
                      </w:r>
                      <w:r>
                        <w:rPr>
                          <w:rFonts w:ascii="Courier New" w:hAnsi="Courier New" w:cs="Courier New"/>
                          <w:color w:val="333333"/>
                          <w:sz w:val="20"/>
                          <w:szCs w:val="20"/>
                          <w:lang w:val="en-US"/>
                        </w:rPr>
                        <w:instrText xml:space="preserve"> DATE \@ "M/d/yyyy" </w:instrText>
                      </w:r>
                      <w:r>
                        <w:rPr>
                          <w:rFonts w:ascii="Courier New" w:hAnsi="Courier New" w:cs="Courier New"/>
                          <w:color w:val="333333"/>
                          <w:sz w:val="20"/>
                          <w:szCs w:val="20"/>
                          <w:lang w:val="en-US"/>
                        </w:rPr>
                        <w:fldChar w:fldCharType="separate"/>
                      </w:r>
                      <w:r w:rsidR="00C325E8">
                        <w:rPr>
                          <w:rFonts w:ascii="Courier New" w:hAnsi="Courier New" w:cs="Courier New"/>
                          <w:noProof/>
                          <w:color w:val="333333"/>
                          <w:sz w:val="20"/>
                          <w:szCs w:val="20"/>
                          <w:lang w:val="en-US"/>
                        </w:rPr>
                        <w:t>4/17/2025</w:t>
                      </w:r>
                      <w:r>
                        <w:rPr>
                          <w:rFonts w:ascii="Courier New" w:hAnsi="Courier New" w:cs="Courier New"/>
                          <w:color w:val="333333"/>
                          <w:sz w:val="20"/>
                          <w:szCs w:val="20"/>
                          <w:lang w:val="en-US"/>
                        </w:rPr>
                        <w:fldChar w:fldCharType="end"/>
                      </w:r>
                    </w:p>
                  </w:txbxContent>
                </v:textbox>
              </v:rect>
            </w:pict>
          </mc:Fallback>
        </mc:AlternateContent>
      </w:r>
    </w:p>
    <w:p w14:paraId="19BFFEFB" w14:textId="77777777" w:rsidR="005171C3" w:rsidRDefault="005171C3" w:rsidP="005171C3">
      <w:pPr>
        <w:spacing w:line="360" w:lineRule="auto"/>
        <w:ind w:left="68" w:firstLine="709"/>
        <w:jc w:val="both"/>
        <w:rPr>
          <w:sz w:val="28"/>
          <w:szCs w:val="28"/>
        </w:rPr>
      </w:pPr>
    </w:p>
    <w:p w14:paraId="75A5A425" w14:textId="77777777" w:rsidR="005171C3" w:rsidRDefault="005171C3" w:rsidP="005171C3">
      <w:pPr>
        <w:spacing w:line="360" w:lineRule="auto"/>
        <w:ind w:left="68" w:firstLine="709"/>
        <w:jc w:val="both"/>
        <w:rPr>
          <w:sz w:val="28"/>
          <w:szCs w:val="28"/>
        </w:rPr>
      </w:pPr>
    </w:p>
    <w:p w14:paraId="6E970BC9" w14:textId="77777777" w:rsidR="005171C3" w:rsidRDefault="005171C3" w:rsidP="005171C3">
      <w:pPr>
        <w:spacing w:line="360" w:lineRule="auto"/>
        <w:ind w:left="68" w:firstLine="709"/>
        <w:jc w:val="both"/>
        <w:rPr>
          <w:sz w:val="28"/>
          <w:szCs w:val="28"/>
        </w:rPr>
      </w:pPr>
    </w:p>
    <w:p w14:paraId="33AC1109" w14:textId="77777777" w:rsidR="005171C3" w:rsidRDefault="005171C3" w:rsidP="005171C3">
      <w:pPr>
        <w:spacing w:line="360" w:lineRule="auto"/>
        <w:ind w:left="68" w:firstLine="709"/>
        <w:jc w:val="both"/>
        <w:rPr>
          <w:sz w:val="28"/>
          <w:szCs w:val="28"/>
        </w:rPr>
      </w:pPr>
    </w:p>
    <w:p w14:paraId="6B165936" w14:textId="77777777" w:rsidR="005171C3" w:rsidRDefault="005171C3" w:rsidP="005171C3">
      <w:pPr>
        <w:spacing w:line="360" w:lineRule="auto"/>
        <w:jc w:val="both"/>
        <w:rPr>
          <w:sz w:val="28"/>
          <w:szCs w:val="28"/>
        </w:rPr>
      </w:pPr>
    </w:p>
    <w:p w14:paraId="53696FBE" w14:textId="77777777" w:rsidR="005171C3" w:rsidRDefault="005171C3" w:rsidP="005171C3">
      <w:pPr>
        <w:spacing w:line="360" w:lineRule="auto"/>
        <w:ind w:left="68" w:firstLine="709"/>
        <w:jc w:val="both"/>
        <w:rPr>
          <w:sz w:val="28"/>
          <w:szCs w:val="28"/>
        </w:rPr>
      </w:pPr>
    </w:p>
    <w:tbl>
      <w:tblPr>
        <w:tblW w:w="10386"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1009"/>
        <w:gridCol w:w="2937"/>
        <w:gridCol w:w="4653"/>
        <w:gridCol w:w="1787"/>
      </w:tblGrid>
      <w:tr w:rsidR="005171C3" w14:paraId="34F1195A" w14:textId="77777777" w:rsidTr="00C350E3">
        <w:trPr>
          <w:trHeight w:val="1260"/>
          <w:jc w:val="right"/>
        </w:trPr>
        <w:tc>
          <w:tcPr>
            <w:tcW w:w="1009"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0EF0A112" w14:textId="77777777" w:rsidR="005171C3" w:rsidRDefault="005171C3" w:rsidP="006560FA">
            <w:pPr>
              <w:spacing w:line="192" w:lineRule="auto"/>
              <w:jc w:val="center"/>
              <w:rPr>
                <w:lang w:eastAsia="en-US"/>
              </w:rPr>
            </w:pPr>
            <w:bookmarkStart w:id="0" w:name="_Hlk183426774"/>
            <w:r>
              <w:rPr>
                <w:lang w:eastAsia="en-US"/>
              </w:rPr>
              <w:t xml:space="preserve">Ід-р тест-кейса / </w:t>
            </w:r>
            <w:r>
              <w:rPr>
                <w:rFonts w:ascii="Arial" w:hAnsi="Arial" w:cs="Arial"/>
                <w:sz w:val="22"/>
                <w:szCs w:val="22"/>
                <w:lang w:eastAsia="en-US"/>
              </w:rPr>
              <w:t>Test Case ID</w:t>
            </w:r>
          </w:p>
        </w:tc>
        <w:tc>
          <w:tcPr>
            <w:tcW w:w="2937"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405FE93C" w14:textId="77777777" w:rsidR="005171C3" w:rsidRDefault="005171C3" w:rsidP="006560FA">
            <w:pPr>
              <w:spacing w:line="254" w:lineRule="auto"/>
              <w:jc w:val="center"/>
              <w:rPr>
                <w:rFonts w:ascii="Arial" w:hAnsi="Arial" w:cs="Arial"/>
                <w:lang w:val="en-US" w:eastAsia="en-US"/>
              </w:rPr>
            </w:pPr>
            <w:r>
              <w:rPr>
                <w:lang w:eastAsia="en-US"/>
              </w:rPr>
              <w:t xml:space="preserve">Дії (кроки) </w:t>
            </w:r>
            <w:r>
              <w:rPr>
                <w:rFonts w:ascii="Arial" w:hAnsi="Arial" w:cs="Arial"/>
                <w:lang w:eastAsia="en-US"/>
              </w:rPr>
              <w:t xml:space="preserve">/ </w:t>
            </w:r>
          </w:p>
          <w:p w14:paraId="3A837764" w14:textId="77777777" w:rsidR="005171C3" w:rsidRDefault="005171C3" w:rsidP="006560FA">
            <w:pPr>
              <w:spacing w:line="254" w:lineRule="auto"/>
              <w:jc w:val="center"/>
              <w:rPr>
                <w:rFonts w:ascii="Georgia" w:hAnsi="Georgia"/>
                <w:b/>
                <w:bCs/>
                <w:color w:val="2A2A2A"/>
                <w:sz w:val="22"/>
                <w:szCs w:val="22"/>
                <w:lang w:eastAsia="en-US"/>
              </w:rPr>
            </w:pPr>
            <w:r>
              <w:rPr>
                <w:rFonts w:ascii="Arial" w:hAnsi="Arial" w:cs="Arial"/>
                <w:sz w:val="22"/>
                <w:szCs w:val="22"/>
                <w:lang w:eastAsia="en-US"/>
              </w:rPr>
              <w:t>Action (Test Step</w:t>
            </w:r>
            <w:r>
              <w:rPr>
                <w:rFonts w:ascii="Arial" w:hAnsi="Arial" w:cs="Arial"/>
                <w:sz w:val="22"/>
                <w:szCs w:val="22"/>
                <w:lang w:val="en-US" w:eastAsia="en-US"/>
              </w:rPr>
              <w:t>s</w:t>
            </w:r>
            <w:r>
              <w:rPr>
                <w:rFonts w:ascii="Arial" w:hAnsi="Arial" w:cs="Arial"/>
                <w:sz w:val="22"/>
                <w:szCs w:val="22"/>
                <w:lang w:eastAsia="en-US"/>
              </w:rPr>
              <w:t>)</w:t>
            </w:r>
          </w:p>
        </w:tc>
        <w:tc>
          <w:tcPr>
            <w:tcW w:w="4653"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608813F0" w14:textId="77777777" w:rsidR="005171C3" w:rsidRDefault="005171C3" w:rsidP="006560FA">
            <w:pPr>
              <w:spacing w:line="254" w:lineRule="auto"/>
              <w:jc w:val="center"/>
              <w:rPr>
                <w:lang w:val="ru-RU" w:eastAsia="en-US"/>
              </w:rPr>
            </w:pPr>
            <w:r>
              <w:rPr>
                <w:lang w:eastAsia="en-US"/>
              </w:rPr>
              <w:t xml:space="preserve">Очікуваний </w:t>
            </w:r>
          </w:p>
          <w:p w14:paraId="5F71CB82" w14:textId="77777777" w:rsidR="005171C3" w:rsidRDefault="005171C3" w:rsidP="006560FA">
            <w:pPr>
              <w:spacing w:line="254" w:lineRule="auto"/>
              <w:jc w:val="center"/>
              <w:rPr>
                <w:sz w:val="22"/>
                <w:szCs w:val="22"/>
                <w:lang w:val="ru-RU" w:eastAsia="en-US"/>
              </w:rPr>
            </w:pPr>
            <w:r>
              <w:rPr>
                <w:sz w:val="22"/>
                <w:szCs w:val="22"/>
                <w:lang w:eastAsia="en-US"/>
              </w:rPr>
              <w:t xml:space="preserve">результат / </w:t>
            </w:r>
          </w:p>
          <w:p w14:paraId="2B991497" w14:textId="77777777" w:rsidR="005171C3" w:rsidRDefault="005171C3" w:rsidP="006560FA">
            <w:pPr>
              <w:spacing w:line="254" w:lineRule="auto"/>
              <w:jc w:val="center"/>
              <w:rPr>
                <w:lang w:eastAsia="en-US"/>
              </w:rPr>
            </w:pPr>
            <w:r>
              <w:rPr>
                <w:rFonts w:ascii="Arial" w:hAnsi="Arial" w:cs="Arial"/>
                <w:sz w:val="22"/>
                <w:szCs w:val="22"/>
                <w:lang w:eastAsia="en-US"/>
              </w:rPr>
              <w:t>Expected Result</w:t>
            </w:r>
          </w:p>
        </w:tc>
        <w:tc>
          <w:tcPr>
            <w:tcW w:w="1787"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2AB7C0F2" w14:textId="77777777" w:rsidR="005171C3" w:rsidRDefault="005171C3" w:rsidP="006560FA">
            <w:pPr>
              <w:spacing w:line="254" w:lineRule="auto"/>
              <w:ind w:left="-57" w:right="-57"/>
              <w:jc w:val="center"/>
              <w:rPr>
                <w:rFonts w:ascii="Arial" w:hAnsi="Arial" w:cs="Arial"/>
                <w:lang w:eastAsia="en-US"/>
              </w:rPr>
            </w:pPr>
            <w:r>
              <w:rPr>
                <w:lang w:eastAsia="en-US"/>
              </w:rPr>
              <w:t xml:space="preserve">Результат тестування </w:t>
            </w:r>
            <w:r>
              <w:rPr>
                <w:rFonts w:ascii="Arial" w:hAnsi="Arial" w:cs="Arial"/>
                <w:lang w:eastAsia="en-US"/>
              </w:rPr>
              <w:t xml:space="preserve">/ </w:t>
            </w:r>
          </w:p>
          <w:p w14:paraId="6671C074" w14:textId="77777777" w:rsidR="005171C3" w:rsidRDefault="005171C3" w:rsidP="006560FA">
            <w:pPr>
              <w:spacing w:line="254" w:lineRule="auto"/>
              <w:ind w:left="-57" w:right="-57"/>
              <w:jc w:val="center"/>
              <w:rPr>
                <w:sz w:val="22"/>
                <w:szCs w:val="22"/>
                <w:lang w:eastAsia="en-US"/>
              </w:rPr>
            </w:pPr>
            <w:r>
              <w:rPr>
                <w:rFonts w:ascii="Arial" w:hAnsi="Arial" w:cs="Arial"/>
                <w:sz w:val="22"/>
                <w:szCs w:val="22"/>
                <w:lang w:eastAsia="en-US"/>
              </w:rPr>
              <w:t>Test Result</w:t>
            </w:r>
          </w:p>
        </w:tc>
      </w:tr>
      <w:tr w:rsidR="005171C3" w14:paraId="37D3C2DD" w14:textId="77777777" w:rsidTr="00C350E3">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hideMark/>
          </w:tcPr>
          <w:p w14:paraId="20666B29" w14:textId="77777777" w:rsidR="005171C3" w:rsidRPr="00453977" w:rsidRDefault="005171C3" w:rsidP="006560FA">
            <w:pPr>
              <w:spacing w:line="254" w:lineRule="auto"/>
              <w:rPr>
                <w:rFonts w:ascii="Arial Narrow" w:hAnsi="Arial Narrow"/>
                <w:sz w:val="20"/>
                <w:szCs w:val="20"/>
                <w:lang w:eastAsia="en-US"/>
              </w:rPr>
            </w:pPr>
            <w:r w:rsidRPr="00453977">
              <w:rPr>
                <w:rFonts w:ascii="Arial Narrow" w:hAnsi="Arial Narrow"/>
                <w:sz w:val="20"/>
                <w:szCs w:val="20"/>
                <w:lang w:val="en-US" w:eastAsia="en-US"/>
              </w:rPr>
              <w:t>TC-1</w:t>
            </w:r>
          </w:p>
        </w:tc>
        <w:tc>
          <w:tcPr>
            <w:tcW w:w="2937" w:type="dxa"/>
            <w:tcBorders>
              <w:top w:val="single" w:sz="18" w:space="0" w:color="999999"/>
              <w:left w:val="single" w:sz="18" w:space="0" w:color="999999"/>
              <w:bottom w:val="single" w:sz="18" w:space="0" w:color="999999"/>
              <w:right w:val="single" w:sz="18" w:space="0" w:color="999999"/>
            </w:tcBorders>
            <w:vAlign w:val="center"/>
            <w:hideMark/>
          </w:tcPr>
          <w:p w14:paraId="799DCC42" w14:textId="77777777" w:rsidR="005171C3" w:rsidRPr="00453977" w:rsidRDefault="005171C3" w:rsidP="006560FA">
            <w:pPr>
              <w:pStyle w:val="a3"/>
              <w:numPr>
                <w:ilvl w:val="0"/>
                <w:numId w:val="2"/>
              </w:numPr>
              <w:spacing w:line="254" w:lineRule="auto"/>
              <w:ind w:left="279" w:hanging="284"/>
              <w:rPr>
                <w:rFonts w:ascii="Arial Narrow" w:hAnsi="Arial Narrow" w:cs="Arial"/>
                <w:sz w:val="20"/>
                <w:szCs w:val="20"/>
                <w:lang w:val="en-US" w:eastAsia="en-US"/>
              </w:rPr>
            </w:pPr>
            <w:r w:rsidRPr="00453977">
              <w:rPr>
                <w:rFonts w:ascii="Arial Narrow" w:hAnsi="Arial Narrow" w:cs="Arial"/>
                <w:sz w:val="20"/>
                <w:szCs w:val="20"/>
                <w:lang w:eastAsia="en-US"/>
              </w:rPr>
              <w:t>Запустити застосунок</w:t>
            </w:r>
          </w:p>
        </w:tc>
        <w:tc>
          <w:tcPr>
            <w:tcW w:w="4653" w:type="dxa"/>
            <w:tcBorders>
              <w:top w:val="single" w:sz="18" w:space="0" w:color="999999"/>
              <w:left w:val="single" w:sz="18" w:space="0" w:color="999999"/>
              <w:bottom w:val="single" w:sz="18" w:space="0" w:color="999999"/>
              <w:right w:val="single" w:sz="18" w:space="0" w:color="999999"/>
            </w:tcBorders>
            <w:vAlign w:val="center"/>
            <w:hideMark/>
          </w:tcPr>
          <w:p w14:paraId="35B203B4" w14:textId="77777777" w:rsidR="005171C3" w:rsidRPr="00453977" w:rsidRDefault="005171C3" w:rsidP="006560FA">
            <w:pPr>
              <w:spacing w:line="254" w:lineRule="auto"/>
              <w:rPr>
                <w:rFonts w:ascii="Arial Narrow" w:hAnsi="Arial Narrow" w:cs="Courier New"/>
                <w:sz w:val="20"/>
                <w:szCs w:val="20"/>
                <w:lang w:eastAsia="en-US"/>
              </w:rPr>
            </w:pPr>
            <w:r w:rsidRPr="00453977">
              <w:rPr>
                <w:rFonts w:ascii="Arial Narrow" w:hAnsi="Arial Narrow" w:cs="Courier New"/>
                <w:sz w:val="20"/>
                <w:szCs w:val="20"/>
                <w:lang w:eastAsia="en-US"/>
              </w:rPr>
              <w:t>Вікно застосунку:</w:t>
            </w:r>
          </w:p>
          <w:p w14:paraId="0944D075" w14:textId="77777777" w:rsidR="005171C3" w:rsidRDefault="005171C3" w:rsidP="006560FA">
            <w:pPr>
              <w:spacing w:line="254" w:lineRule="auto"/>
              <w:rPr>
                <w:rFonts w:ascii="Courier New" w:hAnsi="Courier New" w:cs="Courier New"/>
                <w:sz w:val="20"/>
                <w:szCs w:val="20"/>
                <w:lang w:eastAsia="en-US"/>
              </w:rPr>
            </w:pPr>
            <w:r w:rsidRPr="00E551BE">
              <w:rPr>
                <w:rFonts w:ascii="Courier New" w:hAnsi="Courier New" w:cs="Courier New"/>
                <w:sz w:val="20"/>
                <w:szCs w:val="20"/>
                <w:lang w:eastAsia="en-US"/>
              </w:rPr>
              <w:t>Роботу завершено. Перевірте файл 'output.txt'.</w:t>
            </w:r>
          </w:p>
          <w:p w14:paraId="2FFDD798" w14:textId="77777777" w:rsidR="005171C3" w:rsidRDefault="005171C3" w:rsidP="006560FA">
            <w:pPr>
              <w:spacing w:line="254" w:lineRule="auto"/>
              <w:rPr>
                <w:rFonts w:ascii="Arial Narrow" w:hAnsi="Arial Narrow" w:cs="Courier New"/>
                <w:sz w:val="20"/>
                <w:szCs w:val="20"/>
                <w:lang w:eastAsia="en-US"/>
              </w:rPr>
            </w:pPr>
            <w:r>
              <w:rPr>
                <w:rFonts w:ascii="Arial Narrow" w:hAnsi="Arial Narrow" w:cs="Courier New"/>
                <w:sz w:val="20"/>
                <w:szCs w:val="20"/>
                <w:lang w:eastAsia="en-US"/>
              </w:rPr>
              <w:t xml:space="preserve">Результат виведення у текстовий файл </w:t>
            </w:r>
            <w:r>
              <w:rPr>
                <w:rFonts w:ascii="Arial Narrow" w:hAnsi="Arial Narrow" w:cs="Courier New"/>
                <w:sz w:val="20"/>
                <w:szCs w:val="20"/>
                <w:lang w:val="en-US" w:eastAsia="en-US"/>
              </w:rPr>
              <w:t>output.txt</w:t>
            </w:r>
            <w:r>
              <w:rPr>
                <w:rFonts w:ascii="Arial Narrow" w:hAnsi="Arial Narrow" w:cs="Courier New"/>
                <w:sz w:val="20"/>
                <w:szCs w:val="20"/>
                <w:lang w:eastAsia="en-US"/>
              </w:rPr>
              <w:t>:</w:t>
            </w:r>
          </w:p>
          <w:p w14:paraId="48FB2E66" w14:textId="67D6DF36"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ab/>
            </w:r>
            <w:r w:rsidRPr="005171C3">
              <w:rPr>
                <w:rFonts w:ascii="Arial Narrow" w:hAnsi="Arial Narrow" w:cs="Courier New"/>
                <w:sz w:val="20"/>
                <w:szCs w:val="20"/>
                <w:lang w:eastAsia="en-US"/>
              </w:rPr>
              <w:tab/>
            </w:r>
            <w:r w:rsidRPr="005171C3">
              <w:rPr>
                <w:rFonts w:ascii="Arial Narrow" w:hAnsi="Arial Narrow" w:cs="Courier New"/>
                <w:sz w:val="20"/>
                <w:szCs w:val="20"/>
                <w:lang w:eastAsia="en-US"/>
              </w:rPr>
              <w:tab/>
            </w:r>
            <w:r w:rsidRPr="005171C3">
              <w:rPr>
                <w:rFonts w:ascii="Arial Narrow" w:hAnsi="Arial Narrow" w:cs="Courier New"/>
                <w:sz w:val="20"/>
                <w:szCs w:val="20"/>
                <w:lang w:eastAsia="en-US"/>
              </w:rPr>
              <w:tab/>
              <w:t>Про вищу освiту Стаття 62.</w:t>
            </w:r>
          </w:p>
          <w:p w14:paraId="672FCD47"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ab/>
            </w:r>
            <w:r w:rsidRPr="005171C3">
              <w:rPr>
                <w:rFonts w:ascii="Arial Narrow" w:hAnsi="Arial Narrow" w:cs="Courier New"/>
                <w:sz w:val="20"/>
                <w:szCs w:val="20"/>
                <w:lang w:eastAsia="en-US"/>
              </w:rPr>
              <w:tab/>
            </w:r>
            <w:r w:rsidRPr="005171C3">
              <w:rPr>
                <w:rFonts w:ascii="Arial Narrow" w:hAnsi="Arial Narrow" w:cs="Courier New"/>
                <w:sz w:val="20"/>
                <w:szCs w:val="20"/>
                <w:lang w:eastAsia="en-US"/>
              </w:rPr>
              <w:tab/>
            </w:r>
            <w:r w:rsidRPr="005171C3">
              <w:rPr>
                <w:rFonts w:ascii="Arial Narrow" w:hAnsi="Arial Narrow" w:cs="Courier New"/>
                <w:sz w:val="20"/>
                <w:szCs w:val="20"/>
                <w:lang w:eastAsia="en-US"/>
              </w:rPr>
              <w:tab/>
              <w:t>Права осiб, якi навчаються у закладах вищої освiти</w:t>
            </w:r>
          </w:p>
          <w:p w14:paraId="2FE30EE9"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1. Осiби, якi навчаються у закладах вищої освiти, мають право на:</w:t>
            </w:r>
          </w:p>
          <w:p w14:paraId="34BFCC9F"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1) вибiр форми навчання пiд час вступу до закладу вищої освiти;</w:t>
            </w:r>
          </w:p>
          <w:p w14:paraId="3D19D0A5"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2) безпечнi i нешкiдливi умови навчання, працi та побуту;</w:t>
            </w:r>
          </w:p>
          <w:p w14:paraId="22661E76"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3) трудову дiяльнiсть у позанавчальний час;</w:t>
            </w:r>
          </w:p>
          <w:p w14:paraId="42AB6A83"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4) додаткову оплачувану вiдпустку у зв’язку з навчанням за основним мiсцем роботи, скорочений робочий час та iншi пiльги, передбаченi законодавством для осiб, якi поєднують роботу з навчанням;</w:t>
            </w:r>
          </w:p>
          <w:p w14:paraId="4521EEAB"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5) безоплатне користування бiблiотеками, iнформацiйними фондами, навчальною, науковою та спортивною базами закладу вищої освiти;</w:t>
            </w:r>
          </w:p>
          <w:p w14:paraId="41CDF01C"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6) безоплатне забезпечення iнформацiєю для навчання у доступних форматах з використанням технологiй, що враховують обмеження життєдiяльностi, зумовленi станом здоров’я (для осiб з особливими освiтнiми потребами);</w:t>
            </w:r>
          </w:p>
          <w:p w14:paraId="148141C9"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7) користування виробничою, культурно-освiтньою, побутовою, оздоровчою базами закладу вищої освiти у порядку, передбаченому статутом закладу вищої освiти;</w:t>
            </w:r>
          </w:p>
          <w:p w14:paraId="3DC566CE"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8) забезпечення гуртожитком та цiлодобовим доступом до нього на строк навчання у порядку, встановленому законодавством;</w:t>
            </w:r>
          </w:p>
          <w:p w14:paraId="5905BBCF"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9) участь у науково-дослiдних, дослiдно-конструкторських роботах, конференцiях, симпозiумах, виставках, конкурсах, представлення своїх робiт для публiкацiї;</w:t>
            </w:r>
          </w:p>
          <w:p w14:paraId="4C02DF45"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 xml:space="preserve">10) участь у заходах з освiтньої, наукової, науково-дослiдної, спортивної, мистецької, громадської </w:t>
            </w:r>
            <w:r w:rsidRPr="005171C3">
              <w:rPr>
                <w:rFonts w:ascii="Arial Narrow" w:hAnsi="Arial Narrow" w:cs="Courier New"/>
                <w:sz w:val="20"/>
                <w:szCs w:val="20"/>
                <w:lang w:eastAsia="en-US"/>
              </w:rPr>
              <w:lastRenderedPageBreak/>
              <w:t>дiяльностi, що проводяться в Українi та за кордоном, у встановленому законодавством порядку;</w:t>
            </w:r>
          </w:p>
          <w:p w14:paraId="253C4990"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11) участь в обговореннi та вирiшеннi питань удосконалення навчального процесу, науково-дослiдної роботи, призначення стипендiй, органiзацiї дозвiлля, побуту, оздоровлення;</w:t>
            </w:r>
          </w:p>
          <w:p w14:paraId="14DED795"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12) внесення пропозицiй щодо умов i розмiру плати за навчання;</w:t>
            </w:r>
          </w:p>
          <w:p w14:paraId="4401206F"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13) участь у громадських об’єднаннях;</w:t>
            </w:r>
          </w:p>
          <w:p w14:paraId="7A4609BA"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14) участь у дiяльностi органiв громадського самоврядування закладу вищої освiти, iнститутiв, факультетiв, вiддiлень, вченої ради закладу вищої освiти, органiв студентського самоврядування;</w:t>
            </w:r>
          </w:p>
          <w:p w14:paraId="6BF028BE"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15) вибiр навчальних дисциплiн у межах, передбачених вiдповiдною освiтньою програмою та навчальним планом, в обсязi, що становить не менш як 25 вiдсоткiв загальної кiлькостi кредитiв ЄКТС, передбачених для даного рiвня вищої освiти. При цьому здобувачi певного рiвня вищої освiти мають право вибирати навчальнi дисциплiни, що пропонуються для iнших рiвнiв вищої освiти, за погодженням з керiвником вiдповiдного факультету чи пiдроздiлу;</w:t>
            </w:r>
          </w:p>
          <w:p w14:paraId="7757EABF"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16) навчання одночасно за декiлькома освiтнiми програмами, а також у декiлькох закладах вищої освiти, за умови отримання тiльки однiєї вищої освiти за кожним ступенем за кошти державного (мiсцевого) бюджету;</w:t>
            </w:r>
          </w:p>
          <w:p w14:paraId="02D5869E"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17) академiчну мобiльнiсть, у тому числi мiжнародну;</w:t>
            </w:r>
          </w:p>
          <w:p w14:paraId="549A1E29"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18) отримання соцiальної допомоги у випадках, встановлених законодавством;</w:t>
            </w:r>
          </w:p>
          <w:p w14:paraId="3783DEAB"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19) зарахування до страхового стажу вiдповiдно до Закону України "Про загальнообов’язкове державне пенсiйне страхування" перiодiв навчання на деннiй формi навчання у закладах вищої освiти, аспiрантурi, докторантурi, iнтернатурi, резидентурi, за умови добровiльної сплати страхових внескiв;</w:t>
            </w:r>
          </w:p>
          <w:p w14:paraId="59021372"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20) академiчну вiдпустку або перерву в навчаннi iз збереженням окремих прав здобувача вищої освiти, а також на поновлення навчання у порядку, встановленому центральним органом виконавчої влади у сферi освiти i науки;</w:t>
            </w:r>
          </w:p>
          <w:p w14:paraId="3FB0E7A3"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21) участь у формуваннi iндивiдуального навчального плану;</w:t>
            </w:r>
          </w:p>
          <w:p w14:paraId="00B32F49"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22) моральне та/або матерiальне заохочення за успiхи у навчаннi, науково-дослiднiй i громадськiй роботi, за мистецькi та спортивнi досягнення тощо;</w:t>
            </w:r>
          </w:p>
          <w:p w14:paraId="7529B98A"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23) захист вiд будь-яких форм експлуатацiї, фiзичного та психiчного насильства;</w:t>
            </w:r>
          </w:p>
          <w:p w14:paraId="5CBFE1E9"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24) безоплатне проходження практики на пiдприємствах, в установах, закладах та органiзацiях, а також на оплату працi пiд час виконання виробничих функцiй згiдно iз законодавством;</w:t>
            </w:r>
          </w:p>
          <w:p w14:paraId="484A99E9"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25) канiкулярну вiдпустку тривалiстю не менш як вiсiм календарних тижнiв на навчальний рiк;</w:t>
            </w:r>
          </w:p>
          <w:p w14:paraId="70FF598E"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26) отримання цiльових пiльгових державних кредитiв для здобуття вищої освiти у порядку, визначеному Кабiнетом Мiнiстрiв України;</w:t>
            </w:r>
          </w:p>
          <w:p w14:paraId="0F1B9B98"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27) оскарження дiй органiв управлiння закладу вищої освiти та їх посадових осiб, педагогiчних i науково-педагогiчних працiвникiв;</w:t>
            </w:r>
          </w:p>
          <w:p w14:paraId="312CC533"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 xml:space="preserve">28) спецiальний навчально-реабiлiтацiйний супровiд та вiльний доступ до iнфраструктури закладу вищої освiти </w:t>
            </w:r>
            <w:r w:rsidRPr="005171C3">
              <w:rPr>
                <w:rFonts w:ascii="Arial Narrow" w:hAnsi="Arial Narrow" w:cs="Courier New"/>
                <w:sz w:val="20"/>
                <w:szCs w:val="20"/>
                <w:lang w:eastAsia="en-US"/>
              </w:rPr>
              <w:lastRenderedPageBreak/>
              <w:t>вiдповiдно до медико-соцiальних показань за наявностi обмежень життєдiяльностi, зумовлених станом здоров’я.</w:t>
            </w:r>
          </w:p>
          <w:p w14:paraId="1D960B19"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2. Осiби, якi навчаються у закладах вищої освiти за денною формою навчання за рахунок коштiв державного або мiсцевих бюджетiв, мають право на отримання академiчних та соцiальних стипендiй у встановленому законодавством порядку.</w:t>
            </w:r>
          </w:p>
          <w:p w14:paraId="20348232"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3. Осiби, якi навчаються у закладах вищої освiти за денною формою навчання, можуть отримувати iншi стипендiї, призначенi фiзичними (юридичними) особами.</w:t>
            </w:r>
          </w:p>
          <w:p w14:paraId="19736FEA"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4. Соцiальнi стипендiї призначаються студентам (курсантам) закладу вищої освiти в порядку, встановленому Кабiнетом Мiнiстрiв України.</w:t>
            </w:r>
          </w:p>
          <w:p w14:paraId="7C991CE0"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Студенти (курсанти) закладу вищої освiти з числа дiтей-сирiт та дiтей, позбавлених батькiвського пiклування, а також студенти (курсанти) закладу вищої освiти, якi в перiод навчання у вiцi вiд 18 до 23 рокiв залишилися без батькiв, мають гарантоване право на отримання соцiальної стипендiї, у тому числi у разi отримання академiчної стипендiї.</w:t>
            </w:r>
          </w:p>
          <w:p w14:paraId="18F5B869"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Академiчнi стипендiї призначаються особам, якi досягли значних успiхiв у навчаннi та/або науковiй дiяльностi згiдно з критерiями, встановленими Кабiнетом Мiнiстрiв України. Частка студентiв (курсантiв), якi мають право на отримання академiчних стипендiй, встановлюється вченою радою закладу вищої освiти у межах визначеного Кабiнетом Мiнiстрiв України загального вiдсотка студентiв (курсантiв), якi мають право на отримання академiчних стипендiй, та стипендiального фонду.</w:t>
            </w:r>
          </w:p>
          <w:p w14:paraId="25B05183"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Студентам (курсантам) закладiв вищої освiти, якi мають право на отримання соцiальної стипендiї i набувають право на отримання академiчної стипендiї, надається один вид стипендiї за їхнiм вибором.</w:t>
            </w:r>
          </w:p>
          <w:p w14:paraId="7833DF5C"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5. Розмiр академiчної та соцiальної стипендiй, порядок їх призначення i виплати встановлюються Кабiнетом Мiнiстрiв України.</w:t>
            </w:r>
          </w:p>
          <w:p w14:paraId="790CC547"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6. Для студентiв (курсантiв), якi навчаються за гостродефiцитними спецiальностями (спецiалiзацiями) (у галузях знань освiта, математичнi, природничi, технiчнi науки), встановлюється пiдвищений розмiр академiчної стипендiї. Перелiк таких спецiальностей (спецiалiзацiй) та розмiр пiдвищення визначаються Кабiнетом Мiнiстрiв України.</w:t>
            </w:r>
          </w:p>
          <w:p w14:paraId="79F9348B"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9. Здобувачi вищої освiти, якi навчаються у закладах вищої освiти за денною формою навчання, мають право на пiльговий проїзд у транспортi у порядку, встановленому Кабiнетом Мiнiстрiв України.</w:t>
            </w:r>
          </w:p>
          <w:p w14:paraId="6861AD28" w14:textId="77777777" w:rsidR="005171C3" w:rsidRPr="005171C3" w:rsidRDefault="005171C3" w:rsidP="005171C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10. Студенти, курсанти закладiв вищої освiти мають право на отримання студентського квитка, зразок якого затверджується центральним органом виконавчої влади у сферi освiти i науки.</w:t>
            </w:r>
          </w:p>
          <w:p w14:paraId="063CD0B2" w14:textId="77777777" w:rsidR="005171C3" w:rsidRPr="005171C3" w:rsidRDefault="005171C3" w:rsidP="005171C3">
            <w:pPr>
              <w:spacing w:line="254" w:lineRule="auto"/>
              <w:rPr>
                <w:rFonts w:ascii="Arial Narrow" w:hAnsi="Arial Narrow" w:cs="Courier New"/>
                <w:sz w:val="20"/>
                <w:szCs w:val="20"/>
                <w:lang w:eastAsia="en-US"/>
              </w:rPr>
            </w:pPr>
          </w:p>
          <w:p w14:paraId="1B41C4BB" w14:textId="1D4A36C9" w:rsidR="005171C3" w:rsidRPr="00440354" w:rsidRDefault="005171C3" w:rsidP="005171C3">
            <w:pPr>
              <w:spacing w:line="254" w:lineRule="auto"/>
              <w:rPr>
                <w:rFonts w:ascii="Arial Narrow" w:hAnsi="Arial Narrow" w:cs="Arial"/>
                <w:sz w:val="20"/>
                <w:szCs w:val="20"/>
                <w:lang w:val="en-US" w:eastAsia="en-US"/>
              </w:rPr>
            </w:pPr>
            <w:r w:rsidRPr="005171C3">
              <w:rPr>
                <w:rFonts w:ascii="Arial Narrow" w:hAnsi="Arial Narrow" w:cs="Courier New"/>
                <w:sz w:val="20"/>
                <w:szCs w:val="20"/>
                <w:lang w:eastAsia="en-US"/>
              </w:rPr>
              <w:t>Дата та час дозапису: Thu Apr 17 9:52:43 2025</w:t>
            </w:r>
          </w:p>
        </w:tc>
        <w:tc>
          <w:tcPr>
            <w:tcW w:w="1787" w:type="dxa"/>
            <w:tcBorders>
              <w:top w:val="single" w:sz="18" w:space="0" w:color="999999"/>
              <w:left w:val="single" w:sz="18" w:space="0" w:color="999999"/>
              <w:bottom w:val="single" w:sz="18" w:space="0" w:color="999999"/>
              <w:right w:val="single" w:sz="18" w:space="0" w:color="999999"/>
            </w:tcBorders>
            <w:vAlign w:val="center"/>
            <w:hideMark/>
          </w:tcPr>
          <w:p w14:paraId="4525023D" w14:textId="77777777" w:rsidR="005171C3" w:rsidRPr="00453977" w:rsidRDefault="005171C3" w:rsidP="006560FA">
            <w:pPr>
              <w:spacing w:line="254" w:lineRule="auto"/>
              <w:jc w:val="center"/>
              <w:rPr>
                <w:rFonts w:ascii="Arial Narrow" w:hAnsi="Arial Narrow" w:cs="Arial"/>
                <w:sz w:val="20"/>
                <w:szCs w:val="20"/>
                <w:lang w:eastAsia="en-US"/>
              </w:rPr>
            </w:pPr>
            <w:r w:rsidRPr="00453977">
              <w:rPr>
                <w:rFonts w:ascii="Arial Narrow" w:hAnsi="Arial Narrow" w:cs="Arial"/>
                <w:sz w:val="20"/>
                <w:szCs w:val="20"/>
                <w:lang w:val="en-US" w:eastAsia="en-US"/>
              </w:rPr>
              <w:lastRenderedPageBreak/>
              <w:t>passed</w:t>
            </w:r>
          </w:p>
        </w:tc>
      </w:tr>
      <w:bookmarkEnd w:id="0"/>
    </w:tbl>
    <w:p w14:paraId="659A5310" w14:textId="77777777" w:rsidR="005171C3" w:rsidRDefault="005171C3" w:rsidP="005171C3"/>
    <w:p w14:paraId="7A1C28BC" w14:textId="77777777" w:rsidR="009A1E5F" w:rsidRDefault="009A1E5F"/>
    <w:sectPr w:rsidR="009A1E5F">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006DE7"/>
    <w:multiLevelType w:val="hybridMultilevel"/>
    <w:tmpl w:val="7452092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5A3972EA"/>
    <w:multiLevelType w:val="hybridMultilevel"/>
    <w:tmpl w:val="91E803B8"/>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15:restartNumberingAfterBreak="0">
    <w:nsid w:val="7D5E4C22"/>
    <w:multiLevelType w:val="hybridMultilevel"/>
    <w:tmpl w:val="7452092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C3"/>
    <w:rsid w:val="005171C3"/>
    <w:rsid w:val="009A1E5F"/>
    <w:rsid w:val="00C325E8"/>
    <w:rsid w:val="00C350E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E4D60"/>
  <w15:chartTrackingRefBased/>
  <w15:docId w15:val="{925E2733-8974-4D4A-88BD-18176C726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171C3"/>
    <w:pPr>
      <w:spacing w:after="0" w:line="240" w:lineRule="auto"/>
    </w:pPr>
    <w:rPr>
      <w:rFonts w:ascii="Times New Roman" w:eastAsia="Times New Roman" w:hAnsi="Times New Roman" w:cs="Times New Roman"/>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7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4657</Words>
  <Characters>2656</Characters>
  <Application>Microsoft Office Word</Application>
  <DocSecurity>0</DocSecurity>
  <Lines>22</Lines>
  <Paragraphs>14</Paragraphs>
  <ScaleCrop>false</ScaleCrop>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Мор Леді</dc:creator>
  <cp:keywords/>
  <dc:description/>
  <cp:lastModifiedBy>Мор Леді</cp:lastModifiedBy>
  <cp:revision>3</cp:revision>
  <dcterms:created xsi:type="dcterms:W3CDTF">2025-04-16T20:41:00Z</dcterms:created>
  <dcterms:modified xsi:type="dcterms:W3CDTF">2025-04-17T06:17:00Z</dcterms:modified>
</cp:coreProperties>
</file>