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TS_SET_RIPENESS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setRipeness(50.0)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getRipeness()</w:t>
            </w:r>
            <w:r>
              <w:t xml:space="preserve"> повертає 50.0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setRipeness(0.0)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getRipeness()</w:t>
            </w:r>
            <w:r>
              <w:t xml:space="preserve"> повертає 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setRipeness(100.0)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getRipeness()</w:t>
            </w:r>
            <w:r>
              <w:t xml:space="preserve"> повертає 100.0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setRipeness(75.25)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getRipeness()</w:t>
            </w:r>
            <w:r>
              <w:t xml:space="preserve"> повертає 75.25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5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setRipeness(-1.0)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Style w:val="1117"/>
              </w:rPr>
            </w:pPr>
            <w:r>
              <w:rPr>
                <w:rStyle w:val="1117"/>
              </w:rPr>
            </w: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"Стиглість має бути в діапазоні від 0 до 100"</w:t>
            </w:r>
            <w:r>
              <w:rPr>
                <w:rStyle w:val="1117"/>
              </w:rPr>
            </w:r>
            <w:r>
              <w:rPr>
                <w:rStyle w:val="1117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highlight w:val="none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6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  <w:highlight w:val="none"/>
                <w:lang w:val="en-US"/>
              </w:rPr>
            </w:r>
            <w:r>
              <w:rPr>
                <w:rFonts w:ascii="Arial Narrow" w:hAnsi="Arial Narrow" w:cs="Arial"/>
                <w:highlight w:val="none"/>
                <w:lang w:val="en-US"/>
              </w:rPr>
            </w:r>
            <w:r>
              <w:rPr>
                <w:rFonts w:ascii="Arial Narrow" w:hAnsi="Arial Narrow" w:cs="Arial"/>
                <w:highlight w:val="none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setRipeness(101.0)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Style w:val="1117"/>
              </w:rPr>
            </w:pPr>
            <w:r>
              <w:rPr>
                <w:rStyle w:val="1117"/>
              </w:rPr>
            </w: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"Стиглість має бути в діапазоні від 0 до 100"</w:t>
            </w:r>
            <w:r>
              <w:rPr>
                <w:rStyle w:val="1117"/>
              </w:rPr>
            </w:r>
            <w:r>
              <w:rPr>
                <w:rStyle w:val="1117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7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setRipeness(-50.5)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Style w:val="1117"/>
              </w:rPr>
            </w:pPr>
            <w:r>
              <w:rPr>
                <w:rStyle w:val="1117"/>
              </w:rPr>
            </w: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"Стиглість має бути в діапазоні від 0 до 100"</w:t>
            </w:r>
            <w:r>
              <w:rPr>
                <w:rStyle w:val="1117"/>
              </w:rPr>
            </w:r>
            <w:r>
              <w:rPr>
                <w:rStyle w:val="1117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8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setRipeness(200.0)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Style w:val="1117"/>
              </w:rPr>
            </w:pPr>
            <w:r>
              <w:rPr>
                <w:rStyle w:val="1117"/>
              </w:rPr>
            </w: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"Стиглість має бути в діапазоні від 0 до 100"</w:t>
            </w:r>
            <w:r>
              <w:rPr>
                <w:rStyle w:val="1117"/>
              </w:rPr>
            </w:r>
            <w:r>
              <w:rPr>
                <w:rStyle w:val="1117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12:50:29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12:50:29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371</cp:revision>
  <dcterms:created xsi:type="dcterms:W3CDTF">2016-01-08T20:01:00Z</dcterms:created>
  <dcterms:modified xsi:type="dcterms:W3CDTF">2025-05-22T12:55:02Z</dcterms:modified>
  <cp:category>Кафедра кібербезпеки та програмного забезпечення</cp:category>
  <cp:version>1048576</cp:version>
</cp:coreProperties>
</file>