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D3F" w:rsidRPr="000B756C" w:rsidRDefault="000B756C">
      <w:pPr>
        <w:rPr>
          <w:b/>
        </w:rPr>
      </w:pPr>
      <w:r>
        <w:rPr>
          <w:b/>
        </w:rPr>
        <w:t>Diametrical Magnetization:</w:t>
      </w:r>
    </w:p>
    <w:p w:rsidR="00213D3F" w:rsidRDefault="00213D3F">
      <w:r>
        <w:rPr>
          <w:noProof/>
          <w:lang w:eastAsia="tr-TR"/>
        </w:rPr>
        <w:drawing>
          <wp:inline distT="0" distB="0" distL="0" distR="0" wp14:anchorId="07E31EF4" wp14:editId="6B95CCCD">
            <wp:extent cx="5760720" cy="3656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56C" w:rsidRDefault="000B756C" w:rsidP="000B756C">
      <w:pPr>
        <w:jc w:val="center"/>
      </w:pPr>
      <w:r>
        <w:t>Figure 1: Magnetic flux vectors for diametrical magnetization</w:t>
      </w:r>
    </w:p>
    <w:p w:rsidR="000B756C" w:rsidRDefault="000B756C"/>
    <w:p w:rsidR="000B756C" w:rsidRDefault="000B756C"/>
    <w:p w:rsidR="00213D3F" w:rsidRDefault="00213D3F">
      <w:r>
        <w:rPr>
          <w:noProof/>
          <w:lang w:eastAsia="tr-TR"/>
        </w:rPr>
        <w:drawing>
          <wp:inline distT="0" distB="0" distL="0" distR="0" wp14:anchorId="4DF496E8" wp14:editId="0E575E38">
            <wp:extent cx="5760720" cy="3656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6C" w:rsidRDefault="000B756C" w:rsidP="000B756C">
      <w:pPr>
        <w:jc w:val="center"/>
      </w:pPr>
      <w:r>
        <w:t>Figure 2: Magnetic flux density for diametrical magnetization</w:t>
      </w:r>
    </w:p>
    <w:p w:rsidR="000B756C" w:rsidRDefault="000B756C"/>
    <w:p w:rsidR="000B756C" w:rsidRDefault="000B756C">
      <w:r>
        <w:rPr>
          <w:noProof/>
          <w:lang w:eastAsia="tr-TR"/>
        </w:rPr>
        <w:drawing>
          <wp:inline distT="0" distB="0" distL="0" distR="0" wp14:anchorId="01C6BF6E" wp14:editId="40AA8613">
            <wp:extent cx="576072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6C" w:rsidRDefault="000B756C" w:rsidP="000B756C">
      <w:pPr>
        <w:jc w:val="center"/>
      </w:pPr>
      <w:r>
        <w:t>Figure 3: Radial flux density in the center of the air gap for diametrical magnetization</w:t>
      </w:r>
    </w:p>
    <w:p w:rsidR="000B756C" w:rsidRDefault="000B756C"/>
    <w:p w:rsidR="000B756C" w:rsidRDefault="000B756C"/>
    <w:p w:rsidR="00213D3F" w:rsidRDefault="00213D3F">
      <w:r>
        <w:rPr>
          <w:noProof/>
          <w:lang w:eastAsia="tr-TR"/>
        </w:rPr>
        <w:drawing>
          <wp:inline distT="0" distB="0" distL="0" distR="0" wp14:anchorId="3D9605A5" wp14:editId="1A601B29">
            <wp:extent cx="5760720" cy="3656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6C" w:rsidRDefault="000B756C" w:rsidP="000B756C">
      <w:pPr>
        <w:jc w:val="center"/>
      </w:pPr>
      <w:r>
        <w:t>Figure 4: Flux lines for diametrical magnetiation</w:t>
      </w:r>
    </w:p>
    <w:p w:rsidR="00213D3F" w:rsidRDefault="00213D3F">
      <w:r>
        <w:rPr>
          <w:noProof/>
          <w:lang w:eastAsia="tr-TR"/>
        </w:rPr>
        <w:lastRenderedPageBreak/>
        <w:drawing>
          <wp:inline distT="0" distB="0" distL="0" distR="0" wp14:anchorId="4C049DFC" wp14:editId="2E410907">
            <wp:extent cx="576072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6C" w:rsidRDefault="000B756C" w:rsidP="000B756C">
      <w:pPr>
        <w:jc w:val="center"/>
      </w:pPr>
      <w:r>
        <w:t>Figure 5: Flux lines</w:t>
      </w:r>
      <w:r>
        <w:t xml:space="preserve"> in the center of the air gap for diametrical magnetization</w:t>
      </w:r>
    </w:p>
    <w:p w:rsidR="00213D3F" w:rsidRDefault="00213D3F"/>
    <w:sectPr w:rsidR="0021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64"/>
    <w:rsid w:val="00014855"/>
    <w:rsid w:val="00040A71"/>
    <w:rsid w:val="000B756C"/>
    <w:rsid w:val="00213D3F"/>
    <w:rsid w:val="00F63E3F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DEC07-DF84-40A7-AECC-F3D8FD96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2017-11-30T19:20:00Z</dcterms:created>
  <dcterms:modified xsi:type="dcterms:W3CDTF">2017-11-30T23:42:00Z</dcterms:modified>
</cp:coreProperties>
</file>