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B0BCC" w14:textId="77777777" w:rsidR="00153118" w:rsidRDefault="00153118" w:rsidP="00153118">
      <w:pPr>
        <w:spacing w:after="80"/>
        <w:jc w:val="center"/>
      </w:pPr>
      <w:r>
        <w:rPr>
          <w:b/>
          <w:bCs/>
          <w:color w:val="00695C"/>
          <w:sz w:val="40"/>
          <w:szCs w:val="40"/>
        </w:rPr>
        <w:t>GLOBAL SALES ANALYSIS</w:t>
      </w:r>
    </w:p>
    <w:p w14:paraId="47F04BC7" w14:textId="77777777" w:rsidR="00153118" w:rsidRDefault="00153118" w:rsidP="00153118">
      <w:pPr>
        <w:spacing w:after="80"/>
        <w:jc w:val="center"/>
      </w:pPr>
      <w:r>
        <w:rPr>
          <w:color w:val="004D40"/>
          <w:sz w:val="28"/>
          <w:szCs w:val="28"/>
        </w:rPr>
        <w:t>Bikes · Accessories · Clothing</w:t>
      </w:r>
    </w:p>
    <w:p w14:paraId="6897F3BF" w14:textId="77777777" w:rsidR="00153118" w:rsidRDefault="00153118" w:rsidP="00153118">
      <w:pPr>
        <w:spacing w:after="80"/>
        <w:jc w:val="center"/>
      </w:pPr>
      <w:r>
        <w:rPr>
          <w:color w:val="004D40"/>
          <w:sz w:val="24"/>
          <w:szCs w:val="24"/>
        </w:rPr>
        <w:t>2011–2016</w:t>
      </w:r>
    </w:p>
    <w:p w14:paraId="46EC751F" w14:textId="77777777" w:rsidR="00153118" w:rsidRDefault="00153118" w:rsidP="00153118">
      <w:pPr>
        <w:pStyle w:val="Heading1"/>
      </w:pPr>
      <w:r>
        <w:rPr>
          <w:rFonts w:ascii="Arial" w:eastAsia="Arial" w:hAnsi="Arial" w:cs="Arial"/>
          <w:b/>
          <w:bCs/>
          <w:color w:val="00695C"/>
          <w:sz w:val="28"/>
          <w:szCs w:val="28"/>
        </w:rPr>
        <w:t>1. Executive Summary</w:t>
      </w:r>
    </w:p>
    <w:p w14:paraId="7855F083" w14:textId="77777777" w:rsidR="00153118" w:rsidRDefault="00153118" w:rsidP="00153118">
      <w:pPr>
        <w:spacing w:before="80" w:after="80"/>
      </w:pPr>
      <w:r>
        <w:rPr>
          <w:color w:val="1A1A2E"/>
        </w:rPr>
        <w:t>This report presents a comprehensive analysis of global sales performance across six years from 2011 to 2016, covering three product categories - Bikes, Accessories, and Clothing across six countries. The analysis is based on 112,036 cleaned transaction records derived from a raw dataset of 113,036 records, with 1,000 duplicate entries removed during the data cleaning process.</w:t>
      </w:r>
    </w:p>
    <w:p w14:paraId="13F8D205" w14:textId="77777777" w:rsidR="00153118" w:rsidRDefault="00153118" w:rsidP="00153118"/>
    <w:p w14:paraId="4B9DCA2E" w14:textId="77777777" w:rsidR="00153118" w:rsidRDefault="00153118" w:rsidP="00153118">
      <w:pPr>
        <w:spacing w:before="80" w:after="80"/>
      </w:pPr>
      <w:r>
        <w:rPr>
          <w:color w:val="1A1A2E"/>
        </w:rPr>
        <w:t>Total revenue over the analysis period reached $94.7M with an average profit margin of 38%. The findings reveal strong revenue growth peaking in 2015, a heavy product concentration in Bikes, geographic dependency on the United States, and a clear adult customer demographic driving the majority of sales. Actionable recommendations are provided to improve profitability and reduce concentration risk.</w:t>
      </w:r>
    </w:p>
    <w:p w14:paraId="46532AD3" w14:textId="77777777" w:rsidR="00153118" w:rsidRDefault="00153118" w:rsidP="00153118">
      <w:pPr>
        <w:pStyle w:val="Heading1"/>
      </w:pPr>
      <w:r>
        <w:rPr>
          <w:rFonts w:ascii="Arial" w:eastAsia="Arial" w:hAnsi="Arial" w:cs="Arial"/>
          <w:b/>
          <w:bCs/>
          <w:color w:val="00695C"/>
          <w:sz w:val="28"/>
          <w:szCs w:val="28"/>
        </w:rPr>
        <w:t>2. Dataset Overview</w:t>
      </w:r>
    </w:p>
    <w:p w14:paraId="7F9EAD27" w14:textId="77777777" w:rsidR="00153118" w:rsidRDefault="00153118" w:rsidP="00153118">
      <w:pPr>
        <w:spacing w:before="80" w:after="80"/>
      </w:pPr>
      <w:r>
        <w:rPr>
          <w:color w:val="1A1A2E"/>
        </w:rPr>
        <w:t>The dataset covers global sales transactions recorded between 2011 and 2016. The raw dataset contained 113,036 records across 18 variables. Following a structured data cleaning process, 1,000 duplicate records were removed, resulting in a working dataset of 112,036 records across 22 variables.</w:t>
      </w:r>
    </w:p>
    <w:p w14:paraId="05659C78" w14:textId="77777777" w:rsidR="00153118" w:rsidRDefault="00153118" w:rsidP="00153118"/>
    <w:p w14:paraId="26305F44" w14:textId="77777777" w:rsidR="00153118" w:rsidRDefault="00153118" w:rsidP="00153118">
      <w:pPr>
        <w:spacing w:before="80" w:after="80"/>
      </w:pPr>
      <w:r>
        <w:rPr>
          <w:color w:val="1A1A2E"/>
        </w:rPr>
        <w:t>Key data cleaning steps performed:</w:t>
      </w:r>
    </w:p>
    <w:p w14:paraId="28C38BF8" w14:textId="77777777" w:rsidR="00153118" w:rsidRDefault="00153118" w:rsidP="00153118">
      <w:pPr>
        <w:pStyle w:val="ListParagraph"/>
        <w:numPr>
          <w:ilvl w:val="0"/>
          <w:numId w:val="1"/>
        </w:numPr>
        <w:spacing w:before="60" w:after="60"/>
        <w:contextualSpacing w:val="0"/>
      </w:pPr>
      <w:r>
        <w:rPr>
          <w:color w:val="1A1A2E"/>
        </w:rPr>
        <w:t>Identified and removed 1,000 duplicate records from the raw dataset</w:t>
      </w:r>
    </w:p>
    <w:p w14:paraId="70DD81E2" w14:textId="77777777" w:rsidR="00153118" w:rsidRDefault="00153118" w:rsidP="00153118">
      <w:pPr>
        <w:pStyle w:val="ListParagraph"/>
        <w:numPr>
          <w:ilvl w:val="0"/>
          <w:numId w:val="1"/>
        </w:numPr>
        <w:spacing w:before="60" w:after="60"/>
        <w:contextualSpacing w:val="0"/>
      </w:pPr>
      <w:r>
        <w:rPr>
          <w:color w:val="1A1A2E"/>
        </w:rPr>
        <w:t>Recalculated the Revenue column using the correct formula: Unit Price x Order Quantity</w:t>
      </w:r>
    </w:p>
    <w:p w14:paraId="7CCC9E4E" w14:textId="77777777" w:rsidR="00153118" w:rsidRDefault="00153118" w:rsidP="00153118">
      <w:pPr>
        <w:pStyle w:val="ListParagraph"/>
        <w:numPr>
          <w:ilvl w:val="0"/>
          <w:numId w:val="1"/>
        </w:numPr>
        <w:spacing w:before="60" w:after="60"/>
        <w:contextualSpacing w:val="0"/>
      </w:pPr>
      <w:r>
        <w:rPr>
          <w:color w:val="1A1A2E"/>
        </w:rPr>
        <w:t>Added derived columns: Profit Margin and Year-Month for trend analysis</w:t>
      </w:r>
    </w:p>
    <w:p w14:paraId="50E2030E" w14:textId="77777777" w:rsidR="00153118" w:rsidRDefault="00153118" w:rsidP="00153118">
      <w:pPr>
        <w:pStyle w:val="ListParagraph"/>
        <w:numPr>
          <w:ilvl w:val="0"/>
          <w:numId w:val="1"/>
        </w:numPr>
        <w:spacing w:before="60" w:after="60"/>
        <w:contextualSpacing w:val="0"/>
      </w:pPr>
      <w:r>
        <w:rPr>
          <w:color w:val="1A1A2E"/>
        </w:rPr>
        <w:t>Standardised column naming conventions for consistency</w:t>
      </w:r>
    </w:p>
    <w:p w14:paraId="099C1F82" w14:textId="77777777" w:rsidR="00153118" w:rsidRDefault="00153118" w:rsidP="00153118">
      <w:pPr>
        <w:pStyle w:val="ListParagraph"/>
        <w:numPr>
          <w:ilvl w:val="0"/>
          <w:numId w:val="1"/>
        </w:numPr>
        <w:spacing w:before="60" w:after="60"/>
        <w:contextualSpacing w:val="0"/>
      </w:pPr>
      <w:r>
        <w:rPr>
          <w:color w:val="1A1A2E"/>
        </w:rPr>
        <w:t>Documented all cleaning steps in a dedicated Data Cleaning Process sheet</w:t>
      </w:r>
    </w:p>
    <w:p w14:paraId="45717586" w14:textId="77777777" w:rsidR="00153118" w:rsidRDefault="00153118" w:rsidP="00153118"/>
    <w:p w14:paraId="2CB67178" w14:textId="77777777" w:rsidR="00153118" w:rsidRDefault="00153118" w:rsidP="00153118">
      <w:pPr>
        <w:spacing w:before="80" w:after="80"/>
      </w:pPr>
      <w:r>
        <w:rPr>
          <w:color w:val="1A1A2E"/>
        </w:rPr>
        <w:t>Key variables used in the analysis include Date, Year, Country, State, Product Category, Sub Category, Product, Order Quantity, Unit Price, Unit Cost, Revenue, Cost, Profit, Profit Margin, Age Group, and Gender.</w:t>
      </w:r>
    </w:p>
    <w:p w14:paraId="655BB087" w14:textId="77777777" w:rsidR="00153118" w:rsidRDefault="00153118" w:rsidP="00153118">
      <w:pPr>
        <w:pStyle w:val="Heading1"/>
      </w:pPr>
      <w:r>
        <w:rPr>
          <w:rFonts w:ascii="Arial" w:eastAsia="Arial" w:hAnsi="Arial" w:cs="Arial"/>
          <w:b/>
          <w:bCs/>
          <w:color w:val="00695C"/>
          <w:sz w:val="28"/>
          <w:szCs w:val="28"/>
        </w:rPr>
        <w:t>3. Key Performance Indicators</w:t>
      </w:r>
    </w:p>
    <w:p w14:paraId="09900DE1" w14:textId="77777777" w:rsidR="00153118" w:rsidRDefault="00153118" w:rsidP="00153118">
      <w:pPr>
        <w:spacing w:before="80" w:after="80"/>
      </w:pPr>
      <w:r>
        <w:rPr>
          <w:color w:val="1A1A2E"/>
        </w:rPr>
        <w:t>The following KPIs summarise overall business performance across the 2011 to 2016 period:</w:t>
      </w:r>
    </w:p>
    <w:p w14:paraId="76711440" w14:textId="77777777" w:rsidR="00153118" w:rsidRDefault="00153118" w:rsidP="00153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53118" w14:paraId="70888849" w14:textId="77777777" w:rsidTr="00892054">
        <w:tblPrEx>
          <w:tblCellMar>
            <w:top w:w="0" w:type="dxa"/>
            <w:bottom w:w="0" w:type="dxa"/>
          </w:tblCellMar>
        </w:tblPrEx>
        <w:tc>
          <w:tcPr>
            <w:tcW w:w="1872" w:type="dxa"/>
            <w:tcBorders>
              <w:top w:val="single" w:sz="1" w:space="0" w:color="DDDDDD"/>
              <w:left w:val="single" w:sz="1" w:space="0" w:color="DDDDDD"/>
              <w:bottom w:val="single" w:sz="1" w:space="0" w:color="DDDDDD"/>
              <w:right w:val="single" w:sz="1" w:space="0" w:color="DDDDDD"/>
            </w:tcBorders>
            <w:shd w:val="clear" w:color="auto" w:fill="00695C"/>
            <w:tcMar>
              <w:top w:w="100" w:type="dxa"/>
              <w:left w:w="140" w:type="dxa"/>
              <w:bottom w:w="100" w:type="dxa"/>
              <w:right w:w="140" w:type="dxa"/>
            </w:tcMar>
            <w:vAlign w:val="center"/>
          </w:tcPr>
          <w:p w14:paraId="6B22DF32" w14:textId="77777777" w:rsidR="00153118" w:rsidRDefault="00153118" w:rsidP="00892054">
            <w:pPr>
              <w:jc w:val="center"/>
            </w:pPr>
            <w:r>
              <w:rPr>
                <w:b/>
                <w:bCs/>
                <w:color w:val="FFFFFF"/>
                <w:sz w:val="20"/>
                <w:szCs w:val="20"/>
              </w:rPr>
              <w:t>Total Revenue</w:t>
            </w:r>
          </w:p>
        </w:tc>
        <w:tc>
          <w:tcPr>
            <w:tcW w:w="1872" w:type="dxa"/>
            <w:tcBorders>
              <w:top w:val="single" w:sz="1" w:space="0" w:color="DDDDDD"/>
              <w:left w:val="single" w:sz="1" w:space="0" w:color="DDDDDD"/>
              <w:bottom w:val="single" w:sz="1" w:space="0" w:color="DDDDDD"/>
              <w:right w:val="single" w:sz="1" w:space="0" w:color="DDDDDD"/>
            </w:tcBorders>
            <w:shd w:val="clear" w:color="auto" w:fill="00695C"/>
            <w:tcMar>
              <w:top w:w="100" w:type="dxa"/>
              <w:left w:w="140" w:type="dxa"/>
              <w:bottom w:w="100" w:type="dxa"/>
              <w:right w:w="140" w:type="dxa"/>
            </w:tcMar>
            <w:vAlign w:val="center"/>
          </w:tcPr>
          <w:p w14:paraId="33D97C6C" w14:textId="77777777" w:rsidR="00153118" w:rsidRDefault="00153118" w:rsidP="00892054">
            <w:pPr>
              <w:jc w:val="center"/>
            </w:pPr>
            <w:r>
              <w:rPr>
                <w:b/>
                <w:bCs/>
                <w:color w:val="FFFFFF"/>
                <w:sz w:val="20"/>
                <w:szCs w:val="20"/>
              </w:rPr>
              <w:t>Total Cost</w:t>
            </w:r>
          </w:p>
        </w:tc>
        <w:tc>
          <w:tcPr>
            <w:tcW w:w="1872" w:type="dxa"/>
            <w:tcBorders>
              <w:top w:val="single" w:sz="1" w:space="0" w:color="DDDDDD"/>
              <w:left w:val="single" w:sz="1" w:space="0" w:color="DDDDDD"/>
              <w:bottom w:val="single" w:sz="1" w:space="0" w:color="DDDDDD"/>
              <w:right w:val="single" w:sz="1" w:space="0" w:color="DDDDDD"/>
            </w:tcBorders>
            <w:shd w:val="clear" w:color="auto" w:fill="00695C"/>
            <w:tcMar>
              <w:top w:w="100" w:type="dxa"/>
              <w:left w:w="140" w:type="dxa"/>
              <w:bottom w:w="100" w:type="dxa"/>
              <w:right w:w="140" w:type="dxa"/>
            </w:tcMar>
            <w:vAlign w:val="center"/>
          </w:tcPr>
          <w:p w14:paraId="39870D6E" w14:textId="77777777" w:rsidR="00153118" w:rsidRDefault="00153118" w:rsidP="00892054">
            <w:pPr>
              <w:jc w:val="center"/>
            </w:pPr>
            <w:r>
              <w:rPr>
                <w:b/>
                <w:bCs/>
                <w:color w:val="FFFFFF"/>
                <w:sz w:val="20"/>
                <w:szCs w:val="20"/>
              </w:rPr>
              <w:t>Total Profit</w:t>
            </w:r>
          </w:p>
        </w:tc>
        <w:tc>
          <w:tcPr>
            <w:tcW w:w="1872" w:type="dxa"/>
            <w:tcBorders>
              <w:top w:val="single" w:sz="1" w:space="0" w:color="DDDDDD"/>
              <w:left w:val="single" w:sz="1" w:space="0" w:color="DDDDDD"/>
              <w:bottom w:val="single" w:sz="1" w:space="0" w:color="DDDDDD"/>
              <w:right w:val="single" w:sz="1" w:space="0" w:color="DDDDDD"/>
            </w:tcBorders>
            <w:shd w:val="clear" w:color="auto" w:fill="00695C"/>
            <w:tcMar>
              <w:top w:w="100" w:type="dxa"/>
              <w:left w:w="140" w:type="dxa"/>
              <w:bottom w:w="100" w:type="dxa"/>
              <w:right w:w="140" w:type="dxa"/>
            </w:tcMar>
            <w:vAlign w:val="center"/>
          </w:tcPr>
          <w:p w14:paraId="0D1B18C5" w14:textId="77777777" w:rsidR="00153118" w:rsidRDefault="00153118" w:rsidP="00892054">
            <w:pPr>
              <w:jc w:val="center"/>
            </w:pPr>
            <w:r>
              <w:rPr>
                <w:b/>
                <w:bCs/>
                <w:color w:val="FFFFFF"/>
                <w:sz w:val="20"/>
                <w:szCs w:val="20"/>
              </w:rPr>
              <w:t>Avg Profit Margin</w:t>
            </w:r>
          </w:p>
        </w:tc>
        <w:tc>
          <w:tcPr>
            <w:tcW w:w="1872" w:type="dxa"/>
            <w:tcBorders>
              <w:top w:val="single" w:sz="1" w:space="0" w:color="DDDDDD"/>
              <w:left w:val="single" w:sz="1" w:space="0" w:color="DDDDDD"/>
              <w:bottom w:val="single" w:sz="1" w:space="0" w:color="DDDDDD"/>
              <w:right w:val="single" w:sz="1" w:space="0" w:color="DDDDDD"/>
            </w:tcBorders>
            <w:shd w:val="clear" w:color="auto" w:fill="00695C"/>
            <w:tcMar>
              <w:top w:w="100" w:type="dxa"/>
              <w:left w:w="140" w:type="dxa"/>
              <w:bottom w:w="100" w:type="dxa"/>
              <w:right w:w="140" w:type="dxa"/>
            </w:tcMar>
            <w:vAlign w:val="center"/>
          </w:tcPr>
          <w:p w14:paraId="6391EEF1" w14:textId="77777777" w:rsidR="00153118" w:rsidRDefault="00153118" w:rsidP="00892054">
            <w:pPr>
              <w:jc w:val="center"/>
            </w:pPr>
            <w:r>
              <w:rPr>
                <w:b/>
                <w:bCs/>
                <w:color w:val="FFFFFF"/>
                <w:sz w:val="20"/>
                <w:szCs w:val="20"/>
              </w:rPr>
              <w:t>Total Orders</w:t>
            </w:r>
          </w:p>
        </w:tc>
      </w:tr>
      <w:tr w:rsidR="00153118" w14:paraId="27B545D5" w14:textId="77777777" w:rsidTr="00892054">
        <w:tblPrEx>
          <w:tblCellMar>
            <w:top w:w="0" w:type="dxa"/>
            <w:bottom w:w="0" w:type="dxa"/>
          </w:tblCellMar>
        </w:tblPrEx>
        <w:tc>
          <w:tcPr>
            <w:tcW w:w="1872" w:type="dxa"/>
            <w:tcBorders>
              <w:top w:val="single" w:sz="1" w:space="0" w:color="DDDDDD"/>
              <w:left w:val="single" w:sz="1" w:space="0" w:color="DDDDDD"/>
              <w:bottom w:val="single" w:sz="1" w:space="0" w:color="DDDDDD"/>
              <w:right w:val="single" w:sz="1" w:space="0" w:color="DDDDDD"/>
            </w:tcBorders>
            <w:shd w:val="clear" w:color="auto" w:fill="E0F2F1"/>
            <w:tcMar>
              <w:top w:w="100" w:type="dxa"/>
              <w:left w:w="140" w:type="dxa"/>
              <w:bottom w:w="100" w:type="dxa"/>
              <w:right w:w="140" w:type="dxa"/>
            </w:tcMar>
            <w:vAlign w:val="center"/>
          </w:tcPr>
          <w:p w14:paraId="40E15892" w14:textId="77777777" w:rsidR="00153118" w:rsidRDefault="00153118" w:rsidP="00892054">
            <w:pPr>
              <w:jc w:val="center"/>
            </w:pPr>
            <w:r>
              <w:rPr>
                <w:b/>
                <w:bCs/>
                <w:color w:val="00695C"/>
                <w:sz w:val="24"/>
                <w:szCs w:val="24"/>
              </w:rPr>
              <w:t>$94.7M</w:t>
            </w:r>
          </w:p>
        </w:tc>
        <w:tc>
          <w:tcPr>
            <w:tcW w:w="1872" w:type="dxa"/>
            <w:tcBorders>
              <w:top w:val="single" w:sz="1" w:space="0" w:color="DDDDDD"/>
              <w:left w:val="single" w:sz="1" w:space="0" w:color="DDDDDD"/>
              <w:bottom w:val="single" w:sz="1" w:space="0" w:color="DDDDDD"/>
              <w:right w:val="single" w:sz="1" w:space="0" w:color="DDDDDD"/>
            </w:tcBorders>
            <w:shd w:val="clear" w:color="auto" w:fill="E0F2F1"/>
            <w:tcMar>
              <w:top w:w="100" w:type="dxa"/>
              <w:left w:w="140" w:type="dxa"/>
              <w:bottom w:w="100" w:type="dxa"/>
              <w:right w:w="140" w:type="dxa"/>
            </w:tcMar>
            <w:vAlign w:val="center"/>
          </w:tcPr>
          <w:p w14:paraId="200FC337" w14:textId="77777777" w:rsidR="00153118" w:rsidRDefault="00153118" w:rsidP="00892054">
            <w:pPr>
              <w:jc w:val="center"/>
            </w:pPr>
            <w:r>
              <w:rPr>
                <w:b/>
                <w:bCs/>
                <w:color w:val="E65100"/>
                <w:sz w:val="24"/>
                <w:szCs w:val="24"/>
              </w:rPr>
              <w:t>$52.8M</w:t>
            </w:r>
          </w:p>
        </w:tc>
        <w:tc>
          <w:tcPr>
            <w:tcW w:w="1872" w:type="dxa"/>
            <w:tcBorders>
              <w:top w:val="single" w:sz="1" w:space="0" w:color="DDDDDD"/>
              <w:left w:val="single" w:sz="1" w:space="0" w:color="DDDDDD"/>
              <w:bottom w:val="single" w:sz="1" w:space="0" w:color="DDDDDD"/>
              <w:right w:val="single" w:sz="1" w:space="0" w:color="DDDDDD"/>
            </w:tcBorders>
            <w:shd w:val="clear" w:color="auto" w:fill="E0F2F1"/>
            <w:tcMar>
              <w:top w:w="100" w:type="dxa"/>
              <w:left w:w="140" w:type="dxa"/>
              <w:bottom w:w="100" w:type="dxa"/>
              <w:right w:w="140" w:type="dxa"/>
            </w:tcMar>
            <w:vAlign w:val="center"/>
          </w:tcPr>
          <w:p w14:paraId="17C0D738" w14:textId="77777777" w:rsidR="00153118" w:rsidRDefault="00153118" w:rsidP="00892054">
            <w:pPr>
              <w:jc w:val="center"/>
            </w:pPr>
            <w:r>
              <w:rPr>
                <w:b/>
                <w:bCs/>
                <w:color w:val="1B5E20"/>
                <w:sz w:val="24"/>
                <w:szCs w:val="24"/>
              </w:rPr>
              <w:t>$32M</w:t>
            </w:r>
          </w:p>
        </w:tc>
        <w:tc>
          <w:tcPr>
            <w:tcW w:w="1872" w:type="dxa"/>
            <w:tcBorders>
              <w:top w:val="single" w:sz="1" w:space="0" w:color="DDDDDD"/>
              <w:left w:val="single" w:sz="1" w:space="0" w:color="DDDDDD"/>
              <w:bottom w:val="single" w:sz="1" w:space="0" w:color="DDDDDD"/>
              <w:right w:val="single" w:sz="1" w:space="0" w:color="DDDDDD"/>
            </w:tcBorders>
            <w:shd w:val="clear" w:color="auto" w:fill="E0F2F1"/>
            <w:tcMar>
              <w:top w:w="100" w:type="dxa"/>
              <w:left w:w="140" w:type="dxa"/>
              <w:bottom w:w="100" w:type="dxa"/>
              <w:right w:w="140" w:type="dxa"/>
            </w:tcMar>
            <w:vAlign w:val="center"/>
          </w:tcPr>
          <w:p w14:paraId="5C0D48B2" w14:textId="77777777" w:rsidR="00153118" w:rsidRDefault="00153118" w:rsidP="00892054">
            <w:pPr>
              <w:jc w:val="center"/>
            </w:pPr>
            <w:r>
              <w:rPr>
                <w:b/>
                <w:bCs/>
                <w:color w:val="0D47A1"/>
                <w:sz w:val="24"/>
                <w:szCs w:val="24"/>
              </w:rPr>
              <w:t>38%</w:t>
            </w:r>
          </w:p>
        </w:tc>
        <w:tc>
          <w:tcPr>
            <w:tcW w:w="1872" w:type="dxa"/>
            <w:tcBorders>
              <w:top w:val="single" w:sz="1" w:space="0" w:color="DDDDDD"/>
              <w:left w:val="single" w:sz="1" w:space="0" w:color="DDDDDD"/>
              <w:bottom w:val="single" w:sz="1" w:space="0" w:color="DDDDDD"/>
              <w:right w:val="single" w:sz="1" w:space="0" w:color="DDDDDD"/>
            </w:tcBorders>
            <w:shd w:val="clear" w:color="auto" w:fill="E0F2F1"/>
            <w:tcMar>
              <w:top w:w="100" w:type="dxa"/>
              <w:left w:w="140" w:type="dxa"/>
              <w:bottom w:w="100" w:type="dxa"/>
              <w:right w:w="140" w:type="dxa"/>
            </w:tcMar>
            <w:vAlign w:val="center"/>
          </w:tcPr>
          <w:p w14:paraId="04AACE34" w14:textId="77777777" w:rsidR="00153118" w:rsidRDefault="00153118" w:rsidP="00892054">
            <w:pPr>
              <w:jc w:val="center"/>
            </w:pPr>
            <w:r>
              <w:rPr>
                <w:b/>
                <w:bCs/>
                <w:color w:val="1A1A2E"/>
                <w:sz w:val="24"/>
                <w:szCs w:val="24"/>
              </w:rPr>
              <w:t>112,036</w:t>
            </w:r>
          </w:p>
        </w:tc>
      </w:tr>
    </w:tbl>
    <w:p w14:paraId="34C4DA14" w14:textId="77777777" w:rsidR="00153118" w:rsidRDefault="00153118"/>
    <w:p w14:paraId="2DF8F32B" w14:textId="77777777" w:rsidR="00153118" w:rsidRDefault="00153118" w:rsidP="00153118">
      <w:pPr>
        <w:spacing w:before="80" w:after="80"/>
      </w:pPr>
      <w:r>
        <w:rPr>
          <w:color w:val="1A1A2E"/>
        </w:rPr>
        <w:lastRenderedPageBreak/>
        <w:t>The average profit margin of 38% indicates a healthy but improvable business. The gap between revenue and profit highlights significant cost pressure, particularly within the Bikes category which accounts for the majority of both revenue and cost.</w:t>
      </w:r>
    </w:p>
    <w:p w14:paraId="429594C8" w14:textId="77777777" w:rsidR="00153118" w:rsidRDefault="00153118" w:rsidP="00153118"/>
    <w:p w14:paraId="7F79A687" w14:textId="77777777" w:rsidR="00153118" w:rsidRDefault="00153118" w:rsidP="00153118">
      <w:pPr>
        <w:pStyle w:val="Heading1"/>
      </w:pPr>
      <w:r>
        <w:rPr>
          <w:rFonts w:ascii="Arial" w:eastAsia="Arial" w:hAnsi="Arial" w:cs="Arial"/>
          <w:b/>
          <w:bCs/>
          <w:color w:val="00695C"/>
          <w:sz w:val="28"/>
          <w:szCs w:val="28"/>
        </w:rPr>
        <w:t>4. Revenue Trend Analysis</w:t>
      </w:r>
    </w:p>
    <w:p w14:paraId="78F67C21" w14:textId="77777777" w:rsidR="00153118" w:rsidRDefault="00153118" w:rsidP="00153118">
      <w:pPr>
        <w:pStyle w:val="Heading2"/>
      </w:pPr>
      <w:r>
        <w:rPr>
          <w:rFonts w:ascii="Arial" w:eastAsia="Arial" w:hAnsi="Arial" w:cs="Arial"/>
          <w:b/>
          <w:bCs/>
          <w:color w:val="004D40"/>
          <w:sz w:val="24"/>
          <w:szCs w:val="24"/>
        </w:rPr>
        <w:t>4.1 Year-over-Year Performance</w:t>
      </w:r>
    </w:p>
    <w:p w14:paraId="2304FE31" w14:textId="77777777" w:rsidR="00153118" w:rsidRDefault="00153118" w:rsidP="00153118">
      <w:pPr>
        <w:spacing w:before="80" w:after="80"/>
      </w:pPr>
      <w:r>
        <w:rPr>
          <w:color w:val="1A1A2E"/>
        </w:rPr>
        <w:t>Revenue grew consistently from 2011 to 2015 before experiencing a decline in 2016. The peak year of 2015 generated $22.3M in revenue — a 121% increase from the 2011 baseline of $10.1M.</w:t>
      </w:r>
    </w:p>
    <w:p w14:paraId="11986F8D" w14:textId="77777777" w:rsidR="00153118" w:rsidRDefault="00153118" w:rsidP="00153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3860"/>
      </w:tblGrid>
      <w:tr w:rsidR="00153118" w14:paraId="09B2EDF1" w14:textId="77777777" w:rsidTr="00892054">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00695C"/>
            <w:tcMar>
              <w:top w:w="80" w:type="dxa"/>
              <w:left w:w="120" w:type="dxa"/>
              <w:bottom w:w="80" w:type="dxa"/>
              <w:right w:w="120" w:type="dxa"/>
            </w:tcMar>
          </w:tcPr>
          <w:p w14:paraId="1FFC2E38" w14:textId="77777777" w:rsidR="00153118" w:rsidRDefault="00153118" w:rsidP="00892054">
            <w:r>
              <w:rPr>
                <w:b/>
                <w:bCs/>
                <w:color w:val="FFFFFF"/>
                <w:sz w:val="20"/>
                <w:szCs w:val="20"/>
              </w:rPr>
              <w:t>Year</w:t>
            </w:r>
          </w:p>
        </w:tc>
        <w:tc>
          <w:tcPr>
            <w:tcW w:w="2000" w:type="dxa"/>
            <w:tcBorders>
              <w:top w:val="single" w:sz="1" w:space="0" w:color="DDDDDD"/>
              <w:left w:val="single" w:sz="1" w:space="0" w:color="DDDDDD"/>
              <w:bottom w:val="single" w:sz="1" w:space="0" w:color="DDDDDD"/>
              <w:right w:val="single" w:sz="1" w:space="0" w:color="DDDDDD"/>
            </w:tcBorders>
            <w:shd w:val="clear" w:color="auto" w:fill="00695C"/>
            <w:tcMar>
              <w:top w:w="80" w:type="dxa"/>
              <w:left w:w="120" w:type="dxa"/>
              <w:bottom w:w="80" w:type="dxa"/>
              <w:right w:w="120" w:type="dxa"/>
            </w:tcMar>
          </w:tcPr>
          <w:p w14:paraId="2885E473" w14:textId="77777777" w:rsidR="00153118" w:rsidRDefault="00153118" w:rsidP="00892054">
            <w:r>
              <w:rPr>
                <w:b/>
                <w:bCs/>
                <w:color w:val="FFFFFF"/>
                <w:sz w:val="20"/>
                <w:szCs w:val="20"/>
              </w:rPr>
              <w:t>Revenue</w:t>
            </w:r>
          </w:p>
        </w:tc>
        <w:tc>
          <w:tcPr>
            <w:tcW w:w="2000" w:type="dxa"/>
            <w:tcBorders>
              <w:top w:val="single" w:sz="1" w:space="0" w:color="DDDDDD"/>
              <w:left w:val="single" w:sz="1" w:space="0" w:color="DDDDDD"/>
              <w:bottom w:val="single" w:sz="1" w:space="0" w:color="DDDDDD"/>
              <w:right w:val="single" w:sz="1" w:space="0" w:color="DDDDDD"/>
            </w:tcBorders>
            <w:shd w:val="clear" w:color="auto" w:fill="00695C"/>
            <w:tcMar>
              <w:top w:w="80" w:type="dxa"/>
              <w:left w:w="120" w:type="dxa"/>
              <w:bottom w:w="80" w:type="dxa"/>
              <w:right w:w="120" w:type="dxa"/>
            </w:tcMar>
          </w:tcPr>
          <w:p w14:paraId="3399DBE8" w14:textId="77777777" w:rsidR="00153118" w:rsidRDefault="00153118" w:rsidP="00892054">
            <w:r>
              <w:rPr>
                <w:b/>
                <w:bCs/>
                <w:color w:val="FFFFFF"/>
                <w:sz w:val="20"/>
                <w:szCs w:val="20"/>
              </w:rPr>
              <w:t>YoY Growth</w:t>
            </w:r>
          </w:p>
        </w:tc>
        <w:tc>
          <w:tcPr>
            <w:tcW w:w="3860" w:type="dxa"/>
            <w:tcBorders>
              <w:top w:val="single" w:sz="1" w:space="0" w:color="DDDDDD"/>
              <w:left w:val="single" w:sz="1" w:space="0" w:color="DDDDDD"/>
              <w:bottom w:val="single" w:sz="1" w:space="0" w:color="DDDDDD"/>
              <w:right w:val="single" w:sz="1" w:space="0" w:color="DDDDDD"/>
            </w:tcBorders>
            <w:shd w:val="clear" w:color="auto" w:fill="00695C"/>
            <w:tcMar>
              <w:top w:w="80" w:type="dxa"/>
              <w:left w:w="120" w:type="dxa"/>
              <w:bottom w:w="80" w:type="dxa"/>
              <w:right w:w="120" w:type="dxa"/>
            </w:tcMar>
          </w:tcPr>
          <w:p w14:paraId="30961BBD" w14:textId="77777777" w:rsidR="00153118" w:rsidRDefault="00153118" w:rsidP="00892054">
            <w:r>
              <w:rPr>
                <w:b/>
                <w:bCs/>
                <w:color w:val="FFFFFF"/>
                <w:sz w:val="20"/>
                <w:szCs w:val="20"/>
              </w:rPr>
              <w:t>Observation</w:t>
            </w:r>
          </w:p>
        </w:tc>
      </w:tr>
      <w:tr w:rsidR="00153118" w14:paraId="09737C71" w14:textId="77777777" w:rsidTr="00892054">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5EE695" w14:textId="77777777" w:rsidR="00153118" w:rsidRDefault="00153118" w:rsidP="00892054">
            <w:r>
              <w:rPr>
                <w:color w:val="1A1A2E"/>
                <w:sz w:val="20"/>
                <w:szCs w:val="20"/>
              </w:rPr>
              <w:t>2011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C0A62A" w14:textId="77777777" w:rsidR="00153118" w:rsidRDefault="00153118" w:rsidP="00892054">
            <w:r>
              <w:rPr>
                <w:color w:val="1A1A2E"/>
                <w:sz w:val="20"/>
                <w:szCs w:val="20"/>
              </w:rPr>
              <w:t>$10.1M</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B37066" w14:textId="77777777" w:rsidR="00153118" w:rsidRDefault="00153118" w:rsidP="00892054">
            <w:r>
              <w:rPr>
                <w:color w:val="1A1A2E"/>
                <w:sz w:val="20"/>
                <w:szCs w:val="20"/>
              </w:rPr>
              <w:t>—</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EBDC6A" w14:textId="77777777" w:rsidR="00153118" w:rsidRDefault="00153118" w:rsidP="00892054">
            <w:r>
              <w:rPr>
                <w:color w:val="1A1A2E"/>
                <w:sz w:val="20"/>
                <w:szCs w:val="20"/>
              </w:rPr>
              <w:t>Baseline year</w:t>
            </w:r>
          </w:p>
        </w:tc>
      </w:tr>
      <w:tr w:rsidR="00153118" w14:paraId="58790439" w14:textId="77777777" w:rsidTr="00892054">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2E79BBCA" w14:textId="77777777" w:rsidR="00153118" w:rsidRDefault="00153118" w:rsidP="00892054">
            <w:r>
              <w:rPr>
                <w:color w:val="1A1A2E"/>
                <w:sz w:val="20"/>
                <w:szCs w:val="20"/>
              </w:rPr>
              <w:t>2012</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0F260BD4" w14:textId="77777777" w:rsidR="00153118" w:rsidRDefault="00153118" w:rsidP="00892054">
            <w:r>
              <w:rPr>
                <w:color w:val="1A1A2E"/>
                <w:sz w:val="20"/>
                <w:szCs w:val="20"/>
              </w:rPr>
              <w:t>$10.2M</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41A07684" w14:textId="77777777" w:rsidR="00153118" w:rsidRDefault="00153118" w:rsidP="00892054">
            <w:r>
              <w:rPr>
                <w:color w:val="1A1A2E"/>
                <w:sz w:val="20"/>
                <w:szCs w:val="20"/>
              </w:rPr>
              <w:t>+1.5%</w:t>
            </w:r>
          </w:p>
        </w:tc>
        <w:tc>
          <w:tcPr>
            <w:tcW w:w="386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43EF9020" w14:textId="77777777" w:rsidR="00153118" w:rsidRDefault="00153118" w:rsidP="00892054">
            <w:r>
              <w:rPr>
                <w:color w:val="1A1A2E"/>
                <w:sz w:val="20"/>
                <w:szCs w:val="20"/>
              </w:rPr>
              <w:t>Marginal growth</w:t>
            </w:r>
          </w:p>
        </w:tc>
      </w:tr>
      <w:tr w:rsidR="00153118" w14:paraId="5E30F4AF" w14:textId="77777777" w:rsidTr="00892054">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A3EE6D" w14:textId="77777777" w:rsidR="00153118" w:rsidRDefault="00153118" w:rsidP="00892054">
            <w:r>
              <w:rPr>
                <w:color w:val="1A1A2E"/>
                <w:sz w:val="20"/>
                <w:szCs w:val="20"/>
              </w:rPr>
              <w:t>2013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FE9EC4" w14:textId="77777777" w:rsidR="00153118" w:rsidRDefault="00153118" w:rsidP="00892054">
            <w:r>
              <w:rPr>
                <w:color w:val="1A1A2E"/>
                <w:sz w:val="20"/>
                <w:szCs w:val="20"/>
              </w:rPr>
              <w:t>$16.9M</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1DB6DE" w14:textId="77777777" w:rsidR="00153118" w:rsidRDefault="00153118" w:rsidP="00892054">
            <w:r>
              <w:rPr>
                <w:color w:val="1A1A2E"/>
                <w:sz w:val="20"/>
                <w:szCs w:val="20"/>
              </w:rPr>
              <w:t>+65.3%</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FD519E" w14:textId="77777777" w:rsidR="00153118" w:rsidRDefault="00153118" w:rsidP="00892054">
            <w:r>
              <w:rPr>
                <w:color w:val="1A1A2E"/>
                <w:sz w:val="20"/>
                <w:szCs w:val="20"/>
              </w:rPr>
              <w:t>Strong growth</w:t>
            </w:r>
          </w:p>
        </w:tc>
      </w:tr>
      <w:tr w:rsidR="00153118" w14:paraId="34EC2EA9" w14:textId="77777777" w:rsidTr="00892054">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1727D90F" w14:textId="77777777" w:rsidR="00153118" w:rsidRDefault="00153118" w:rsidP="00892054">
            <w:r>
              <w:rPr>
                <w:color w:val="1A1A2E"/>
                <w:sz w:val="20"/>
                <w:szCs w:val="20"/>
              </w:rPr>
              <w:t>2014</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6EBED51C" w14:textId="77777777" w:rsidR="00153118" w:rsidRDefault="00153118" w:rsidP="00892054">
            <w:r>
              <w:rPr>
                <w:color w:val="1A1A2E"/>
                <w:sz w:val="20"/>
                <w:szCs w:val="20"/>
              </w:rPr>
              <w:t>$15.6M</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2A028A03" w14:textId="77777777" w:rsidR="00153118" w:rsidRDefault="00153118" w:rsidP="00892054">
            <w:r>
              <w:rPr>
                <w:color w:val="1A1A2E"/>
                <w:sz w:val="20"/>
                <w:szCs w:val="20"/>
              </w:rPr>
              <w:t>-7.7%</w:t>
            </w:r>
          </w:p>
        </w:tc>
        <w:tc>
          <w:tcPr>
            <w:tcW w:w="386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3E754BDD" w14:textId="77777777" w:rsidR="00153118" w:rsidRDefault="00153118" w:rsidP="00892054">
            <w:r>
              <w:rPr>
                <w:color w:val="1A1A2E"/>
                <w:sz w:val="20"/>
                <w:szCs w:val="20"/>
              </w:rPr>
              <w:t>Slight decline</w:t>
            </w:r>
          </w:p>
        </w:tc>
      </w:tr>
      <w:tr w:rsidR="00153118" w14:paraId="7722F533" w14:textId="77777777" w:rsidTr="00892054">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C6C6E9" w14:textId="77777777" w:rsidR="00153118" w:rsidRDefault="00153118" w:rsidP="00892054">
            <w:r>
              <w:rPr>
                <w:color w:val="1A1A2E"/>
                <w:sz w:val="20"/>
                <w:szCs w:val="20"/>
              </w:rPr>
              <w:t>2015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C9B75A" w14:textId="77777777" w:rsidR="00153118" w:rsidRDefault="00153118" w:rsidP="00892054">
            <w:r>
              <w:rPr>
                <w:color w:val="1A1A2E"/>
                <w:sz w:val="20"/>
                <w:szCs w:val="20"/>
              </w:rPr>
              <w:t>$22.3M</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8BE850" w14:textId="77777777" w:rsidR="00153118" w:rsidRDefault="00153118" w:rsidP="00892054">
            <w:r>
              <w:rPr>
                <w:color w:val="1A1A2E"/>
                <w:sz w:val="20"/>
                <w:szCs w:val="20"/>
              </w:rPr>
              <w:t>+43.0%</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5C1F20" w14:textId="77777777" w:rsidR="00153118" w:rsidRDefault="00153118" w:rsidP="00892054">
            <w:r>
              <w:rPr>
                <w:color w:val="1A1A2E"/>
                <w:sz w:val="20"/>
                <w:szCs w:val="20"/>
              </w:rPr>
              <w:t>Peak year</w:t>
            </w:r>
          </w:p>
        </w:tc>
      </w:tr>
      <w:tr w:rsidR="00153118" w14:paraId="172EFD45" w14:textId="77777777" w:rsidTr="00892054">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132598EC" w14:textId="77777777" w:rsidR="00153118" w:rsidRDefault="00153118" w:rsidP="00892054">
            <w:r>
              <w:rPr>
                <w:color w:val="1A1A2E"/>
                <w:sz w:val="20"/>
                <w:szCs w:val="20"/>
              </w:rPr>
              <w:t>2016</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24683EB9" w14:textId="77777777" w:rsidR="00153118" w:rsidRDefault="00153118" w:rsidP="00892054">
            <w:r>
              <w:rPr>
                <w:color w:val="1A1A2E"/>
                <w:sz w:val="20"/>
                <w:szCs w:val="20"/>
              </w:rPr>
              <w:t>$19.6M</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4E3B0065" w14:textId="77777777" w:rsidR="00153118" w:rsidRDefault="00153118" w:rsidP="00892054">
            <w:r>
              <w:rPr>
                <w:color w:val="1A1A2E"/>
                <w:sz w:val="20"/>
                <w:szCs w:val="20"/>
              </w:rPr>
              <w:t>-12.1%</w:t>
            </w:r>
          </w:p>
        </w:tc>
        <w:tc>
          <w:tcPr>
            <w:tcW w:w="386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488AFD94" w14:textId="77777777" w:rsidR="00153118" w:rsidRDefault="00153118" w:rsidP="00892054">
            <w:r>
              <w:rPr>
                <w:color w:val="1A1A2E"/>
                <w:sz w:val="20"/>
                <w:szCs w:val="20"/>
              </w:rPr>
              <w:t>Post-peak decline</w:t>
            </w:r>
          </w:p>
        </w:tc>
      </w:tr>
    </w:tbl>
    <w:p w14:paraId="00B70621" w14:textId="77777777" w:rsidR="00153118" w:rsidRDefault="00153118" w:rsidP="00153118"/>
    <w:p w14:paraId="0872CD19" w14:textId="77777777" w:rsidR="00153118" w:rsidRDefault="00153118" w:rsidP="00153118">
      <w:pPr>
        <w:spacing w:before="80" w:after="80"/>
      </w:pPr>
      <w:r>
        <w:rPr>
          <w:color w:val="1A1A2E"/>
        </w:rPr>
        <w:t>The sharp growth between 2012 and 2013 suggests a significant expansion in market reach or product availability during this period. The 2016 decline warrants further investigation into whether this reflects market saturation, increased competition, or reduced outreach activity.</w:t>
      </w:r>
    </w:p>
    <w:p w14:paraId="3732F8E6" w14:textId="77777777" w:rsidR="00153118" w:rsidRDefault="00153118" w:rsidP="00153118"/>
    <w:p w14:paraId="3983531A" w14:textId="77777777" w:rsidR="00153118" w:rsidRDefault="00153118" w:rsidP="00153118">
      <w:pPr>
        <w:pStyle w:val="Heading2"/>
      </w:pPr>
      <w:r>
        <w:rPr>
          <w:rFonts w:ascii="Arial" w:eastAsia="Arial" w:hAnsi="Arial" w:cs="Arial"/>
          <w:b/>
          <w:bCs/>
          <w:color w:val="004D40"/>
          <w:sz w:val="24"/>
          <w:szCs w:val="24"/>
        </w:rPr>
        <w:t>4.2 Monthly Revenue Pattern</w:t>
      </w:r>
    </w:p>
    <w:p w14:paraId="7E17EFCC" w14:textId="77777777" w:rsidR="00153118" w:rsidRDefault="00153118" w:rsidP="00153118">
      <w:pPr>
        <w:spacing w:before="80" w:after="80"/>
      </w:pPr>
      <w:r>
        <w:rPr>
          <w:color w:val="1A1A2E"/>
        </w:rPr>
        <w:t>Monthly revenue analysis reveals a consistent seasonal pattern across all years. Revenue builds steadily from January, peaks between May and June, dips slightly mid-summer, then recovers toward year end. This mid-year peak aligns with typical consumer spending patterns for outdoor and sporting goods.</w:t>
      </w:r>
    </w:p>
    <w:p w14:paraId="77575FC4" w14:textId="77777777" w:rsidR="00153118" w:rsidRDefault="00153118" w:rsidP="00153118"/>
    <w:p w14:paraId="6E01C960" w14:textId="77777777" w:rsidR="00153118" w:rsidRDefault="00153118" w:rsidP="00153118">
      <w:pPr>
        <w:pStyle w:val="ListParagraph"/>
        <w:numPr>
          <w:ilvl w:val="0"/>
          <w:numId w:val="1"/>
        </w:numPr>
        <w:spacing w:before="60" w:after="60"/>
        <w:contextualSpacing w:val="0"/>
      </w:pPr>
      <w:r>
        <w:rPr>
          <w:color w:val="1A1A2E"/>
        </w:rPr>
        <w:t>January to April: Steady ramp-up in sales volume</w:t>
      </w:r>
    </w:p>
    <w:p w14:paraId="55976CB9" w14:textId="6DBFBAB8" w:rsidR="00153118" w:rsidRDefault="00153118" w:rsidP="00153118">
      <w:pPr>
        <w:pStyle w:val="ListParagraph"/>
        <w:numPr>
          <w:ilvl w:val="0"/>
          <w:numId w:val="1"/>
        </w:numPr>
        <w:spacing w:before="60" w:after="60"/>
        <w:contextualSpacing w:val="0"/>
      </w:pPr>
      <w:r>
        <w:rPr>
          <w:color w:val="1A1A2E"/>
        </w:rPr>
        <w:t xml:space="preserve">May to June: Peak revenue </w:t>
      </w:r>
      <w:r w:rsidR="0002606B">
        <w:rPr>
          <w:color w:val="1A1A2E"/>
        </w:rPr>
        <w:t>period for optimal</w:t>
      </w:r>
      <w:r>
        <w:rPr>
          <w:color w:val="1A1A2E"/>
        </w:rPr>
        <w:t xml:space="preserve"> for promotional campaigns</w:t>
      </w:r>
    </w:p>
    <w:p w14:paraId="2D32D0FF" w14:textId="573F0009" w:rsidR="00153118" w:rsidRDefault="00153118" w:rsidP="00153118">
      <w:pPr>
        <w:pStyle w:val="ListParagraph"/>
        <w:numPr>
          <w:ilvl w:val="0"/>
          <w:numId w:val="1"/>
        </w:numPr>
        <w:spacing w:before="60" w:after="60"/>
        <w:contextualSpacing w:val="0"/>
      </w:pPr>
      <w:r>
        <w:rPr>
          <w:color w:val="1A1A2E"/>
        </w:rPr>
        <w:t xml:space="preserve">July to August: Mid-summer dip </w:t>
      </w:r>
      <w:r w:rsidR="0002606B">
        <w:rPr>
          <w:color w:val="1A1A2E"/>
        </w:rPr>
        <w:t xml:space="preserve">which present an </w:t>
      </w:r>
      <w:r>
        <w:rPr>
          <w:color w:val="1A1A2E"/>
        </w:rPr>
        <w:t>opportunity for targeted discounting</w:t>
      </w:r>
    </w:p>
    <w:p w14:paraId="11888DAC" w14:textId="77777777" w:rsidR="00153118" w:rsidRDefault="00153118" w:rsidP="00153118">
      <w:pPr>
        <w:pStyle w:val="ListParagraph"/>
        <w:numPr>
          <w:ilvl w:val="0"/>
          <w:numId w:val="1"/>
        </w:numPr>
        <w:spacing w:before="60" w:after="60"/>
        <w:contextualSpacing w:val="0"/>
      </w:pPr>
      <w:r>
        <w:rPr>
          <w:color w:val="1A1A2E"/>
        </w:rPr>
        <w:t>September to December: Recovery and year-end push</w:t>
      </w:r>
    </w:p>
    <w:p w14:paraId="3EAFBA74" w14:textId="77777777" w:rsidR="00153118" w:rsidRDefault="00153118" w:rsidP="00153118"/>
    <w:p w14:paraId="7690CC1A" w14:textId="77777777" w:rsidR="00153118" w:rsidRDefault="00153118" w:rsidP="00153118">
      <w:pPr>
        <w:pStyle w:val="Heading1"/>
      </w:pPr>
      <w:r>
        <w:rPr>
          <w:rFonts w:ascii="Arial" w:eastAsia="Arial" w:hAnsi="Arial" w:cs="Arial"/>
          <w:b/>
          <w:bCs/>
          <w:color w:val="00695C"/>
          <w:sz w:val="28"/>
          <w:szCs w:val="28"/>
        </w:rPr>
        <w:t>5. Product Category Analysis</w:t>
      </w:r>
    </w:p>
    <w:p w14:paraId="09EDF906" w14:textId="77777777" w:rsidR="00153118" w:rsidRDefault="00153118" w:rsidP="00153118">
      <w:pPr>
        <w:spacing w:before="80" w:after="80"/>
      </w:pPr>
      <w:r>
        <w:rPr>
          <w:color w:val="1A1A2E"/>
        </w:rPr>
        <w:t>The business operates across three product categories. Bikes dominates both revenue and cost, while Accessories demonstrates the strongest profit margin potential relative to its revenue contribution.</w:t>
      </w:r>
    </w:p>
    <w:p w14:paraId="09772164" w14:textId="77777777" w:rsidR="00153118" w:rsidRDefault="00153118" w:rsidP="00153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360"/>
        <w:gridCol w:w="2000"/>
      </w:tblGrid>
      <w:tr w:rsidR="00153118" w14:paraId="678917F6" w14:textId="77777777" w:rsidTr="00892054">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004D40"/>
            <w:tcMar>
              <w:top w:w="80" w:type="dxa"/>
              <w:left w:w="120" w:type="dxa"/>
              <w:bottom w:w="80" w:type="dxa"/>
              <w:right w:w="120" w:type="dxa"/>
            </w:tcMar>
          </w:tcPr>
          <w:p w14:paraId="3A48B45F" w14:textId="77777777" w:rsidR="00153118" w:rsidRDefault="00153118" w:rsidP="00892054">
            <w:r>
              <w:rPr>
                <w:b/>
                <w:bCs/>
                <w:color w:val="FFFFFF"/>
                <w:sz w:val="20"/>
                <w:szCs w:val="20"/>
              </w:rPr>
              <w:t>Category</w:t>
            </w:r>
          </w:p>
        </w:tc>
        <w:tc>
          <w:tcPr>
            <w:tcW w:w="1500" w:type="dxa"/>
            <w:tcBorders>
              <w:top w:val="single" w:sz="1" w:space="0" w:color="DDDDDD"/>
              <w:left w:val="single" w:sz="1" w:space="0" w:color="DDDDDD"/>
              <w:bottom w:val="single" w:sz="1" w:space="0" w:color="DDDDDD"/>
              <w:right w:val="single" w:sz="1" w:space="0" w:color="DDDDDD"/>
            </w:tcBorders>
            <w:shd w:val="clear" w:color="auto" w:fill="004D40"/>
            <w:tcMar>
              <w:top w:w="80" w:type="dxa"/>
              <w:left w:w="120" w:type="dxa"/>
              <w:bottom w:w="80" w:type="dxa"/>
              <w:right w:w="120" w:type="dxa"/>
            </w:tcMar>
          </w:tcPr>
          <w:p w14:paraId="123C7F73" w14:textId="77777777" w:rsidR="00153118" w:rsidRDefault="00153118" w:rsidP="00892054">
            <w:r>
              <w:rPr>
                <w:b/>
                <w:bCs/>
                <w:color w:val="FFFFFF"/>
                <w:sz w:val="20"/>
                <w:szCs w:val="20"/>
              </w:rPr>
              <w:t>Revenue</w:t>
            </w:r>
          </w:p>
        </w:tc>
        <w:tc>
          <w:tcPr>
            <w:tcW w:w="1500" w:type="dxa"/>
            <w:tcBorders>
              <w:top w:val="single" w:sz="1" w:space="0" w:color="DDDDDD"/>
              <w:left w:val="single" w:sz="1" w:space="0" w:color="DDDDDD"/>
              <w:bottom w:val="single" w:sz="1" w:space="0" w:color="DDDDDD"/>
              <w:right w:val="single" w:sz="1" w:space="0" w:color="DDDDDD"/>
            </w:tcBorders>
            <w:shd w:val="clear" w:color="auto" w:fill="004D40"/>
            <w:tcMar>
              <w:top w:w="80" w:type="dxa"/>
              <w:left w:w="120" w:type="dxa"/>
              <w:bottom w:w="80" w:type="dxa"/>
              <w:right w:w="120" w:type="dxa"/>
            </w:tcMar>
          </w:tcPr>
          <w:p w14:paraId="35F21793" w14:textId="77777777" w:rsidR="00153118" w:rsidRDefault="00153118" w:rsidP="00892054">
            <w:r>
              <w:rPr>
                <w:b/>
                <w:bCs/>
                <w:color w:val="FFFFFF"/>
                <w:sz w:val="20"/>
                <w:szCs w:val="20"/>
              </w:rPr>
              <w:t>Cost</w:t>
            </w:r>
          </w:p>
        </w:tc>
        <w:tc>
          <w:tcPr>
            <w:tcW w:w="1500" w:type="dxa"/>
            <w:tcBorders>
              <w:top w:val="single" w:sz="1" w:space="0" w:color="DDDDDD"/>
              <w:left w:val="single" w:sz="1" w:space="0" w:color="DDDDDD"/>
              <w:bottom w:val="single" w:sz="1" w:space="0" w:color="DDDDDD"/>
              <w:right w:val="single" w:sz="1" w:space="0" w:color="DDDDDD"/>
            </w:tcBorders>
            <w:shd w:val="clear" w:color="auto" w:fill="004D40"/>
            <w:tcMar>
              <w:top w:w="80" w:type="dxa"/>
              <w:left w:w="120" w:type="dxa"/>
              <w:bottom w:w="80" w:type="dxa"/>
              <w:right w:w="120" w:type="dxa"/>
            </w:tcMar>
          </w:tcPr>
          <w:p w14:paraId="237F301B" w14:textId="77777777" w:rsidR="00153118" w:rsidRDefault="00153118" w:rsidP="00892054">
            <w:r>
              <w:rPr>
                <w:b/>
                <w:bCs/>
                <w:color w:val="FFFFFF"/>
                <w:sz w:val="20"/>
                <w:szCs w:val="20"/>
              </w:rPr>
              <w:t>Profit</w:t>
            </w:r>
          </w:p>
        </w:tc>
        <w:tc>
          <w:tcPr>
            <w:tcW w:w="1360" w:type="dxa"/>
            <w:tcBorders>
              <w:top w:val="single" w:sz="1" w:space="0" w:color="DDDDDD"/>
              <w:left w:val="single" w:sz="1" w:space="0" w:color="DDDDDD"/>
              <w:bottom w:val="single" w:sz="1" w:space="0" w:color="DDDDDD"/>
              <w:right w:val="single" w:sz="1" w:space="0" w:color="DDDDDD"/>
            </w:tcBorders>
            <w:shd w:val="clear" w:color="auto" w:fill="004D40"/>
            <w:tcMar>
              <w:top w:w="80" w:type="dxa"/>
              <w:left w:w="120" w:type="dxa"/>
              <w:bottom w:w="80" w:type="dxa"/>
              <w:right w:w="120" w:type="dxa"/>
            </w:tcMar>
          </w:tcPr>
          <w:p w14:paraId="61653D25" w14:textId="77777777" w:rsidR="00153118" w:rsidRDefault="00153118" w:rsidP="00892054">
            <w:r>
              <w:rPr>
                <w:b/>
                <w:bCs/>
                <w:color w:val="FFFFFF"/>
                <w:sz w:val="20"/>
                <w:szCs w:val="20"/>
              </w:rPr>
              <w:t>Margin</w:t>
            </w:r>
          </w:p>
        </w:tc>
        <w:tc>
          <w:tcPr>
            <w:tcW w:w="2000" w:type="dxa"/>
            <w:tcBorders>
              <w:top w:val="single" w:sz="1" w:space="0" w:color="DDDDDD"/>
              <w:left w:val="single" w:sz="1" w:space="0" w:color="DDDDDD"/>
              <w:bottom w:val="single" w:sz="1" w:space="0" w:color="DDDDDD"/>
              <w:right w:val="single" w:sz="1" w:space="0" w:color="DDDDDD"/>
            </w:tcBorders>
            <w:shd w:val="clear" w:color="auto" w:fill="004D40"/>
            <w:tcMar>
              <w:top w:w="80" w:type="dxa"/>
              <w:left w:w="120" w:type="dxa"/>
              <w:bottom w:w="80" w:type="dxa"/>
              <w:right w:w="120" w:type="dxa"/>
            </w:tcMar>
          </w:tcPr>
          <w:p w14:paraId="03E79D45" w14:textId="77777777" w:rsidR="00153118" w:rsidRDefault="00153118" w:rsidP="00892054">
            <w:r>
              <w:rPr>
                <w:b/>
                <w:bCs/>
                <w:color w:val="FFFFFF"/>
                <w:sz w:val="20"/>
                <w:szCs w:val="20"/>
              </w:rPr>
              <w:t>Insight</w:t>
            </w:r>
          </w:p>
        </w:tc>
      </w:tr>
      <w:tr w:rsidR="00153118" w14:paraId="7A538745" w14:textId="77777777" w:rsidTr="00892054">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69258A" w14:textId="77777777" w:rsidR="00153118" w:rsidRDefault="00153118" w:rsidP="00892054">
            <w:r>
              <w:rPr>
                <w:color w:val="1A1A2E"/>
                <w:sz w:val="20"/>
                <w:szCs w:val="20"/>
              </w:rPr>
              <w:lastRenderedPageBreak/>
              <w:t>Bikes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D1EB90" w14:textId="77777777" w:rsidR="00153118" w:rsidRDefault="00153118" w:rsidP="00892054">
            <w:r>
              <w:rPr>
                <w:color w:val="1A1A2E"/>
                <w:sz w:val="20"/>
                <w:szCs w:val="20"/>
              </w:rPr>
              <w:t>$65M</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46B147" w14:textId="77777777" w:rsidR="00153118" w:rsidRDefault="00153118" w:rsidP="00892054">
            <w:r>
              <w:rPr>
                <w:color w:val="1A1A2E"/>
                <w:sz w:val="20"/>
                <w:szCs w:val="20"/>
              </w:rPr>
              <w:t>$35M</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0BD2F4" w14:textId="77777777" w:rsidR="00153118" w:rsidRDefault="00153118" w:rsidP="00892054">
            <w:r>
              <w:rPr>
                <w:color w:val="1A1A2E"/>
                <w:sz w:val="20"/>
                <w:szCs w:val="20"/>
              </w:rPr>
              <w:t>$18M</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A88C2C" w14:textId="77777777" w:rsidR="00153118" w:rsidRDefault="00153118" w:rsidP="00892054">
            <w:r>
              <w:rPr>
                <w:color w:val="1A1A2E"/>
                <w:sz w:val="20"/>
                <w:szCs w:val="20"/>
              </w:rPr>
              <w:t>38%</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1629EE" w14:textId="77777777" w:rsidR="00153118" w:rsidRDefault="00153118" w:rsidP="00892054">
            <w:r>
              <w:rPr>
                <w:color w:val="1A1A2E"/>
                <w:sz w:val="20"/>
                <w:szCs w:val="20"/>
              </w:rPr>
              <w:t>Dominant but high cost</w:t>
            </w:r>
          </w:p>
        </w:tc>
      </w:tr>
      <w:tr w:rsidR="00153118" w14:paraId="2E609F65" w14:textId="77777777" w:rsidTr="00892054">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71794CFD" w14:textId="77777777" w:rsidR="00153118" w:rsidRDefault="00153118" w:rsidP="00892054">
            <w:r>
              <w:rPr>
                <w:color w:val="1A1A2E"/>
                <w:sz w:val="20"/>
                <w:szCs w:val="20"/>
              </w:rPr>
              <w:t>Accessories</w:t>
            </w:r>
          </w:p>
        </w:tc>
        <w:tc>
          <w:tcPr>
            <w:tcW w:w="15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558B678A" w14:textId="77777777" w:rsidR="00153118" w:rsidRDefault="00153118" w:rsidP="00892054">
            <w:r>
              <w:rPr>
                <w:color w:val="1A1A2E"/>
                <w:sz w:val="20"/>
                <w:szCs w:val="20"/>
              </w:rPr>
              <w:t>$15M</w:t>
            </w:r>
          </w:p>
        </w:tc>
        <w:tc>
          <w:tcPr>
            <w:tcW w:w="15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60100D0C" w14:textId="77777777" w:rsidR="00153118" w:rsidRDefault="00153118" w:rsidP="00892054">
            <w:r>
              <w:rPr>
                <w:color w:val="1A1A2E"/>
                <w:sz w:val="20"/>
                <w:szCs w:val="20"/>
              </w:rPr>
              <w:t>$7M</w:t>
            </w:r>
          </w:p>
        </w:tc>
        <w:tc>
          <w:tcPr>
            <w:tcW w:w="15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62D15F1F" w14:textId="77777777" w:rsidR="00153118" w:rsidRDefault="00153118" w:rsidP="00892054">
            <w:r>
              <w:rPr>
                <w:color w:val="1A1A2E"/>
                <w:sz w:val="20"/>
                <w:szCs w:val="20"/>
              </w:rPr>
              <w:t>$7M</w:t>
            </w:r>
          </w:p>
        </w:tc>
        <w:tc>
          <w:tcPr>
            <w:tcW w:w="136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153B1955" w14:textId="77777777" w:rsidR="00153118" w:rsidRDefault="00153118" w:rsidP="00892054">
            <w:r>
              <w:rPr>
                <w:color w:val="1A1A2E"/>
                <w:sz w:val="20"/>
                <w:szCs w:val="20"/>
              </w:rPr>
              <w:t>47%</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17478907" w14:textId="77777777" w:rsidR="00153118" w:rsidRDefault="00153118" w:rsidP="00892054">
            <w:r>
              <w:rPr>
                <w:color w:val="1A1A2E"/>
                <w:sz w:val="20"/>
                <w:szCs w:val="20"/>
              </w:rPr>
              <w:t>Strong margin opportunity</w:t>
            </w:r>
          </w:p>
        </w:tc>
      </w:tr>
      <w:tr w:rsidR="00153118" w14:paraId="75F566BF" w14:textId="77777777" w:rsidTr="00892054">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CFB4F7" w14:textId="77777777" w:rsidR="00153118" w:rsidRDefault="00153118" w:rsidP="00892054">
            <w:r>
              <w:rPr>
                <w:color w:val="1A1A2E"/>
                <w:sz w:val="20"/>
                <w:szCs w:val="20"/>
              </w:rPr>
              <w:t>Clothing</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5E484F" w14:textId="77777777" w:rsidR="00153118" w:rsidRDefault="00153118" w:rsidP="00892054">
            <w:r>
              <w:rPr>
                <w:color w:val="1A1A2E"/>
                <w:sz w:val="20"/>
                <w:szCs w:val="20"/>
              </w:rPr>
              <w:t>$8M</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090413" w14:textId="77777777" w:rsidR="00153118" w:rsidRDefault="00153118" w:rsidP="00892054">
            <w:r>
              <w:rPr>
                <w:color w:val="1A1A2E"/>
                <w:sz w:val="20"/>
                <w:szCs w:val="20"/>
              </w:rPr>
              <w:t>$4M</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EE0CAB" w14:textId="77777777" w:rsidR="00153118" w:rsidRDefault="00153118" w:rsidP="00892054">
            <w:r>
              <w:rPr>
                <w:color w:val="1A1A2E"/>
                <w:sz w:val="20"/>
                <w:szCs w:val="20"/>
              </w:rPr>
              <w:t>$3M</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68C5B3" w14:textId="77777777" w:rsidR="00153118" w:rsidRDefault="00153118" w:rsidP="00892054">
            <w:r>
              <w:rPr>
                <w:color w:val="1A1A2E"/>
                <w:sz w:val="20"/>
                <w:szCs w:val="20"/>
              </w:rPr>
              <w:t>38%</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754C1A" w14:textId="77777777" w:rsidR="00153118" w:rsidRDefault="00153118" w:rsidP="00892054">
            <w:r>
              <w:rPr>
                <w:color w:val="1A1A2E"/>
                <w:sz w:val="20"/>
                <w:szCs w:val="20"/>
              </w:rPr>
              <w:t>Smallest segment</w:t>
            </w:r>
          </w:p>
        </w:tc>
      </w:tr>
    </w:tbl>
    <w:p w14:paraId="62739D67" w14:textId="77777777" w:rsidR="00153118" w:rsidRDefault="00153118" w:rsidP="00153118"/>
    <w:p w14:paraId="086A678A" w14:textId="77777777" w:rsidR="00153118" w:rsidRDefault="00153118" w:rsidP="00153118">
      <w:pPr>
        <w:spacing w:before="80" w:after="80"/>
      </w:pPr>
      <w:r>
        <w:rPr>
          <w:color w:val="1A1A2E"/>
        </w:rPr>
        <w:t>While Bikes account for 69% of total revenue at $65M, the category also carries the highest cost base. Accessories deliver a 47% profit margin despite representing only 16% of total revenue — a clear indication that growing the Accessories segment could significantly improve overall profitability without proportional cost increases.</w:t>
      </w:r>
    </w:p>
    <w:p w14:paraId="7512DAEB" w14:textId="77777777" w:rsidR="00153118" w:rsidRDefault="00153118" w:rsidP="00153118"/>
    <w:p w14:paraId="6F6555A4" w14:textId="77777777" w:rsidR="00153118" w:rsidRDefault="00153118" w:rsidP="00153118">
      <w:pPr>
        <w:pStyle w:val="Heading2"/>
      </w:pPr>
      <w:r>
        <w:rPr>
          <w:rFonts w:ascii="Arial" w:eastAsia="Arial" w:hAnsi="Arial" w:cs="Arial"/>
          <w:b/>
          <w:bCs/>
          <w:color w:val="004D40"/>
          <w:sz w:val="24"/>
          <w:szCs w:val="24"/>
        </w:rPr>
        <w:t>5.1 Sub Category Profit Margins</w:t>
      </w:r>
    </w:p>
    <w:p w14:paraId="1D93608D" w14:textId="77777777" w:rsidR="00153118" w:rsidRDefault="00153118" w:rsidP="00153118">
      <w:pPr>
        <w:spacing w:before="80" w:after="80"/>
      </w:pPr>
      <w:r>
        <w:rPr>
          <w:color w:val="1A1A2E"/>
        </w:rPr>
        <w:t>At the sub-category level, significant margin variation exists within each product category. Key findings include:</w:t>
      </w:r>
    </w:p>
    <w:p w14:paraId="39EBD152" w14:textId="77777777" w:rsidR="00153118" w:rsidRDefault="00153118" w:rsidP="00153118"/>
    <w:p w14:paraId="26CA174C" w14:textId="77777777" w:rsidR="00153118" w:rsidRDefault="00153118" w:rsidP="00153118">
      <w:pPr>
        <w:pStyle w:val="ListParagraph"/>
        <w:numPr>
          <w:ilvl w:val="0"/>
          <w:numId w:val="1"/>
        </w:numPr>
        <w:spacing w:before="60" w:after="60"/>
        <w:contextualSpacing w:val="0"/>
      </w:pPr>
      <w:r>
        <w:rPr>
          <w:color w:val="1A1A2E"/>
        </w:rPr>
        <w:t>Fenders deliver the highest profit margin among all sub-categories at approximately 58%</w:t>
      </w:r>
    </w:p>
    <w:p w14:paraId="31EC96A7" w14:textId="32EACE4A" w:rsidR="00153118" w:rsidRDefault="00153118" w:rsidP="00153118">
      <w:pPr>
        <w:pStyle w:val="ListParagraph"/>
        <w:numPr>
          <w:ilvl w:val="0"/>
          <w:numId w:val="1"/>
        </w:numPr>
        <w:spacing w:before="60" w:after="60"/>
        <w:contextualSpacing w:val="0"/>
      </w:pPr>
      <w:r>
        <w:rPr>
          <w:color w:val="1A1A2E"/>
        </w:rPr>
        <w:t>Helmets and Gloves follow with margins above 50% both in the Accessories category</w:t>
      </w:r>
    </w:p>
    <w:p w14:paraId="5C5C488D" w14:textId="77777777" w:rsidR="00153118" w:rsidRDefault="00153118" w:rsidP="00153118">
      <w:pPr>
        <w:pStyle w:val="ListParagraph"/>
        <w:numPr>
          <w:ilvl w:val="0"/>
          <w:numId w:val="1"/>
        </w:numPr>
        <w:spacing w:before="60" w:after="60"/>
        <w:contextualSpacing w:val="0"/>
      </w:pPr>
      <w:r>
        <w:rPr>
          <w:color w:val="1A1A2E"/>
        </w:rPr>
        <w:t>Mountain Bikes and Road Bikes have the lowest margins at approximately 11-15%</w:t>
      </w:r>
    </w:p>
    <w:p w14:paraId="5B5838CA" w14:textId="77777777" w:rsidR="00153118" w:rsidRDefault="00153118" w:rsidP="00153118">
      <w:pPr>
        <w:pStyle w:val="ListParagraph"/>
        <w:numPr>
          <w:ilvl w:val="0"/>
          <w:numId w:val="1"/>
        </w:numPr>
        <w:spacing w:before="60" w:after="60"/>
        <w:contextualSpacing w:val="0"/>
      </w:pPr>
      <w:r>
        <w:rPr>
          <w:color w:val="1A1A2E"/>
        </w:rPr>
        <w:t>Clothing sub-categories such as Jerseys and Shorts sit in the mid-range at 30-40%</w:t>
      </w:r>
    </w:p>
    <w:p w14:paraId="628788FA" w14:textId="77777777" w:rsidR="00153118" w:rsidRDefault="00153118" w:rsidP="00153118"/>
    <w:p w14:paraId="049ED8BC" w14:textId="77777777" w:rsidR="00153118" w:rsidRDefault="00153118" w:rsidP="00153118">
      <w:pPr>
        <w:pStyle w:val="Heading1"/>
      </w:pPr>
      <w:r>
        <w:rPr>
          <w:rFonts w:ascii="Arial" w:eastAsia="Arial" w:hAnsi="Arial" w:cs="Arial"/>
          <w:b/>
          <w:bCs/>
          <w:color w:val="00695C"/>
          <w:sz w:val="28"/>
          <w:szCs w:val="28"/>
        </w:rPr>
        <w:t>6. Geographic Analysis</w:t>
      </w:r>
    </w:p>
    <w:p w14:paraId="5CED45B7" w14:textId="6B4357C8" w:rsidR="00153118" w:rsidRDefault="00153118" w:rsidP="00153118">
      <w:pPr>
        <w:spacing w:before="80" w:after="80"/>
      </w:pPr>
      <w:r>
        <w:rPr>
          <w:color w:val="1A1A2E"/>
        </w:rPr>
        <w:t xml:space="preserve">Sales are distributed across six countries, with the United States accounting for the largest share of revenue at 37%. The geographic concentration in two markets the United States and Australia </w:t>
      </w:r>
      <w:r w:rsidR="0002606B">
        <w:rPr>
          <w:color w:val="1A1A2E"/>
        </w:rPr>
        <w:t>represent</w:t>
      </w:r>
      <w:r>
        <w:rPr>
          <w:color w:val="1A1A2E"/>
        </w:rPr>
        <w:t xml:space="preserve"> both a strength and a risk.</w:t>
      </w:r>
    </w:p>
    <w:p w14:paraId="159857C6" w14:textId="77777777" w:rsidR="00153118" w:rsidRDefault="00153118" w:rsidP="00153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153118" w14:paraId="19A6955C" w14:textId="77777777" w:rsidTr="00892054">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00695C"/>
            <w:tcMar>
              <w:top w:w="80" w:type="dxa"/>
              <w:left w:w="120" w:type="dxa"/>
              <w:bottom w:w="80" w:type="dxa"/>
              <w:right w:w="120" w:type="dxa"/>
            </w:tcMar>
          </w:tcPr>
          <w:p w14:paraId="106BF5B0" w14:textId="77777777" w:rsidR="00153118" w:rsidRDefault="00153118" w:rsidP="00892054">
            <w:r>
              <w:rPr>
                <w:b/>
                <w:bCs/>
                <w:color w:val="FFFFFF"/>
                <w:sz w:val="20"/>
                <w:szCs w:val="20"/>
              </w:rPr>
              <w:t>Country</w:t>
            </w:r>
          </w:p>
        </w:tc>
        <w:tc>
          <w:tcPr>
            <w:tcW w:w="2000" w:type="dxa"/>
            <w:tcBorders>
              <w:top w:val="single" w:sz="1" w:space="0" w:color="DDDDDD"/>
              <w:left w:val="single" w:sz="1" w:space="0" w:color="DDDDDD"/>
              <w:bottom w:val="single" w:sz="1" w:space="0" w:color="DDDDDD"/>
              <w:right w:val="single" w:sz="1" w:space="0" w:color="DDDDDD"/>
            </w:tcBorders>
            <w:shd w:val="clear" w:color="auto" w:fill="00695C"/>
            <w:tcMar>
              <w:top w:w="80" w:type="dxa"/>
              <w:left w:w="120" w:type="dxa"/>
              <w:bottom w:w="80" w:type="dxa"/>
              <w:right w:w="120" w:type="dxa"/>
            </w:tcMar>
          </w:tcPr>
          <w:p w14:paraId="18BD219A" w14:textId="77777777" w:rsidR="00153118" w:rsidRDefault="00153118" w:rsidP="00892054">
            <w:r>
              <w:rPr>
                <w:b/>
                <w:bCs/>
                <w:color w:val="FFFFFF"/>
                <w:sz w:val="20"/>
                <w:szCs w:val="20"/>
              </w:rPr>
              <w:t>Revenue</w:t>
            </w:r>
          </w:p>
        </w:tc>
        <w:tc>
          <w:tcPr>
            <w:tcW w:w="2000" w:type="dxa"/>
            <w:tcBorders>
              <w:top w:val="single" w:sz="1" w:space="0" w:color="DDDDDD"/>
              <w:left w:val="single" w:sz="1" w:space="0" w:color="DDDDDD"/>
              <w:bottom w:val="single" w:sz="1" w:space="0" w:color="DDDDDD"/>
              <w:right w:val="single" w:sz="1" w:space="0" w:color="DDDDDD"/>
            </w:tcBorders>
            <w:shd w:val="clear" w:color="auto" w:fill="00695C"/>
            <w:tcMar>
              <w:top w:w="80" w:type="dxa"/>
              <w:left w:w="120" w:type="dxa"/>
              <w:bottom w:w="80" w:type="dxa"/>
              <w:right w:w="120" w:type="dxa"/>
            </w:tcMar>
          </w:tcPr>
          <w:p w14:paraId="2ABEE16C" w14:textId="77777777" w:rsidR="00153118" w:rsidRDefault="00153118" w:rsidP="00892054">
            <w:r>
              <w:rPr>
                <w:b/>
                <w:bCs/>
                <w:color w:val="FFFFFF"/>
                <w:sz w:val="20"/>
                <w:szCs w:val="20"/>
              </w:rPr>
              <w:t>% of Total</w:t>
            </w:r>
          </w:p>
        </w:tc>
        <w:tc>
          <w:tcPr>
            <w:tcW w:w="2860" w:type="dxa"/>
            <w:tcBorders>
              <w:top w:val="single" w:sz="1" w:space="0" w:color="DDDDDD"/>
              <w:left w:val="single" w:sz="1" w:space="0" w:color="DDDDDD"/>
              <w:bottom w:val="single" w:sz="1" w:space="0" w:color="DDDDDD"/>
              <w:right w:val="single" w:sz="1" w:space="0" w:color="DDDDDD"/>
            </w:tcBorders>
            <w:shd w:val="clear" w:color="auto" w:fill="00695C"/>
            <w:tcMar>
              <w:top w:w="80" w:type="dxa"/>
              <w:left w:w="120" w:type="dxa"/>
              <w:bottom w:w="80" w:type="dxa"/>
              <w:right w:w="120" w:type="dxa"/>
            </w:tcMar>
          </w:tcPr>
          <w:p w14:paraId="77DAA2DB" w14:textId="77777777" w:rsidR="00153118" w:rsidRDefault="00153118" w:rsidP="00892054">
            <w:r>
              <w:rPr>
                <w:b/>
                <w:bCs/>
                <w:color w:val="FFFFFF"/>
                <w:sz w:val="20"/>
                <w:szCs w:val="20"/>
              </w:rPr>
              <w:t>Status</w:t>
            </w:r>
          </w:p>
        </w:tc>
      </w:tr>
      <w:tr w:rsidR="00153118" w14:paraId="34E60782" w14:textId="77777777" w:rsidTr="00892054">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BCB02F" w14:textId="77777777" w:rsidR="00153118" w:rsidRDefault="00153118" w:rsidP="00892054">
            <w:r>
              <w:rPr>
                <w:color w:val="1A1A2E"/>
                <w:sz w:val="20"/>
                <w:szCs w:val="20"/>
              </w:rPr>
              <w:t>United States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BFB2AC" w14:textId="77777777" w:rsidR="00153118" w:rsidRDefault="00153118" w:rsidP="00892054">
            <w:r>
              <w:rPr>
                <w:color w:val="1A1A2E"/>
                <w:sz w:val="20"/>
                <w:szCs w:val="20"/>
              </w:rPr>
              <w:t>$35M</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3641C8" w14:textId="77777777" w:rsidR="00153118" w:rsidRDefault="00153118" w:rsidP="00892054">
            <w:r>
              <w:rPr>
                <w:color w:val="1A1A2E"/>
                <w:sz w:val="20"/>
                <w:szCs w:val="20"/>
              </w:rPr>
              <w:t>37%</w:t>
            </w:r>
          </w:p>
        </w:tc>
        <w:tc>
          <w:tcPr>
            <w:tcW w:w="2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867292" w14:textId="77777777" w:rsidR="00153118" w:rsidRDefault="00153118" w:rsidP="00892054">
            <w:r>
              <w:rPr>
                <w:color w:val="1A1A2E"/>
                <w:sz w:val="20"/>
                <w:szCs w:val="20"/>
              </w:rPr>
              <w:t>Primary market</w:t>
            </w:r>
          </w:p>
        </w:tc>
      </w:tr>
      <w:tr w:rsidR="00153118" w14:paraId="1D1F4BE0" w14:textId="77777777" w:rsidTr="00892054">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77BAD01A" w14:textId="77777777" w:rsidR="00153118" w:rsidRDefault="00153118" w:rsidP="00892054">
            <w:r>
              <w:rPr>
                <w:color w:val="1A1A2E"/>
                <w:sz w:val="20"/>
                <w:szCs w:val="20"/>
              </w:rPr>
              <w:t>Australia</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54CE7965" w14:textId="77777777" w:rsidR="00153118" w:rsidRDefault="00153118" w:rsidP="00892054">
            <w:r>
              <w:rPr>
                <w:color w:val="1A1A2E"/>
                <w:sz w:val="20"/>
                <w:szCs w:val="20"/>
              </w:rPr>
              <w:t>$24M</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1013EC97" w14:textId="77777777" w:rsidR="00153118" w:rsidRDefault="00153118" w:rsidP="00892054">
            <w:r>
              <w:rPr>
                <w:color w:val="1A1A2E"/>
                <w:sz w:val="20"/>
                <w:szCs w:val="20"/>
              </w:rPr>
              <w:t>25%</w:t>
            </w:r>
          </w:p>
        </w:tc>
        <w:tc>
          <w:tcPr>
            <w:tcW w:w="286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6768089D" w14:textId="77777777" w:rsidR="00153118" w:rsidRDefault="00153118" w:rsidP="00892054">
            <w:r>
              <w:rPr>
                <w:color w:val="1A1A2E"/>
                <w:sz w:val="20"/>
                <w:szCs w:val="20"/>
              </w:rPr>
              <w:t>Strong secondary market</w:t>
            </w:r>
          </w:p>
        </w:tc>
      </w:tr>
      <w:tr w:rsidR="00153118" w14:paraId="051160B7" w14:textId="77777777" w:rsidTr="00892054">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AE85DF" w14:textId="77777777" w:rsidR="00153118" w:rsidRDefault="00153118" w:rsidP="00892054">
            <w:r>
              <w:rPr>
                <w:color w:val="1A1A2E"/>
                <w:sz w:val="20"/>
                <w:szCs w:val="20"/>
              </w:rPr>
              <w:t>United Kingdom</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52B060" w14:textId="77777777" w:rsidR="00153118" w:rsidRDefault="00153118" w:rsidP="00892054">
            <w:r>
              <w:rPr>
                <w:color w:val="1A1A2E"/>
                <w:sz w:val="20"/>
                <w:szCs w:val="20"/>
              </w:rPr>
              <w:t>$15M</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453015" w14:textId="77777777" w:rsidR="00153118" w:rsidRDefault="00153118" w:rsidP="00892054">
            <w:r>
              <w:rPr>
                <w:color w:val="1A1A2E"/>
                <w:sz w:val="20"/>
                <w:szCs w:val="20"/>
              </w:rPr>
              <w:t>16%</w:t>
            </w:r>
          </w:p>
        </w:tc>
        <w:tc>
          <w:tcPr>
            <w:tcW w:w="2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529456" w14:textId="77777777" w:rsidR="00153118" w:rsidRDefault="00153118" w:rsidP="00892054">
            <w:r>
              <w:rPr>
                <w:color w:val="1A1A2E"/>
                <w:sz w:val="20"/>
                <w:szCs w:val="20"/>
              </w:rPr>
              <w:t>Stable European base</w:t>
            </w:r>
          </w:p>
        </w:tc>
      </w:tr>
      <w:tr w:rsidR="00153118" w14:paraId="4E10F9F0" w14:textId="77777777" w:rsidTr="00892054">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06B80C2C" w14:textId="77777777" w:rsidR="00153118" w:rsidRDefault="00153118" w:rsidP="00892054">
            <w:r>
              <w:rPr>
                <w:color w:val="1A1A2E"/>
                <w:sz w:val="20"/>
                <w:szCs w:val="20"/>
              </w:rPr>
              <w:t>Germany</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5DB7B698" w14:textId="77777777" w:rsidR="00153118" w:rsidRDefault="00153118" w:rsidP="00892054">
            <w:r>
              <w:rPr>
                <w:color w:val="1A1A2E"/>
                <w:sz w:val="20"/>
                <w:szCs w:val="20"/>
              </w:rPr>
              <w:t>$10M</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6BE4D16A" w14:textId="77777777" w:rsidR="00153118" w:rsidRDefault="00153118" w:rsidP="00892054">
            <w:r>
              <w:rPr>
                <w:color w:val="1A1A2E"/>
                <w:sz w:val="20"/>
                <w:szCs w:val="20"/>
              </w:rPr>
              <w:t>11%</w:t>
            </w:r>
          </w:p>
        </w:tc>
        <w:tc>
          <w:tcPr>
            <w:tcW w:w="286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4442B470" w14:textId="77777777" w:rsidR="00153118" w:rsidRDefault="00153118" w:rsidP="00892054">
            <w:r>
              <w:rPr>
                <w:color w:val="1A1A2E"/>
                <w:sz w:val="20"/>
                <w:szCs w:val="20"/>
              </w:rPr>
              <w:t>Growing market</w:t>
            </w:r>
          </w:p>
        </w:tc>
      </w:tr>
      <w:tr w:rsidR="00153118" w14:paraId="45D6A598" w14:textId="77777777" w:rsidTr="00892054">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515070" w14:textId="77777777" w:rsidR="00153118" w:rsidRDefault="00153118" w:rsidP="00892054">
            <w:r>
              <w:rPr>
                <w:color w:val="1A1A2E"/>
                <w:sz w:val="20"/>
                <w:szCs w:val="20"/>
              </w:rPr>
              <w:t>France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87DA3D" w14:textId="77777777" w:rsidR="00153118" w:rsidRDefault="00153118" w:rsidP="00892054">
            <w:r>
              <w:rPr>
                <w:color w:val="1A1A2E"/>
                <w:sz w:val="20"/>
                <w:szCs w:val="20"/>
              </w:rPr>
              <w:t>$6M</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CC323F" w14:textId="77777777" w:rsidR="00153118" w:rsidRDefault="00153118" w:rsidP="00892054">
            <w:r>
              <w:rPr>
                <w:color w:val="1A1A2E"/>
                <w:sz w:val="20"/>
                <w:szCs w:val="20"/>
              </w:rPr>
              <w:t>6%</w:t>
            </w:r>
          </w:p>
        </w:tc>
        <w:tc>
          <w:tcPr>
            <w:tcW w:w="2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B07DCB" w14:textId="77777777" w:rsidR="00153118" w:rsidRDefault="00153118" w:rsidP="00892054">
            <w:r>
              <w:rPr>
                <w:color w:val="1A1A2E"/>
                <w:sz w:val="20"/>
                <w:szCs w:val="20"/>
              </w:rPr>
              <w:t>Emerging opportunity</w:t>
            </w:r>
          </w:p>
        </w:tc>
      </w:tr>
      <w:tr w:rsidR="00153118" w14:paraId="7D566118" w14:textId="77777777" w:rsidTr="00892054">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569B91AF" w14:textId="77777777" w:rsidR="00153118" w:rsidRDefault="00153118" w:rsidP="00892054">
            <w:r>
              <w:rPr>
                <w:color w:val="1A1A2E"/>
                <w:sz w:val="20"/>
                <w:szCs w:val="20"/>
              </w:rPr>
              <w:t>Canada</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2930BBC5" w14:textId="77777777" w:rsidR="00153118" w:rsidRDefault="00153118" w:rsidP="00892054">
            <w:r>
              <w:rPr>
                <w:color w:val="1A1A2E"/>
                <w:sz w:val="20"/>
                <w:szCs w:val="20"/>
              </w:rPr>
              <w:t>$4M</w:t>
            </w:r>
          </w:p>
        </w:tc>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4DA03C33" w14:textId="77777777" w:rsidR="00153118" w:rsidRDefault="00153118" w:rsidP="00892054">
            <w:r>
              <w:rPr>
                <w:color w:val="1A1A2E"/>
                <w:sz w:val="20"/>
                <w:szCs w:val="20"/>
              </w:rPr>
              <w:t>4%</w:t>
            </w:r>
          </w:p>
        </w:tc>
        <w:tc>
          <w:tcPr>
            <w:tcW w:w="286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20" w:type="dxa"/>
              <w:bottom w:w="80" w:type="dxa"/>
              <w:right w:w="120" w:type="dxa"/>
            </w:tcMar>
          </w:tcPr>
          <w:p w14:paraId="17323CE2" w14:textId="77777777" w:rsidR="00153118" w:rsidRDefault="00153118" w:rsidP="00892054">
            <w:r>
              <w:rPr>
                <w:color w:val="1A1A2E"/>
                <w:sz w:val="20"/>
                <w:szCs w:val="20"/>
              </w:rPr>
              <w:t>Underperforming vs potential</w:t>
            </w:r>
          </w:p>
        </w:tc>
      </w:tr>
    </w:tbl>
    <w:p w14:paraId="75D7E25B" w14:textId="77777777" w:rsidR="00153118" w:rsidRDefault="00153118" w:rsidP="00153118"/>
    <w:p w14:paraId="7613BB03" w14:textId="121EB73D" w:rsidR="00153118" w:rsidRDefault="00153118" w:rsidP="00153118">
      <w:pPr>
        <w:spacing w:before="80" w:after="80"/>
      </w:pPr>
      <w:r>
        <w:rPr>
          <w:color w:val="1A1A2E"/>
        </w:rPr>
        <w:t xml:space="preserve">The United States and Australia combined account for 62% of total revenue. While this concentration reflects strong market penetration in these regions, it creates dependency risk. A strategic expansion into Germany and France </w:t>
      </w:r>
      <w:r w:rsidR="0002606B">
        <w:rPr>
          <w:color w:val="1A1A2E"/>
        </w:rPr>
        <w:t>that are</w:t>
      </w:r>
      <w:r>
        <w:rPr>
          <w:color w:val="1A1A2E"/>
        </w:rPr>
        <w:t xml:space="preserve"> currently underperforming relative to their market size could diversify the revenue base and reduce geographic risk.</w:t>
      </w:r>
    </w:p>
    <w:p w14:paraId="6DFA48F7" w14:textId="77777777" w:rsidR="00153118" w:rsidRDefault="00153118" w:rsidP="00153118"/>
    <w:p w14:paraId="35CE14B5" w14:textId="77777777" w:rsidR="00153118" w:rsidRDefault="00153118" w:rsidP="00153118">
      <w:pPr>
        <w:pStyle w:val="Heading2"/>
      </w:pPr>
      <w:r>
        <w:rPr>
          <w:rFonts w:ascii="Arial" w:eastAsia="Arial" w:hAnsi="Arial" w:cs="Arial"/>
          <w:b/>
          <w:bCs/>
          <w:color w:val="004D40"/>
          <w:sz w:val="24"/>
          <w:szCs w:val="24"/>
        </w:rPr>
        <w:t>6.1 State-Level Profitability</w:t>
      </w:r>
    </w:p>
    <w:p w14:paraId="3DFD29AA" w14:textId="77777777" w:rsidR="00153118" w:rsidRDefault="00153118" w:rsidP="00153118">
      <w:pPr>
        <w:spacing w:before="80" w:after="80"/>
      </w:pPr>
      <w:r>
        <w:rPr>
          <w:color w:val="1A1A2E"/>
        </w:rPr>
        <w:t>Within countries, profit is further concentrated at the state level. The top five most profitable states account for a disproportionate share of total profit:</w:t>
      </w:r>
    </w:p>
    <w:p w14:paraId="3434244B" w14:textId="77777777" w:rsidR="00153118" w:rsidRDefault="00153118" w:rsidP="00153118"/>
    <w:p w14:paraId="4F611A4D" w14:textId="2AFDBD9E" w:rsidR="00153118" w:rsidRDefault="00153118" w:rsidP="00153118">
      <w:pPr>
        <w:pStyle w:val="ListParagraph"/>
        <w:numPr>
          <w:ilvl w:val="0"/>
          <w:numId w:val="1"/>
        </w:numPr>
        <w:spacing w:before="60" w:after="60"/>
        <w:contextualSpacing w:val="0"/>
      </w:pPr>
      <w:r>
        <w:rPr>
          <w:color w:val="1A1A2E"/>
        </w:rPr>
        <w:t xml:space="preserve">California: $7.7M profit </w:t>
      </w:r>
      <w:r w:rsidR="0002606B">
        <w:rPr>
          <w:color w:val="1A1A2E"/>
        </w:rPr>
        <w:t xml:space="preserve">- </w:t>
      </w:r>
      <w:r>
        <w:rPr>
          <w:color w:val="1A1A2E"/>
        </w:rPr>
        <w:t>leads all states by a significant margin</w:t>
      </w:r>
    </w:p>
    <w:p w14:paraId="5B3AD9A2" w14:textId="4F539A2A" w:rsidR="00153118" w:rsidRDefault="00153118" w:rsidP="00153118">
      <w:pPr>
        <w:pStyle w:val="ListParagraph"/>
        <w:numPr>
          <w:ilvl w:val="0"/>
          <w:numId w:val="1"/>
        </w:numPr>
        <w:spacing w:before="60" w:after="60"/>
        <w:contextualSpacing w:val="0"/>
      </w:pPr>
      <w:r>
        <w:rPr>
          <w:color w:val="1A1A2E"/>
        </w:rPr>
        <w:t xml:space="preserve">England: $4.4M </w:t>
      </w:r>
      <w:r w:rsidR="0002606B">
        <w:rPr>
          <w:color w:val="1A1A2E"/>
        </w:rPr>
        <w:t xml:space="preserve">- </w:t>
      </w:r>
      <w:r>
        <w:rPr>
          <w:color w:val="1A1A2E"/>
        </w:rPr>
        <w:t>strongest European contributor</w:t>
      </w:r>
    </w:p>
    <w:p w14:paraId="7BBBF7A3" w14:textId="76FD7947" w:rsidR="00153118" w:rsidRDefault="00153118" w:rsidP="00153118">
      <w:pPr>
        <w:pStyle w:val="ListParagraph"/>
        <w:numPr>
          <w:ilvl w:val="0"/>
          <w:numId w:val="1"/>
        </w:numPr>
        <w:spacing w:before="60" w:after="60"/>
        <w:contextualSpacing w:val="0"/>
      </w:pPr>
      <w:r>
        <w:rPr>
          <w:color w:val="1A1A2E"/>
        </w:rPr>
        <w:t xml:space="preserve">British Columbia: $3.7M </w:t>
      </w:r>
      <w:r w:rsidR="0002606B">
        <w:rPr>
          <w:color w:val="1A1A2E"/>
        </w:rPr>
        <w:t>-</w:t>
      </w:r>
      <w:r>
        <w:rPr>
          <w:color w:val="1A1A2E"/>
        </w:rPr>
        <w:t xml:space="preserve"> top Canadian state</w:t>
      </w:r>
    </w:p>
    <w:p w14:paraId="7518159B" w14:textId="1110226E" w:rsidR="00153118" w:rsidRDefault="00153118" w:rsidP="00153118">
      <w:pPr>
        <w:pStyle w:val="ListParagraph"/>
        <w:numPr>
          <w:ilvl w:val="0"/>
          <w:numId w:val="1"/>
        </w:numPr>
        <w:spacing w:before="60" w:after="60"/>
        <w:contextualSpacing w:val="0"/>
      </w:pPr>
      <w:r>
        <w:rPr>
          <w:color w:val="1A1A2E"/>
        </w:rPr>
        <w:t xml:space="preserve">New South Wales: $3.1M </w:t>
      </w:r>
      <w:r w:rsidR="0002606B">
        <w:rPr>
          <w:color w:val="1A1A2E"/>
        </w:rPr>
        <w:t>-</w:t>
      </w:r>
      <w:r>
        <w:rPr>
          <w:color w:val="1A1A2E"/>
        </w:rPr>
        <w:t xml:space="preserve"> top Australian state</w:t>
      </w:r>
    </w:p>
    <w:p w14:paraId="3801E301" w14:textId="76E74AF0" w:rsidR="00153118" w:rsidRDefault="00153118" w:rsidP="00153118">
      <w:pPr>
        <w:pStyle w:val="ListParagraph"/>
        <w:numPr>
          <w:ilvl w:val="0"/>
          <w:numId w:val="1"/>
        </w:numPr>
        <w:spacing w:before="60" w:after="60"/>
        <w:contextualSpacing w:val="0"/>
      </w:pPr>
      <w:r>
        <w:rPr>
          <w:color w:val="1A1A2E"/>
        </w:rPr>
        <w:t xml:space="preserve">Washington: $2.0M </w:t>
      </w:r>
      <w:r w:rsidR="0002606B">
        <w:rPr>
          <w:color w:val="1A1A2E"/>
        </w:rPr>
        <w:t xml:space="preserve">- </w:t>
      </w:r>
      <w:r>
        <w:rPr>
          <w:color w:val="1A1A2E"/>
        </w:rPr>
        <w:t>second US state in the top five</w:t>
      </w:r>
    </w:p>
    <w:p w14:paraId="3B6E7568" w14:textId="77777777" w:rsidR="00153118" w:rsidRDefault="00153118" w:rsidP="00153118"/>
    <w:p w14:paraId="179ADAAB" w14:textId="77777777" w:rsidR="00153118" w:rsidRDefault="00153118" w:rsidP="00153118">
      <w:pPr>
        <w:pStyle w:val="Heading1"/>
      </w:pPr>
      <w:r>
        <w:rPr>
          <w:rFonts w:ascii="Arial" w:eastAsia="Arial" w:hAnsi="Arial" w:cs="Arial"/>
          <w:b/>
          <w:bCs/>
          <w:color w:val="00695C"/>
          <w:sz w:val="28"/>
          <w:szCs w:val="28"/>
        </w:rPr>
        <w:t>7. Customer Segment Analysis</w:t>
      </w:r>
    </w:p>
    <w:p w14:paraId="2AC39B54" w14:textId="77777777" w:rsidR="00153118" w:rsidRDefault="00153118" w:rsidP="00153118">
      <w:pPr>
        <w:pStyle w:val="Heading2"/>
      </w:pPr>
      <w:r>
        <w:rPr>
          <w:rFonts w:ascii="Arial" w:eastAsia="Arial" w:hAnsi="Arial" w:cs="Arial"/>
          <w:b/>
          <w:bCs/>
          <w:color w:val="004D40"/>
          <w:sz w:val="24"/>
          <w:szCs w:val="24"/>
        </w:rPr>
        <w:t>7.1 Revenue by Age Group</w:t>
      </w:r>
    </w:p>
    <w:p w14:paraId="2D2AAAC0" w14:textId="6B3AA3CD" w:rsidR="00153118" w:rsidRDefault="00153118" w:rsidP="00153118">
      <w:pPr>
        <w:spacing w:before="80" w:after="80"/>
      </w:pPr>
      <w:r>
        <w:rPr>
          <w:color w:val="1A1A2E"/>
        </w:rPr>
        <w:t>Adults aged 35 to 64 are the most valuable customer segment by a significant margin, generating $25M in revenue</w:t>
      </w:r>
      <w:r w:rsidR="0002606B">
        <w:rPr>
          <w:color w:val="1A1A2E"/>
        </w:rPr>
        <w:t xml:space="preserve">, </w:t>
      </w:r>
      <w:r>
        <w:rPr>
          <w:color w:val="1A1A2E"/>
        </w:rPr>
        <w:t>more than all other age groups combined. This demographic should be the primary focus of marketing and retention strategies.</w:t>
      </w:r>
    </w:p>
    <w:p w14:paraId="58E55B4B" w14:textId="77777777" w:rsidR="00153118" w:rsidRDefault="00153118" w:rsidP="00153118"/>
    <w:p w14:paraId="71EC3A63" w14:textId="2DE8C319" w:rsidR="00153118" w:rsidRDefault="00153118" w:rsidP="00153118">
      <w:pPr>
        <w:pStyle w:val="ListParagraph"/>
        <w:numPr>
          <w:ilvl w:val="0"/>
          <w:numId w:val="1"/>
        </w:numPr>
        <w:spacing w:before="60" w:after="60"/>
        <w:contextualSpacing w:val="0"/>
      </w:pPr>
      <w:r>
        <w:rPr>
          <w:color w:val="1A1A2E"/>
        </w:rPr>
        <w:t xml:space="preserve">Adults 35-64: $25M revenue </w:t>
      </w:r>
      <w:r w:rsidR="0002606B">
        <w:rPr>
          <w:color w:val="1A1A2E"/>
        </w:rPr>
        <w:t>-</w:t>
      </w:r>
      <w:r>
        <w:rPr>
          <w:color w:val="1A1A2E"/>
        </w:rPr>
        <w:t xml:space="preserve"> dominant segment, 50% of total</w:t>
      </w:r>
    </w:p>
    <w:p w14:paraId="0E88E89F" w14:textId="467FADEB" w:rsidR="00153118" w:rsidRDefault="00153118" w:rsidP="00153118">
      <w:pPr>
        <w:pStyle w:val="ListParagraph"/>
        <w:numPr>
          <w:ilvl w:val="0"/>
          <w:numId w:val="1"/>
        </w:numPr>
        <w:spacing w:before="60" w:after="60"/>
        <w:contextualSpacing w:val="0"/>
      </w:pPr>
      <w:r>
        <w:rPr>
          <w:color w:val="1A1A2E"/>
        </w:rPr>
        <w:t xml:space="preserve">Young Adults 25-34: $15M revenue </w:t>
      </w:r>
      <w:r w:rsidR="0002606B">
        <w:rPr>
          <w:color w:val="1A1A2E"/>
        </w:rPr>
        <w:t>-</w:t>
      </w:r>
      <w:r>
        <w:rPr>
          <w:color w:val="1A1A2E"/>
        </w:rPr>
        <w:t xml:space="preserve"> strong secondary segment</w:t>
      </w:r>
    </w:p>
    <w:p w14:paraId="3550CA98" w14:textId="69F5119B" w:rsidR="00153118" w:rsidRDefault="00153118" w:rsidP="00153118">
      <w:pPr>
        <w:pStyle w:val="ListParagraph"/>
        <w:numPr>
          <w:ilvl w:val="0"/>
          <w:numId w:val="1"/>
        </w:numPr>
        <w:spacing w:before="60" w:after="60"/>
        <w:contextualSpacing w:val="0"/>
      </w:pPr>
      <w:r>
        <w:rPr>
          <w:color w:val="1A1A2E"/>
        </w:rPr>
        <w:t xml:space="preserve">Youth under 25: $6M revenue </w:t>
      </w:r>
      <w:r w:rsidR="0002606B">
        <w:rPr>
          <w:color w:val="1A1A2E"/>
        </w:rPr>
        <w:t xml:space="preserve">- </w:t>
      </w:r>
      <w:r>
        <w:rPr>
          <w:color w:val="1A1A2E"/>
        </w:rPr>
        <w:t>growth opportunity with lower spend</w:t>
      </w:r>
    </w:p>
    <w:p w14:paraId="7778F0D9" w14:textId="2550049A" w:rsidR="00153118" w:rsidRDefault="00153118" w:rsidP="00153118">
      <w:pPr>
        <w:pStyle w:val="ListParagraph"/>
        <w:numPr>
          <w:ilvl w:val="0"/>
          <w:numId w:val="1"/>
        </w:numPr>
        <w:spacing w:before="60" w:after="60"/>
        <w:contextualSpacing w:val="0"/>
      </w:pPr>
      <w:r>
        <w:rPr>
          <w:color w:val="1A1A2E"/>
        </w:rPr>
        <w:t xml:space="preserve">Seniors 64+: $0.3M revenue </w:t>
      </w:r>
      <w:r w:rsidR="0002606B">
        <w:rPr>
          <w:color w:val="1A1A2E"/>
        </w:rPr>
        <w:t>-</w:t>
      </w:r>
      <w:r>
        <w:rPr>
          <w:color w:val="1A1A2E"/>
        </w:rPr>
        <w:t xml:space="preserve"> minimal contribution, niche market</w:t>
      </w:r>
    </w:p>
    <w:p w14:paraId="75BCA78B" w14:textId="77777777" w:rsidR="00153118" w:rsidRDefault="00153118" w:rsidP="00153118"/>
    <w:p w14:paraId="6174834B" w14:textId="77777777" w:rsidR="00153118" w:rsidRDefault="00153118" w:rsidP="00153118">
      <w:pPr>
        <w:pStyle w:val="Heading2"/>
      </w:pPr>
      <w:r>
        <w:rPr>
          <w:rFonts w:ascii="Arial" w:eastAsia="Arial" w:hAnsi="Arial" w:cs="Arial"/>
          <w:b/>
          <w:bCs/>
          <w:color w:val="004D40"/>
          <w:sz w:val="24"/>
          <w:szCs w:val="24"/>
        </w:rPr>
        <w:t>7.2 Revenue by Gender</w:t>
      </w:r>
    </w:p>
    <w:p w14:paraId="4DDDC191" w14:textId="77777777" w:rsidR="00153118" w:rsidRDefault="00153118" w:rsidP="00153118">
      <w:pPr>
        <w:spacing w:before="80" w:after="80"/>
      </w:pPr>
      <w:r>
        <w:rPr>
          <w:color w:val="1A1A2E"/>
        </w:rPr>
        <w:t>The gender split across all sales is remarkably balanced, with Male customers accounting for 51% of revenue at $43M and Female customers contributing 49% at $42M. This near-equal distribution suggests that the current product range and marketing approach is effectively gender-neutral, which is a positive indicator of broad market appeal.</w:t>
      </w:r>
    </w:p>
    <w:p w14:paraId="4F57B20A" w14:textId="77777777" w:rsidR="00153118" w:rsidRDefault="00153118" w:rsidP="00153118"/>
    <w:p w14:paraId="725605B8" w14:textId="77777777" w:rsidR="00153118" w:rsidRDefault="00153118" w:rsidP="00153118">
      <w:pPr>
        <w:pStyle w:val="Heading1"/>
      </w:pPr>
      <w:r>
        <w:rPr>
          <w:rFonts w:ascii="Arial" w:eastAsia="Arial" w:hAnsi="Arial" w:cs="Arial"/>
          <w:b/>
          <w:bCs/>
          <w:color w:val="00695C"/>
          <w:sz w:val="28"/>
          <w:szCs w:val="28"/>
        </w:rPr>
        <w:t>8. Key Insights</w:t>
      </w:r>
    </w:p>
    <w:p w14:paraId="692646BF" w14:textId="5DFEA56C" w:rsidR="00153118" w:rsidRDefault="00153118" w:rsidP="00153118">
      <w:pPr>
        <w:pStyle w:val="ListParagraph"/>
        <w:numPr>
          <w:ilvl w:val="0"/>
          <w:numId w:val="1"/>
        </w:numPr>
        <w:spacing w:before="60" w:after="60"/>
        <w:contextualSpacing w:val="0"/>
      </w:pPr>
      <w:r>
        <w:rPr>
          <w:b/>
          <w:bCs/>
          <w:color w:val="1A1A2E"/>
        </w:rPr>
        <w:t>Revenue peaked in 2015 at $22.3M</w:t>
      </w:r>
      <w:r w:rsidR="0002606B">
        <w:rPr>
          <w:b/>
          <w:bCs/>
          <w:color w:val="1A1A2E"/>
        </w:rPr>
        <w:t>,</w:t>
      </w:r>
      <w:r>
        <w:rPr>
          <w:b/>
          <w:bCs/>
          <w:color w:val="1A1A2E"/>
        </w:rPr>
        <w:t xml:space="preserve"> a 121% increase from 2011</w:t>
      </w:r>
      <w:r w:rsidR="0002606B">
        <w:rPr>
          <w:b/>
          <w:bCs/>
          <w:color w:val="1A1A2E"/>
        </w:rPr>
        <w:t xml:space="preserve"> </w:t>
      </w:r>
      <w:r>
        <w:rPr>
          <w:b/>
          <w:bCs/>
          <w:color w:val="1A1A2E"/>
        </w:rPr>
        <w:t>before declining in 2016, suggesting market saturation or competitive pressure requiring strategic response.</w:t>
      </w:r>
    </w:p>
    <w:p w14:paraId="7C750498" w14:textId="77777777" w:rsidR="00153118" w:rsidRDefault="00153118" w:rsidP="00153118"/>
    <w:p w14:paraId="303E3B0C" w14:textId="43C00D40" w:rsidR="00153118" w:rsidRDefault="00153118" w:rsidP="00153118">
      <w:pPr>
        <w:pStyle w:val="ListParagraph"/>
        <w:numPr>
          <w:ilvl w:val="0"/>
          <w:numId w:val="1"/>
        </w:numPr>
        <w:spacing w:before="60" w:after="60"/>
        <w:contextualSpacing w:val="0"/>
      </w:pPr>
      <w:r>
        <w:rPr>
          <w:b/>
          <w:bCs/>
          <w:color w:val="1A1A2E"/>
        </w:rPr>
        <w:t xml:space="preserve">Bikes generate 69% of revenue but carry the highest cost. Accessories deliver superior profit margins at 47% despite lower volume </w:t>
      </w:r>
      <w:r w:rsidR="0002606B">
        <w:rPr>
          <w:b/>
          <w:bCs/>
          <w:color w:val="1A1A2E"/>
        </w:rPr>
        <w:t xml:space="preserve">- </w:t>
      </w:r>
      <w:r>
        <w:rPr>
          <w:b/>
          <w:bCs/>
          <w:color w:val="1A1A2E"/>
        </w:rPr>
        <w:t>a clear strategic growth opportunity.</w:t>
      </w:r>
    </w:p>
    <w:p w14:paraId="5E6C10B3" w14:textId="77777777" w:rsidR="00153118" w:rsidRDefault="00153118" w:rsidP="00153118"/>
    <w:p w14:paraId="72C99EF5" w14:textId="77777777" w:rsidR="00153118" w:rsidRDefault="00153118" w:rsidP="00153118">
      <w:pPr>
        <w:pStyle w:val="ListParagraph"/>
        <w:numPr>
          <w:ilvl w:val="0"/>
          <w:numId w:val="1"/>
        </w:numPr>
        <w:spacing w:before="60" w:after="60"/>
        <w:contextualSpacing w:val="0"/>
      </w:pPr>
      <w:r>
        <w:rPr>
          <w:b/>
          <w:bCs/>
          <w:color w:val="1A1A2E"/>
        </w:rPr>
        <w:t>The United States accounts for 37% of total revenue creating geographic concentration risk. Expanding in Germany and France could diversify the revenue base significantly.</w:t>
      </w:r>
    </w:p>
    <w:p w14:paraId="3BE4077A" w14:textId="77777777" w:rsidR="00153118" w:rsidRDefault="00153118" w:rsidP="00153118"/>
    <w:p w14:paraId="35FFB182" w14:textId="77777777" w:rsidR="00153118" w:rsidRDefault="00153118" w:rsidP="00153118">
      <w:pPr>
        <w:pStyle w:val="ListParagraph"/>
        <w:numPr>
          <w:ilvl w:val="0"/>
          <w:numId w:val="1"/>
        </w:numPr>
        <w:spacing w:before="60" w:after="60"/>
        <w:contextualSpacing w:val="0"/>
      </w:pPr>
      <w:r>
        <w:rPr>
          <w:b/>
          <w:bCs/>
          <w:color w:val="1A1A2E"/>
        </w:rPr>
        <w:t>Adults aged 35-64 drive 50% of total revenue. Marketing investment should be heavily concentrated on retaining and growing this demographic.</w:t>
      </w:r>
    </w:p>
    <w:p w14:paraId="2D498811" w14:textId="77777777" w:rsidR="00153118" w:rsidRDefault="00153118" w:rsidP="00153118"/>
    <w:p w14:paraId="78F5C4B8" w14:textId="77777777" w:rsidR="00153118" w:rsidRDefault="00153118" w:rsidP="00153118">
      <w:pPr>
        <w:pStyle w:val="ListParagraph"/>
        <w:numPr>
          <w:ilvl w:val="0"/>
          <w:numId w:val="1"/>
        </w:numPr>
        <w:spacing w:before="60" w:after="60"/>
        <w:contextualSpacing w:val="0"/>
      </w:pPr>
      <w:r>
        <w:rPr>
          <w:b/>
          <w:bCs/>
          <w:color w:val="1A1A2E"/>
        </w:rPr>
        <w:t>Mid-year revenue peaks in May and June reveal a consistent seasonal pattern that should inform campaign timing and inventory planning.</w:t>
      </w:r>
    </w:p>
    <w:p w14:paraId="0788D12A" w14:textId="77777777" w:rsidR="00153118" w:rsidRDefault="00153118" w:rsidP="00153118"/>
    <w:p w14:paraId="26CCF7B9" w14:textId="1ADB5714" w:rsidR="00153118" w:rsidRDefault="00153118" w:rsidP="00153118">
      <w:pPr>
        <w:pStyle w:val="ListParagraph"/>
        <w:numPr>
          <w:ilvl w:val="0"/>
          <w:numId w:val="1"/>
        </w:numPr>
        <w:spacing w:before="60" w:after="60"/>
        <w:contextualSpacing w:val="0"/>
      </w:pPr>
      <w:r>
        <w:rPr>
          <w:b/>
          <w:bCs/>
          <w:color w:val="1A1A2E"/>
        </w:rPr>
        <w:lastRenderedPageBreak/>
        <w:t xml:space="preserve">California alone generates $7.7M in </w:t>
      </w:r>
      <w:r w:rsidR="0002606B">
        <w:rPr>
          <w:b/>
          <w:bCs/>
          <w:color w:val="1A1A2E"/>
        </w:rPr>
        <w:t>profit nearly</w:t>
      </w:r>
      <w:r>
        <w:rPr>
          <w:b/>
          <w:bCs/>
          <w:color w:val="1A1A2E"/>
        </w:rPr>
        <w:t xml:space="preserve"> double the second-placed state </w:t>
      </w:r>
      <w:r w:rsidR="0002606B">
        <w:rPr>
          <w:b/>
          <w:bCs/>
          <w:color w:val="1A1A2E"/>
        </w:rPr>
        <w:t>this</w:t>
      </w:r>
      <w:r>
        <w:rPr>
          <w:b/>
          <w:bCs/>
          <w:color w:val="1A1A2E"/>
        </w:rPr>
        <w:t xml:space="preserve"> indicat</w:t>
      </w:r>
      <w:r w:rsidR="0002606B">
        <w:rPr>
          <w:b/>
          <w:bCs/>
          <w:color w:val="1A1A2E"/>
        </w:rPr>
        <w:t>e o</w:t>
      </w:r>
      <w:r>
        <w:rPr>
          <w:b/>
          <w:bCs/>
          <w:color w:val="1A1A2E"/>
        </w:rPr>
        <w:t>ver-reliance on a single geographic market within the US.</w:t>
      </w:r>
    </w:p>
    <w:p w14:paraId="20484847" w14:textId="77777777" w:rsidR="00153118" w:rsidRDefault="00153118" w:rsidP="00153118"/>
    <w:p w14:paraId="10099DFE" w14:textId="77777777" w:rsidR="00153118" w:rsidRDefault="00153118" w:rsidP="00153118">
      <w:pPr>
        <w:pStyle w:val="Heading1"/>
      </w:pPr>
      <w:r>
        <w:rPr>
          <w:rFonts w:ascii="Arial" w:eastAsia="Arial" w:hAnsi="Arial" w:cs="Arial"/>
          <w:b/>
          <w:bCs/>
          <w:color w:val="00695C"/>
          <w:sz w:val="28"/>
          <w:szCs w:val="28"/>
        </w:rPr>
        <w:t>9. Recommendations</w:t>
      </w:r>
    </w:p>
    <w:p w14:paraId="5A800238" w14:textId="77777777" w:rsidR="00153118" w:rsidRDefault="00153118" w:rsidP="00153118">
      <w:pPr>
        <w:pStyle w:val="ListParagraph"/>
        <w:numPr>
          <w:ilvl w:val="0"/>
          <w:numId w:val="1"/>
        </w:numPr>
        <w:spacing w:before="60" w:after="60"/>
        <w:contextualSpacing w:val="0"/>
      </w:pPr>
      <w:r>
        <w:rPr>
          <w:color w:val="1A1A2E"/>
        </w:rPr>
        <w:t>Launch targeted May-June promotional campaigns to capitalise on the seasonal revenue peak</w:t>
      </w:r>
    </w:p>
    <w:p w14:paraId="7BE21314" w14:textId="18EE42BC" w:rsidR="00153118" w:rsidRDefault="00153118" w:rsidP="00153118">
      <w:pPr>
        <w:pStyle w:val="ListParagraph"/>
        <w:numPr>
          <w:ilvl w:val="0"/>
          <w:numId w:val="1"/>
        </w:numPr>
        <w:spacing w:before="60" w:after="60"/>
        <w:contextualSpacing w:val="0"/>
      </w:pPr>
      <w:r>
        <w:rPr>
          <w:color w:val="1A1A2E"/>
        </w:rPr>
        <w:t xml:space="preserve">Review 2016 revenue decline </w:t>
      </w:r>
      <w:r w:rsidR="00AA6D2F">
        <w:rPr>
          <w:color w:val="1A1A2E"/>
        </w:rPr>
        <w:t xml:space="preserve">and </w:t>
      </w:r>
      <w:r>
        <w:rPr>
          <w:color w:val="1A1A2E"/>
        </w:rPr>
        <w:t xml:space="preserve">identify root causes </w:t>
      </w:r>
      <w:r w:rsidR="00AA6D2F">
        <w:rPr>
          <w:color w:val="1A1A2E"/>
        </w:rPr>
        <w:t>to</w:t>
      </w:r>
      <w:r>
        <w:rPr>
          <w:color w:val="1A1A2E"/>
        </w:rPr>
        <w:t xml:space="preserve"> develop a recovery strategy</w:t>
      </w:r>
    </w:p>
    <w:p w14:paraId="2E40252F" w14:textId="72B413D4" w:rsidR="00153118" w:rsidRDefault="00153118" w:rsidP="00153118">
      <w:pPr>
        <w:pStyle w:val="ListParagraph"/>
        <w:numPr>
          <w:ilvl w:val="0"/>
          <w:numId w:val="1"/>
        </w:numPr>
        <w:spacing w:before="60" w:after="60"/>
        <w:contextualSpacing w:val="0"/>
      </w:pPr>
      <w:r>
        <w:rPr>
          <w:color w:val="1A1A2E"/>
        </w:rPr>
        <w:t>Audit California sales strategy to understand what is driving outperformance and replicate in other state</w:t>
      </w:r>
    </w:p>
    <w:p w14:paraId="6DDF456D" w14:textId="3B0A65C6" w:rsidR="00153118" w:rsidRDefault="00153118" w:rsidP="00153118">
      <w:pPr>
        <w:pStyle w:val="ListParagraph"/>
        <w:numPr>
          <w:ilvl w:val="0"/>
          <w:numId w:val="1"/>
        </w:numPr>
        <w:spacing w:before="60" w:after="60"/>
        <w:contextualSpacing w:val="0"/>
      </w:pPr>
      <w:r>
        <w:rPr>
          <w:color w:val="1A1A2E"/>
        </w:rPr>
        <w:t xml:space="preserve">Invest in growing the Accessories category </w:t>
      </w:r>
      <w:r w:rsidR="00AA6D2F">
        <w:rPr>
          <w:color w:val="1A1A2E"/>
        </w:rPr>
        <w:t>-</w:t>
      </w:r>
      <w:r>
        <w:rPr>
          <w:color w:val="1A1A2E"/>
        </w:rPr>
        <w:t xml:space="preserve"> higher margins with lower cost base</w:t>
      </w:r>
    </w:p>
    <w:p w14:paraId="29776022" w14:textId="77777777" w:rsidR="00153118" w:rsidRDefault="00153118" w:rsidP="00153118">
      <w:pPr>
        <w:pStyle w:val="ListParagraph"/>
        <w:numPr>
          <w:ilvl w:val="0"/>
          <w:numId w:val="1"/>
        </w:numPr>
        <w:spacing w:before="60" w:after="60"/>
        <w:contextualSpacing w:val="0"/>
      </w:pPr>
      <w:r>
        <w:rPr>
          <w:color w:val="1A1A2E"/>
        </w:rPr>
        <w:t>Develop targeted marketing campaigns for the Adults 35-64 segment to strengthen retention</w:t>
      </w:r>
    </w:p>
    <w:p w14:paraId="2D51C28F" w14:textId="77777777" w:rsidR="00AA6D2F" w:rsidRPr="00AA6D2F" w:rsidRDefault="00153118" w:rsidP="00AA6D2F">
      <w:pPr>
        <w:pStyle w:val="ListParagraph"/>
        <w:numPr>
          <w:ilvl w:val="0"/>
          <w:numId w:val="1"/>
        </w:numPr>
        <w:spacing w:before="60" w:after="60"/>
        <w:contextualSpacing w:val="0"/>
      </w:pPr>
      <w:r>
        <w:rPr>
          <w:color w:val="1A1A2E"/>
        </w:rPr>
        <w:t>Explore product bundling strategies combining Bikes with high-margin Accessories</w:t>
      </w:r>
    </w:p>
    <w:p w14:paraId="35F977A1" w14:textId="51FB35F4" w:rsidR="00153118" w:rsidRDefault="00153118" w:rsidP="00AA6D2F">
      <w:pPr>
        <w:pStyle w:val="ListParagraph"/>
        <w:numPr>
          <w:ilvl w:val="0"/>
          <w:numId w:val="1"/>
        </w:numPr>
        <w:spacing w:before="60" w:after="60"/>
        <w:contextualSpacing w:val="0"/>
      </w:pPr>
      <w:r w:rsidRPr="00AA6D2F">
        <w:rPr>
          <w:color w:val="1A1A2E"/>
        </w:rPr>
        <w:t>Develop a geographic expansion strategy targeting Germany and France to reduce US and Australia dependency</w:t>
      </w:r>
    </w:p>
    <w:p w14:paraId="3E6F18DB" w14:textId="69A7C8B1" w:rsidR="00153118" w:rsidRDefault="00153118" w:rsidP="00153118">
      <w:pPr>
        <w:pStyle w:val="ListParagraph"/>
        <w:numPr>
          <w:ilvl w:val="0"/>
          <w:numId w:val="1"/>
        </w:numPr>
        <w:spacing w:before="60" w:after="60"/>
        <w:contextualSpacing w:val="0"/>
      </w:pPr>
      <w:r>
        <w:rPr>
          <w:color w:val="1A1A2E"/>
        </w:rPr>
        <w:t>Investigate the Youth under 25</w:t>
      </w:r>
      <w:r w:rsidR="00AA6D2F">
        <w:rPr>
          <w:color w:val="1A1A2E"/>
        </w:rPr>
        <w:t xml:space="preserve"> segments</w:t>
      </w:r>
      <w:r>
        <w:rPr>
          <w:color w:val="1A1A2E"/>
        </w:rPr>
        <w:t xml:space="preserve"> for long-term customer acquisition opportunities</w:t>
      </w:r>
    </w:p>
    <w:p w14:paraId="47195A55" w14:textId="77777777" w:rsidR="00153118" w:rsidRDefault="00153118" w:rsidP="00153118">
      <w:pPr>
        <w:pStyle w:val="ListParagraph"/>
        <w:numPr>
          <w:ilvl w:val="0"/>
          <w:numId w:val="1"/>
        </w:numPr>
        <w:spacing w:before="60" w:after="60"/>
        <w:contextualSpacing w:val="0"/>
      </w:pPr>
      <w:r>
        <w:rPr>
          <w:color w:val="1A1A2E"/>
        </w:rPr>
        <w:t>Build a predictive sales model using historical seasonal trends to optimise inventory and pricing</w:t>
      </w:r>
    </w:p>
    <w:p w14:paraId="32AB4160" w14:textId="77777777" w:rsidR="00153118" w:rsidRDefault="00153118" w:rsidP="00153118"/>
    <w:p w14:paraId="6EF7D930" w14:textId="77777777" w:rsidR="00153118" w:rsidRDefault="00153118" w:rsidP="00153118">
      <w:pPr>
        <w:pStyle w:val="Heading1"/>
      </w:pPr>
      <w:r>
        <w:rPr>
          <w:rFonts w:ascii="Arial" w:eastAsia="Arial" w:hAnsi="Arial" w:cs="Arial"/>
          <w:b/>
          <w:bCs/>
          <w:color w:val="00695C"/>
          <w:sz w:val="28"/>
          <w:szCs w:val="28"/>
        </w:rPr>
        <w:t>10. Conclusion</w:t>
      </w:r>
    </w:p>
    <w:p w14:paraId="3553F40F" w14:textId="77777777" w:rsidR="00153118" w:rsidRDefault="00153118" w:rsidP="00153118">
      <w:pPr>
        <w:spacing w:before="80" w:after="80"/>
      </w:pPr>
      <w:r>
        <w:rPr>
          <w:color w:val="1A1A2E"/>
        </w:rPr>
        <w:t>This analysis demonstrates that the business has achieved strong revenue growth over the 2011 to 2016 period, with total revenue of $94.7M and a healthy profit margin of 38%. However, significant concentration risks exist across product categories, geographic markets, and customer segments that limit long-term resilience.</w:t>
      </w:r>
    </w:p>
    <w:p w14:paraId="70C6B365" w14:textId="77777777" w:rsidR="00153118" w:rsidRDefault="00153118" w:rsidP="00153118"/>
    <w:p w14:paraId="11DD22A1" w14:textId="77777777" w:rsidR="00153118" w:rsidRDefault="00153118" w:rsidP="00153118">
      <w:pPr>
        <w:spacing w:before="80" w:after="80"/>
      </w:pPr>
      <w:r>
        <w:rPr>
          <w:color w:val="1A1A2E"/>
        </w:rPr>
        <w:t>By prioritising the growth of the high-margin Accessories category, diversifying geographic presence beyond the United States and Australia, and capitalising on seasonal demand peaks, the business can improve profitability, reduce risk, and build a more sustainable revenue base.</w:t>
      </w:r>
    </w:p>
    <w:p w14:paraId="6B86348E" w14:textId="77777777" w:rsidR="00153118" w:rsidRDefault="00153118" w:rsidP="00153118"/>
    <w:p w14:paraId="169B2306" w14:textId="77777777" w:rsidR="00153118" w:rsidRDefault="00153118" w:rsidP="00153118">
      <w:pPr>
        <w:spacing w:before="80" w:after="80"/>
      </w:pPr>
      <w:r>
        <w:rPr>
          <w:color w:val="1A1A2E"/>
        </w:rPr>
        <w:t>This analysis was conducted using Microsoft Excel on a cleaned dataset of 112,036 transaction records derived from a raw dataset of 113,036 records. All findings are based on available data and the revenue recalculation performed during the data cleaning process.</w:t>
      </w:r>
    </w:p>
    <w:p w14:paraId="27958415" w14:textId="77777777" w:rsidR="00153118" w:rsidRDefault="00153118"/>
    <w:sectPr w:rsidR="00153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968FF"/>
    <w:multiLevelType w:val="hybridMultilevel"/>
    <w:tmpl w:val="A74A4822"/>
    <w:lvl w:ilvl="0" w:tplc="C0A8895C">
      <w:start w:val="1"/>
      <w:numFmt w:val="bullet"/>
      <w:lvlText w:val="•"/>
      <w:lvlJc w:val="left"/>
      <w:pPr>
        <w:ind w:left="720" w:hanging="360"/>
      </w:pPr>
    </w:lvl>
    <w:lvl w:ilvl="1" w:tplc="28FE0DFA">
      <w:numFmt w:val="decimal"/>
      <w:lvlText w:val=""/>
      <w:lvlJc w:val="left"/>
    </w:lvl>
    <w:lvl w:ilvl="2" w:tplc="7012E01C">
      <w:numFmt w:val="decimal"/>
      <w:lvlText w:val=""/>
      <w:lvlJc w:val="left"/>
    </w:lvl>
    <w:lvl w:ilvl="3" w:tplc="102CAE98">
      <w:numFmt w:val="decimal"/>
      <w:lvlText w:val=""/>
      <w:lvlJc w:val="left"/>
    </w:lvl>
    <w:lvl w:ilvl="4" w:tplc="B26C5A2C">
      <w:numFmt w:val="decimal"/>
      <w:lvlText w:val=""/>
      <w:lvlJc w:val="left"/>
    </w:lvl>
    <w:lvl w:ilvl="5" w:tplc="AD147172">
      <w:numFmt w:val="decimal"/>
      <w:lvlText w:val=""/>
      <w:lvlJc w:val="left"/>
    </w:lvl>
    <w:lvl w:ilvl="6" w:tplc="A56001BE">
      <w:numFmt w:val="decimal"/>
      <w:lvlText w:val=""/>
      <w:lvlJc w:val="left"/>
    </w:lvl>
    <w:lvl w:ilvl="7" w:tplc="55227946">
      <w:numFmt w:val="decimal"/>
      <w:lvlText w:val=""/>
      <w:lvlJc w:val="left"/>
    </w:lvl>
    <w:lvl w:ilvl="8" w:tplc="DA78A542">
      <w:numFmt w:val="decimal"/>
      <w:lvlText w:val=""/>
      <w:lvlJc w:val="left"/>
    </w:lvl>
  </w:abstractNum>
  <w:num w:numId="1" w16cid:durableId="1628466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118"/>
    <w:rsid w:val="0002606B"/>
    <w:rsid w:val="00153118"/>
    <w:rsid w:val="003E4280"/>
    <w:rsid w:val="00AA6D2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2B89"/>
  <w15:chartTrackingRefBased/>
  <w15:docId w15:val="{456CA3C9-D5BC-4063-BD01-23BE08F41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118"/>
    <w:pPr>
      <w:spacing w:after="0" w:line="240" w:lineRule="auto"/>
    </w:pPr>
    <w:rPr>
      <w:rFonts w:ascii="Arial" w:eastAsia="Arial" w:hAnsi="Arial" w:cs="Arial"/>
      <w:kern w:val="0"/>
      <w:sz w:val="22"/>
      <w:szCs w:val="22"/>
      <w:lang w:eastAsia="en-NG"/>
      <w14:ligatures w14:val="none"/>
    </w:rPr>
  </w:style>
  <w:style w:type="paragraph" w:styleId="Heading1">
    <w:name w:val="heading 1"/>
    <w:basedOn w:val="Normal"/>
    <w:next w:val="Normal"/>
    <w:link w:val="Heading1Char"/>
    <w:uiPriority w:val="9"/>
    <w:qFormat/>
    <w:rsid w:val="00153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1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1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1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1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118"/>
    <w:rPr>
      <w:rFonts w:eastAsiaTheme="majorEastAsia" w:cstheme="majorBidi"/>
      <w:color w:val="272727" w:themeColor="text1" w:themeTint="D8"/>
    </w:rPr>
  </w:style>
  <w:style w:type="paragraph" w:styleId="Title">
    <w:name w:val="Title"/>
    <w:basedOn w:val="Normal"/>
    <w:next w:val="Normal"/>
    <w:link w:val="TitleChar"/>
    <w:uiPriority w:val="10"/>
    <w:qFormat/>
    <w:rsid w:val="001531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118"/>
    <w:pPr>
      <w:spacing w:before="160"/>
      <w:jc w:val="center"/>
    </w:pPr>
    <w:rPr>
      <w:i/>
      <w:iCs/>
      <w:color w:val="404040" w:themeColor="text1" w:themeTint="BF"/>
    </w:rPr>
  </w:style>
  <w:style w:type="character" w:customStyle="1" w:styleId="QuoteChar">
    <w:name w:val="Quote Char"/>
    <w:basedOn w:val="DefaultParagraphFont"/>
    <w:link w:val="Quote"/>
    <w:uiPriority w:val="29"/>
    <w:rsid w:val="00153118"/>
    <w:rPr>
      <w:i/>
      <w:iCs/>
      <w:color w:val="404040" w:themeColor="text1" w:themeTint="BF"/>
    </w:rPr>
  </w:style>
  <w:style w:type="paragraph" w:styleId="ListParagraph">
    <w:name w:val="List Paragraph"/>
    <w:basedOn w:val="Normal"/>
    <w:qFormat/>
    <w:rsid w:val="00153118"/>
    <w:pPr>
      <w:ind w:left="720"/>
      <w:contextualSpacing/>
    </w:pPr>
  </w:style>
  <w:style w:type="character" w:styleId="IntenseEmphasis">
    <w:name w:val="Intense Emphasis"/>
    <w:basedOn w:val="DefaultParagraphFont"/>
    <w:uiPriority w:val="21"/>
    <w:qFormat/>
    <w:rsid w:val="00153118"/>
    <w:rPr>
      <w:i/>
      <w:iCs/>
      <w:color w:val="0F4761" w:themeColor="accent1" w:themeShade="BF"/>
    </w:rPr>
  </w:style>
  <w:style w:type="paragraph" w:styleId="IntenseQuote">
    <w:name w:val="Intense Quote"/>
    <w:basedOn w:val="Normal"/>
    <w:next w:val="Normal"/>
    <w:link w:val="IntenseQuoteChar"/>
    <w:uiPriority w:val="30"/>
    <w:qFormat/>
    <w:rsid w:val="00153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118"/>
    <w:rPr>
      <w:i/>
      <w:iCs/>
      <w:color w:val="0F4761" w:themeColor="accent1" w:themeShade="BF"/>
    </w:rPr>
  </w:style>
  <w:style w:type="character" w:styleId="IntenseReference">
    <w:name w:val="Intense Reference"/>
    <w:basedOn w:val="DefaultParagraphFont"/>
    <w:uiPriority w:val="32"/>
    <w:qFormat/>
    <w:rsid w:val="001531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Odunola Olatunji</dc:creator>
  <cp:keywords/>
  <dc:description/>
  <cp:lastModifiedBy>Odunola Olatunji</cp:lastModifiedBy>
  <cp:revision>1</cp:revision>
  <dcterms:created xsi:type="dcterms:W3CDTF">2026-03-09T21:58:00Z</dcterms:created>
  <dcterms:modified xsi:type="dcterms:W3CDTF">2026-03-09T22:26:00Z</dcterms:modified>
</cp:coreProperties>
</file>