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186095A5" w:rsidR="00B0261A" w:rsidRDefault="00B0261A" w:rsidP="00B0261A">
      <w:pPr>
        <w:pStyle w:val="Heading1"/>
      </w:pPr>
      <w:r>
        <w:t>AUST</w:t>
      </w:r>
      <w:r w:rsidR="00106D54">
        <w:t>RIA</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w:t>
                      </w:r>
                      <w:r>
                        <w:t>into</w:t>
                      </w:r>
                      <w:r>
                        <w:t xml:space="preserve">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574" w:type="pct"/>
        <w:tblLook w:val="0420" w:firstRow="1" w:lastRow="0" w:firstColumn="0" w:lastColumn="0" w:noHBand="0" w:noVBand="1"/>
      </w:tblPr>
      <w:tblGrid>
        <w:gridCol w:w="2890"/>
        <w:gridCol w:w="5367"/>
      </w:tblGrid>
      <w:tr w:rsidR="00616A18" w:rsidRPr="0090630C" w14:paraId="7AA5E0AC" w14:textId="77777777" w:rsidTr="00F63F5B">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06593ACA" w14:textId="77777777" w:rsidR="00616A18" w:rsidRPr="0090630C" w:rsidRDefault="00616A18" w:rsidP="0090630C">
            <w:pPr>
              <w:pStyle w:val="TableRow"/>
              <w:spacing w:line="240" w:lineRule="auto"/>
              <w:jc w:val="left"/>
              <w:rPr>
                <w:sz w:val="20"/>
              </w:rPr>
            </w:pPr>
            <w:r w:rsidRPr="0090630C">
              <w:rPr>
                <w:sz w:val="20"/>
              </w:rPr>
              <w:t xml:space="preserve">Population and territory </w:t>
            </w:r>
          </w:p>
        </w:tc>
        <w:tc>
          <w:tcPr>
            <w:tcW w:w="3250" w:type="pct"/>
          </w:tcPr>
          <w:p w14:paraId="2830FEA6" w14:textId="77777777" w:rsidR="00616A18" w:rsidRPr="0090630C" w:rsidRDefault="00616A18" w:rsidP="0090630C">
            <w:pPr>
              <w:pStyle w:val="TableRow"/>
              <w:spacing w:line="240" w:lineRule="auto"/>
              <w:jc w:val="left"/>
              <w:rPr>
                <w:sz w:val="20"/>
              </w:rPr>
            </w:pPr>
            <w:bookmarkStart w:id="0" w:name="Text3"/>
            <w:r w:rsidRPr="0090630C">
              <w:rPr>
                <w:rFonts w:cs="Arial"/>
                <w:sz w:val="20"/>
              </w:rPr>
              <w:t xml:space="preserve">8,979,894 inhabitants (01/01/2022), </w:t>
            </w:r>
            <w:r w:rsidRPr="0090630C">
              <w:rPr>
                <w:rStyle w:val="hgkelc"/>
                <w:bCs/>
                <w:sz w:val="20"/>
              </w:rPr>
              <w:t>83,878 km²</w:t>
            </w:r>
            <w:bookmarkEnd w:id="0"/>
            <w:r w:rsidRPr="0090630C">
              <w:rPr>
                <w:rFonts w:cs="Arial"/>
                <w:sz w:val="20"/>
              </w:rPr>
              <w:t xml:space="preserve"> </w:t>
            </w:r>
          </w:p>
        </w:tc>
      </w:tr>
      <w:tr w:rsidR="00616A18" w:rsidRPr="0090630C" w14:paraId="5CD94EE7" w14:textId="77777777" w:rsidTr="00F63F5B">
        <w:trPr>
          <w:trHeight w:val="238"/>
        </w:trPr>
        <w:tc>
          <w:tcPr>
            <w:tcW w:w="1750" w:type="pct"/>
          </w:tcPr>
          <w:p w14:paraId="48A9136E" w14:textId="77777777" w:rsidR="00616A18" w:rsidRPr="0090630C" w:rsidRDefault="00616A18" w:rsidP="0090630C">
            <w:pPr>
              <w:pStyle w:val="TableRow"/>
              <w:spacing w:line="240" w:lineRule="auto"/>
              <w:jc w:val="left"/>
              <w:rPr>
                <w:sz w:val="20"/>
              </w:rPr>
            </w:pPr>
            <w:r w:rsidRPr="0090630C">
              <w:rPr>
                <w:sz w:val="20"/>
              </w:rPr>
              <w:t xml:space="preserve">Administrative structure </w:t>
            </w:r>
            <w:r w:rsidRPr="0090630C">
              <w:rPr>
                <w:rFonts w:cs="Arial"/>
                <w:i/>
                <w:iCs/>
                <w:sz w:val="20"/>
              </w:rPr>
              <w:t>(unitary/federal)</w:t>
            </w:r>
          </w:p>
        </w:tc>
        <w:tc>
          <w:tcPr>
            <w:tcW w:w="3250" w:type="pct"/>
          </w:tcPr>
          <w:p w14:paraId="195B4100" w14:textId="77777777" w:rsidR="00616A18" w:rsidRPr="0090630C" w:rsidRDefault="00616A18" w:rsidP="0090630C">
            <w:pPr>
              <w:pStyle w:val="TableCell"/>
              <w:spacing w:line="240" w:lineRule="auto"/>
              <w:jc w:val="left"/>
              <w:rPr>
                <w:sz w:val="20"/>
                <w:szCs w:val="20"/>
              </w:rPr>
            </w:pPr>
            <w:r w:rsidRPr="0090630C">
              <w:rPr>
                <w:rFonts w:cs="Arial"/>
                <w:sz w:val="20"/>
                <w:szCs w:val="20"/>
              </w:rPr>
              <w:t xml:space="preserve">federal </w:t>
            </w:r>
          </w:p>
        </w:tc>
      </w:tr>
      <w:tr w:rsidR="00616A18" w:rsidRPr="0090630C" w14:paraId="349689BA" w14:textId="77777777" w:rsidTr="00F63F5B">
        <w:trPr>
          <w:trHeight w:val="238"/>
        </w:trPr>
        <w:tc>
          <w:tcPr>
            <w:tcW w:w="1750" w:type="pct"/>
          </w:tcPr>
          <w:p w14:paraId="17B4CCB6" w14:textId="77777777" w:rsidR="00616A18" w:rsidRPr="0090630C" w:rsidRDefault="00616A18" w:rsidP="0090630C">
            <w:pPr>
              <w:pStyle w:val="TableRow"/>
              <w:spacing w:line="240" w:lineRule="auto"/>
              <w:jc w:val="right"/>
              <w:rPr>
                <w:sz w:val="20"/>
              </w:rPr>
            </w:pPr>
            <w:r w:rsidRPr="0090630C">
              <w:rPr>
                <w:sz w:val="20"/>
              </w:rPr>
              <w:t xml:space="preserve">Regional or state-level governments </w:t>
            </w:r>
            <w:r w:rsidRPr="0090630C">
              <w:rPr>
                <w:i/>
                <w:iCs/>
                <w:sz w:val="20"/>
              </w:rPr>
              <w:t>(number)</w:t>
            </w:r>
          </w:p>
        </w:tc>
        <w:tc>
          <w:tcPr>
            <w:tcW w:w="3250" w:type="pct"/>
          </w:tcPr>
          <w:p w14:paraId="0E1E1EF6" w14:textId="77777777" w:rsidR="00616A18" w:rsidRPr="0090630C" w:rsidRDefault="00616A18" w:rsidP="0090630C">
            <w:pPr>
              <w:pStyle w:val="TableCell"/>
              <w:spacing w:line="240" w:lineRule="auto"/>
              <w:jc w:val="left"/>
              <w:rPr>
                <w:sz w:val="20"/>
                <w:szCs w:val="20"/>
              </w:rPr>
            </w:pPr>
            <w:r w:rsidRPr="0090630C">
              <w:rPr>
                <w:rFonts w:cs="Arial"/>
                <w:sz w:val="20"/>
                <w:szCs w:val="20"/>
              </w:rPr>
              <w:t>9 Länder (federal states)</w:t>
            </w:r>
          </w:p>
        </w:tc>
      </w:tr>
      <w:tr w:rsidR="00616A18" w:rsidRPr="0090630C" w14:paraId="3D1D40EB" w14:textId="77777777" w:rsidTr="00F63F5B">
        <w:trPr>
          <w:trHeight w:val="238"/>
        </w:trPr>
        <w:tc>
          <w:tcPr>
            <w:tcW w:w="1750" w:type="pct"/>
          </w:tcPr>
          <w:p w14:paraId="0E2E6D8E" w14:textId="77777777" w:rsidR="00616A18" w:rsidRPr="0090630C" w:rsidRDefault="00616A18" w:rsidP="0090630C">
            <w:pPr>
              <w:pStyle w:val="TableRow"/>
              <w:spacing w:line="240" w:lineRule="auto"/>
              <w:jc w:val="right"/>
              <w:rPr>
                <w:sz w:val="20"/>
              </w:rPr>
            </w:pPr>
            <w:r w:rsidRPr="0090630C">
              <w:rPr>
                <w:sz w:val="20"/>
              </w:rPr>
              <w:t xml:space="preserve">Intermediate-level governments </w:t>
            </w:r>
            <w:r w:rsidRPr="0090630C">
              <w:rPr>
                <w:i/>
                <w:iCs/>
                <w:sz w:val="20"/>
              </w:rPr>
              <w:t>(number)</w:t>
            </w:r>
          </w:p>
        </w:tc>
        <w:tc>
          <w:tcPr>
            <w:tcW w:w="3250" w:type="pct"/>
          </w:tcPr>
          <w:p w14:paraId="262D90EB" w14:textId="77777777" w:rsidR="00616A18" w:rsidRPr="0090630C" w:rsidRDefault="00616A18" w:rsidP="0090630C">
            <w:pPr>
              <w:pStyle w:val="TableCell"/>
              <w:spacing w:line="240" w:lineRule="auto"/>
              <w:jc w:val="left"/>
              <w:rPr>
                <w:sz w:val="20"/>
                <w:szCs w:val="20"/>
              </w:rPr>
            </w:pPr>
          </w:p>
        </w:tc>
      </w:tr>
      <w:tr w:rsidR="00616A18" w:rsidRPr="0090630C" w14:paraId="15B94A44" w14:textId="77777777" w:rsidTr="00F63F5B">
        <w:trPr>
          <w:trHeight w:val="238"/>
        </w:trPr>
        <w:tc>
          <w:tcPr>
            <w:tcW w:w="1750" w:type="pct"/>
          </w:tcPr>
          <w:p w14:paraId="26503E08" w14:textId="77777777" w:rsidR="00616A18" w:rsidRPr="0090630C" w:rsidRDefault="00616A18" w:rsidP="0090630C">
            <w:pPr>
              <w:pStyle w:val="TableRow"/>
              <w:spacing w:line="240" w:lineRule="auto"/>
              <w:jc w:val="right"/>
              <w:rPr>
                <w:sz w:val="20"/>
              </w:rPr>
            </w:pPr>
            <w:r w:rsidRPr="0090630C">
              <w:rPr>
                <w:sz w:val="20"/>
              </w:rPr>
              <w:t xml:space="preserve">Municipal-level governments </w:t>
            </w:r>
            <w:r w:rsidRPr="0090630C">
              <w:rPr>
                <w:i/>
                <w:iCs/>
                <w:sz w:val="20"/>
              </w:rPr>
              <w:t>(number)</w:t>
            </w:r>
          </w:p>
        </w:tc>
        <w:tc>
          <w:tcPr>
            <w:tcW w:w="3250" w:type="pct"/>
          </w:tcPr>
          <w:p w14:paraId="6F687765" w14:textId="77777777" w:rsidR="00616A18" w:rsidRPr="0090630C" w:rsidRDefault="00616A18" w:rsidP="0090630C">
            <w:pPr>
              <w:pStyle w:val="TableCell"/>
              <w:spacing w:line="240" w:lineRule="auto"/>
              <w:jc w:val="left"/>
              <w:rPr>
                <w:sz w:val="20"/>
                <w:szCs w:val="20"/>
              </w:rPr>
            </w:pPr>
            <w:r w:rsidRPr="0090630C">
              <w:rPr>
                <w:rFonts w:cs="Arial"/>
                <w:sz w:val="20"/>
                <w:szCs w:val="20"/>
              </w:rPr>
              <w:t>2,093 (2022)</w:t>
            </w:r>
          </w:p>
        </w:tc>
      </w:tr>
      <w:tr w:rsidR="00616A18" w:rsidRPr="0090630C" w14:paraId="33132530" w14:textId="77777777" w:rsidTr="00F63F5B">
        <w:trPr>
          <w:trHeight w:val="238"/>
        </w:trPr>
        <w:tc>
          <w:tcPr>
            <w:tcW w:w="1750" w:type="pct"/>
          </w:tcPr>
          <w:p w14:paraId="0062CDD3" w14:textId="77777777" w:rsidR="00616A18" w:rsidRPr="0090630C" w:rsidRDefault="00616A18" w:rsidP="0090630C">
            <w:pPr>
              <w:pStyle w:val="TableRow"/>
              <w:spacing w:line="240" w:lineRule="auto"/>
              <w:jc w:val="left"/>
              <w:rPr>
                <w:sz w:val="20"/>
              </w:rPr>
            </w:pPr>
            <w:r w:rsidRPr="0090630C">
              <w:rPr>
                <w:sz w:val="20"/>
              </w:rPr>
              <w:t>Share of subnational government in total expenditure/revenues (2021)</w:t>
            </w:r>
          </w:p>
          <w:p w14:paraId="697ED730" w14:textId="77777777" w:rsidR="00616A18" w:rsidRPr="0090630C" w:rsidRDefault="00616A18" w:rsidP="0090630C">
            <w:pPr>
              <w:pStyle w:val="TableRow"/>
              <w:spacing w:line="240" w:lineRule="auto"/>
              <w:jc w:val="left"/>
              <w:rPr>
                <w:sz w:val="20"/>
              </w:rPr>
            </w:pPr>
          </w:p>
          <w:p w14:paraId="42124DD7" w14:textId="77777777" w:rsidR="00616A18" w:rsidRPr="0090630C" w:rsidRDefault="00616A18" w:rsidP="0090630C">
            <w:pPr>
              <w:pStyle w:val="TableRow"/>
              <w:spacing w:line="240" w:lineRule="auto"/>
              <w:jc w:val="left"/>
              <w:rPr>
                <w:sz w:val="20"/>
              </w:rPr>
            </w:pPr>
          </w:p>
        </w:tc>
        <w:tc>
          <w:tcPr>
            <w:tcW w:w="3250" w:type="pct"/>
          </w:tcPr>
          <w:p w14:paraId="53410D91" w14:textId="77777777" w:rsidR="00616A18" w:rsidRPr="0090630C" w:rsidRDefault="00616A18" w:rsidP="0090630C">
            <w:pPr>
              <w:spacing w:line="240" w:lineRule="auto"/>
              <w:jc w:val="left"/>
              <w:rPr>
                <w:rFonts w:ascii="Arial Narrow" w:hAnsi="Arial Narrow"/>
              </w:rPr>
            </w:pPr>
            <w:r w:rsidRPr="0090630C">
              <w:rPr>
                <w:rFonts w:ascii="Arial Narrow" w:hAnsi="Arial Narrow"/>
              </w:rPr>
              <w:t>33.8% of total expenditure</w:t>
            </w:r>
          </w:p>
          <w:p w14:paraId="01B25310" w14:textId="77777777" w:rsidR="00616A18" w:rsidRPr="0090630C" w:rsidRDefault="00616A18" w:rsidP="0090630C">
            <w:pPr>
              <w:spacing w:line="240" w:lineRule="auto"/>
              <w:jc w:val="left"/>
              <w:rPr>
                <w:rFonts w:ascii="Arial Narrow" w:hAnsi="Arial Narrow"/>
              </w:rPr>
            </w:pPr>
            <w:r w:rsidRPr="0090630C">
              <w:rPr>
                <w:rFonts w:ascii="Arial Narrow" w:hAnsi="Arial Narrow"/>
              </w:rPr>
              <w:t>36.6% of total revenues</w:t>
            </w:r>
          </w:p>
          <w:p w14:paraId="3129490E" w14:textId="77777777" w:rsidR="00616A18" w:rsidRPr="0090630C" w:rsidRDefault="00616A18" w:rsidP="0090630C">
            <w:pPr>
              <w:spacing w:line="240" w:lineRule="auto"/>
              <w:jc w:val="left"/>
              <w:rPr>
                <w:rFonts w:ascii="Arial Narrow" w:hAnsi="Arial Narrow"/>
              </w:rPr>
            </w:pPr>
          </w:p>
          <w:p w14:paraId="17E4796E" w14:textId="77777777" w:rsidR="00616A18" w:rsidRPr="0090630C" w:rsidRDefault="00616A18" w:rsidP="0090630C">
            <w:pPr>
              <w:pStyle w:val="TableCell"/>
              <w:spacing w:line="240" w:lineRule="auto"/>
              <w:jc w:val="left"/>
              <w:rPr>
                <w:color w:val="auto"/>
                <w:sz w:val="20"/>
                <w:szCs w:val="20"/>
              </w:rPr>
            </w:pPr>
            <w:r w:rsidRPr="0090630C">
              <w:rPr>
                <w:sz w:val="20"/>
                <w:szCs w:val="20"/>
              </w:rPr>
              <w:t xml:space="preserve">[Source: </w:t>
            </w:r>
            <w:hyperlink r:id="rId10" w:history="1">
              <w:r w:rsidRPr="0090630C">
                <w:rPr>
                  <w:rStyle w:val="Hyperlink"/>
                  <w:sz w:val="20"/>
                  <w:szCs w:val="20"/>
                </w:rPr>
                <w:t>Subnational governments in OECD countries: key data, 2023 edition</w:t>
              </w:r>
            </w:hyperlink>
            <w:r w:rsidRPr="0090630C">
              <w:rPr>
                <w:sz w:val="20"/>
                <w:szCs w:val="20"/>
              </w:rPr>
              <w:t>]</w:t>
            </w:r>
          </w:p>
        </w:tc>
      </w:tr>
      <w:tr w:rsidR="00616A18" w:rsidRPr="0090630C" w14:paraId="0EE6934B" w14:textId="77777777" w:rsidTr="00F63F5B">
        <w:trPr>
          <w:trHeight w:val="238"/>
        </w:trPr>
        <w:tc>
          <w:tcPr>
            <w:tcW w:w="1750" w:type="pct"/>
          </w:tcPr>
          <w:p w14:paraId="00866D12" w14:textId="77777777" w:rsidR="00616A18" w:rsidRPr="0090630C" w:rsidRDefault="00616A18" w:rsidP="0090630C">
            <w:pPr>
              <w:pStyle w:val="TableRow"/>
              <w:spacing w:line="240" w:lineRule="auto"/>
              <w:jc w:val="left"/>
              <w:rPr>
                <w:sz w:val="20"/>
              </w:rPr>
            </w:pPr>
            <w:r w:rsidRPr="0090630C">
              <w:rPr>
                <w:sz w:val="20"/>
              </w:rPr>
              <w:t>Key regional development challenges</w:t>
            </w:r>
          </w:p>
        </w:tc>
        <w:tc>
          <w:tcPr>
            <w:tcW w:w="3250" w:type="pct"/>
          </w:tcPr>
          <w:p w14:paraId="4012FBB8" w14:textId="77777777" w:rsidR="00616A18" w:rsidRPr="0090630C" w:rsidRDefault="00616A18" w:rsidP="0090630C">
            <w:pPr>
              <w:pStyle w:val="TableCell"/>
              <w:spacing w:line="240" w:lineRule="auto"/>
              <w:jc w:val="left"/>
              <w:rPr>
                <w:sz w:val="20"/>
                <w:szCs w:val="20"/>
              </w:rPr>
            </w:pPr>
            <w:r w:rsidRPr="0090630C">
              <w:rPr>
                <w:sz w:val="20"/>
                <w:szCs w:val="20"/>
              </w:rPr>
              <w:t xml:space="preserve">• </w:t>
            </w:r>
            <w:r w:rsidRPr="0090630C">
              <w:rPr>
                <w:rFonts w:cs="Arial"/>
                <w:sz w:val="20"/>
                <w:szCs w:val="20"/>
              </w:rPr>
              <w:t xml:space="preserve">Access to public services for small-scaled municipal </w:t>
            </w:r>
            <w:proofErr w:type="gramStart"/>
            <w:r w:rsidRPr="0090630C">
              <w:rPr>
                <w:rFonts w:cs="Arial"/>
                <w:sz w:val="20"/>
                <w:szCs w:val="20"/>
              </w:rPr>
              <w:t>structure;</w:t>
            </w:r>
            <w:proofErr w:type="gramEnd"/>
            <w:r w:rsidRPr="0090630C">
              <w:rPr>
                <w:rFonts w:cs="Arial"/>
                <w:sz w:val="20"/>
                <w:szCs w:val="20"/>
              </w:rPr>
              <w:t xml:space="preserve"> </w:t>
            </w:r>
          </w:p>
          <w:p w14:paraId="334F93D1" w14:textId="77777777" w:rsidR="00616A18" w:rsidRPr="0090630C" w:rsidRDefault="00616A18" w:rsidP="0090630C">
            <w:pPr>
              <w:pStyle w:val="TableCell"/>
              <w:spacing w:line="240" w:lineRule="auto"/>
              <w:jc w:val="left"/>
              <w:rPr>
                <w:sz w:val="20"/>
                <w:szCs w:val="20"/>
              </w:rPr>
            </w:pPr>
            <w:r w:rsidRPr="0090630C">
              <w:rPr>
                <w:sz w:val="20"/>
                <w:szCs w:val="20"/>
              </w:rPr>
              <w:t xml:space="preserve">• Adapt to climate change requirements, particularly in most affected mountain regions. </w:t>
            </w:r>
          </w:p>
        </w:tc>
      </w:tr>
      <w:tr w:rsidR="00616A18" w:rsidRPr="0090630C" w14:paraId="44FBF578" w14:textId="77777777" w:rsidTr="00F63F5B">
        <w:trPr>
          <w:trHeight w:val="238"/>
        </w:trPr>
        <w:tc>
          <w:tcPr>
            <w:tcW w:w="1750" w:type="pct"/>
          </w:tcPr>
          <w:p w14:paraId="3EAD59F8" w14:textId="77777777" w:rsidR="00616A18" w:rsidRPr="0090630C" w:rsidRDefault="00616A18" w:rsidP="0090630C">
            <w:pPr>
              <w:pStyle w:val="TableRow"/>
              <w:spacing w:line="240" w:lineRule="auto"/>
              <w:jc w:val="left"/>
              <w:rPr>
                <w:sz w:val="20"/>
              </w:rPr>
            </w:pPr>
            <w:r w:rsidRPr="0090630C">
              <w:rPr>
                <w:sz w:val="20"/>
              </w:rPr>
              <w:t>Objectives of regional policy</w:t>
            </w:r>
          </w:p>
        </w:tc>
        <w:tc>
          <w:tcPr>
            <w:tcW w:w="3250" w:type="pct"/>
          </w:tcPr>
          <w:p w14:paraId="1B616200" w14:textId="77777777" w:rsidR="00616A18" w:rsidRPr="0090630C" w:rsidRDefault="00616A18" w:rsidP="0090630C">
            <w:pPr>
              <w:pStyle w:val="TableCell"/>
              <w:spacing w:line="240" w:lineRule="auto"/>
              <w:jc w:val="left"/>
              <w:rPr>
                <w:sz w:val="20"/>
                <w:szCs w:val="20"/>
              </w:rPr>
            </w:pPr>
            <w:r w:rsidRPr="0090630C">
              <w:rPr>
                <w:sz w:val="20"/>
                <w:szCs w:val="20"/>
              </w:rPr>
              <w:t xml:space="preserve">• Sparing use of resources at all scales, with a particular focus on spatial </w:t>
            </w:r>
            <w:proofErr w:type="gramStart"/>
            <w:r w:rsidRPr="0090630C">
              <w:rPr>
                <w:sz w:val="20"/>
                <w:szCs w:val="20"/>
              </w:rPr>
              <w:t>challenges;</w:t>
            </w:r>
            <w:proofErr w:type="gramEnd"/>
          </w:p>
          <w:p w14:paraId="01F96ADA" w14:textId="77777777" w:rsidR="00616A18" w:rsidRPr="0090630C" w:rsidRDefault="00616A18" w:rsidP="0090630C">
            <w:pPr>
              <w:pStyle w:val="TableCell"/>
              <w:spacing w:line="240" w:lineRule="auto"/>
              <w:jc w:val="left"/>
              <w:rPr>
                <w:sz w:val="20"/>
                <w:szCs w:val="20"/>
              </w:rPr>
            </w:pPr>
            <w:r w:rsidRPr="0090630C">
              <w:rPr>
                <w:sz w:val="20"/>
                <w:szCs w:val="20"/>
              </w:rPr>
              <w:t xml:space="preserve">• Strengthen social and spatial </w:t>
            </w:r>
            <w:proofErr w:type="gramStart"/>
            <w:r w:rsidRPr="0090630C">
              <w:rPr>
                <w:sz w:val="20"/>
                <w:szCs w:val="20"/>
              </w:rPr>
              <w:t>cohesion;</w:t>
            </w:r>
            <w:proofErr w:type="gramEnd"/>
            <w:r w:rsidRPr="0090630C">
              <w:rPr>
                <w:sz w:val="20"/>
                <w:szCs w:val="20"/>
              </w:rPr>
              <w:t xml:space="preserve"> </w:t>
            </w:r>
          </w:p>
          <w:p w14:paraId="5884E04C" w14:textId="77777777" w:rsidR="00616A18" w:rsidRPr="0090630C" w:rsidRDefault="00616A18" w:rsidP="0090630C">
            <w:pPr>
              <w:pStyle w:val="TableCell"/>
              <w:spacing w:line="240" w:lineRule="auto"/>
              <w:jc w:val="left"/>
              <w:rPr>
                <w:sz w:val="20"/>
                <w:szCs w:val="20"/>
              </w:rPr>
            </w:pPr>
            <w:r w:rsidRPr="0090630C">
              <w:rPr>
                <w:sz w:val="20"/>
                <w:szCs w:val="20"/>
              </w:rPr>
              <w:t xml:space="preserve">• Develop economic spaces and systems climate-friendly and </w:t>
            </w:r>
            <w:proofErr w:type="gramStart"/>
            <w:r w:rsidRPr="0090630C">
              <w:rPr>
                <w:sz w:val="20"/>
                <w:szCs w:val="20"/>
              </w:rPr>
              <w:t>sustainably;</w:t>
            </w:r>
            <w:proofErr w:type="gramEnd"/>
          </w:p>
          <w:p w14:paraId="7C9D98CD" w14:textId="77777777" w:rsidR="00616A18" w:rsidRPr="0090630C" w:rsidRDefault="00616A18" w:rsidP="0090630C">
            <w:pPr>
              <w:pStyle w:val="TableCell"/>
              <w:spacing w:line="240" w:lineRule="auto"/>
              <w:jc w:val="left"/>
              <w:rPr>
                <w:sz w:val="20"/>
                <w:szCs w:val="20"/>
              </w:rPr>
            </w:pPr>
            <w:r w:rsidRPr="0090630C">
              <w:rPr>
                <w:sz w:val="20"/>
                <w:szCs w:val="20"/>
              </w:rPr>
              <w:t xml:space="preserve">• Support vertical and horizontal governance procedures. </w:t>
            </w:r>
          </w:p>
        </w:tc>
      </w:tr>
      <w:tr w:rsidR="00616A18" w:rsidRPr="0090630C" w14:paraId="3F118DD9" w14:textId="77777777" w:rsidTr="00F63F5B">
        <w:trPr>
          <w:trHeight w:val="238"/>
        </w:trPr>
        <w:tc>
          <w:tcPr>
            <w:tcW w:w="1750" w:type="pct"/>
          </w:tcPr>
          <w:p w14:paraId="1104E652" w14:textId="77777777" w:rsidR="00616A18" w:rsidRPr="0090630C" w:rsidRDefault="00616A18" w:rsidP="0090630C">
            <w:pPr>
              <w:pStyle w:val="TableRow"/>
              <w:spacing w:line="240" w:lineRule="auto"/>
              <w:jc w:val="left"/>
              <w:rPr>
                <w:sz w:val="20"/>
              </w:rPr>
            </w:pPr>
            <w:r w:rsidRPr="0090630C">
              <w:rPr>
                <w:sz w:val="20"/>
              </w:rPr>
              <w:t>Legal/institutional framework for regional policy</w:t>
            </w:r>
          </w:p>
        </w:tc>
        <w:tc>
          <w:tcPr>
            <w:tcW w:w="3250" w:type="pct"/>
          </w:tcPr>
          <w:p w14:paraId="04049695" w14:textId="77777777" w:rsidR="00616A18" w:rsidRPr="0090630C" w:rsidRDefault="00616A18" w:rsidP="0090630C">
            <w:pPr>
              <w:pStyle w:val="TableCell"/>
              <w:spacing w:line="240" w:lineRule="auto"/>
              <w:jc w:val="left"/>
              <w:rPr>
                <w:sz w:val="20"/>
                <w:szCs w:val="20"/>
              </w:rPr>
            </w:pPr>
            <w:r w:rsidRPr="0090630C">
              <w:rPr>
                <w:sz w:val="20"/>
                <w:szCs w:val="20"/>
              </w:rPr>
              <w:t xml:space="preserve">Diverse national sectoral strategies with spatial impact; </w:t>
            </w:r>
            <w:r w:rsidRPr="0090630C">
              <w:rPr>
                <w:sz w:val="20"/>
                <w:szCs w:val="20"/>
              </w:rPr>
              <w:br/>
              <w:t xml:space="preserve">Treaty on the Functioning if the European Union, Art. 174; </w:t>
            </w:r>
            <w:r w:rsidRPr="0090630C">
              <w:rPr>
                <w:sz w:val="20"/>
                <w:szCs w:val="20"/>
              </w:rPr>
              <w:br/>
              <w:t>Objectives of EU Cohesion policy and EU’s CAP;</w:t>
            </w:r>
            <w:r w:rsidRPr="0090630C">
              <w:rPr>
                <w:sz w:val="20"/>
                <w:szCs w:val="20"/>
              </w:rPr>
              <w:br/>
              <w:t>Climate Action Plan 2.0 of the Alpine Convention (2020).</w:t>
            </w:r>
          </w:p>
        </w:tc>
      </w:tr>
      <w:tr w:rsidR="00616A18" w:rsidRPr="0090630C" w14:paraId="0C6049D5" w14:textId="77777777" w:rsidTr="00F63F5B">
        <w:trPr>
          <w:trHeight w:val="238"/>
        </w:trPr>
        <w:tc>
          <w:tcPr>
            <w:tcW w:w="1750" w:type="pct"/>
          </w:tcPr>
          <w:p w14:paraId="1F7B8EC2" w14:textId="77777777" w:rsidR="00616A18" w:rsidRPr="0090630C" w:rsidRDefault="00616A18" w:rsidP="0090630C">
            <w:pPr>
              <w:pStyle w:val="TableRow"/>
              <w:spacing w:line="240" w:lineRule="auto"/>
              <w:rPr>
                <w:sz w:val="20"/>
              </w:rPr>
            </w:pPr>
            <w:r w:rsidRPr="0090630C">
              <w:rPr>
                <w:sz w:val="20"/>
              </w:rPr>
              <w:t>Budget allocated to regional development (i.e., amount) and fiscal equalisation mechanisms between jurisdictions (if any)</w:t>
            </w:r>
          </w:p>
        </w:tc>
        <w:tc>
          <w:tcPr>
            <w:tcW w:w="3250" w:type="pct"/>
          </w:tcPr>
          <w:p w14:paraId="6220628B" w14:textId="77777777" w:rsidR="00616A18" w:rsidRPr="0090630C" w:rsidRDefault="00616A18" w:rsidP="0090630C">
            <w:pPr>
              <w:pStyle w:val="TableCell"/>
              <w:spacing w:line="240" w:lineRule="auto"/>
              <w:jc w:val="left"/>
              <w:rPr>
                <w:rFonts w:cs="Arial"/>
                <w:sz w:val="20"/>
                <w:szCs w:val="20"/>
              </w:rPr>
            </w:pPr>
            <w:r w:rsidRPr="0090630C">
              <w:rPr>
                <w:rFonts w:cs="Arial"/>
                <w:sz w:val="20"/>
                <w:szCs w:val="20"/>
              </w:rPr>
              <w:t>* Cohesion Policy Partnership Agreement 2021-2027: 1.3 bio. € of EU Structural Funds and 1.8 bio € of national co-financing.</w:t>
            </w:r>
          </w:p>
          <w:p w14:paraId="0F7165EF" w14:textId="77777777" w:rsidR="00616A18" w:rsidRPr="0090630C" w:rsidRDefault="00616A18" w:rsidP="0090630C">
            <w:pPr>
              <w:pStyle w:val="TableCell"/>
              <w:spacing w:line="240" w:lineRule="auto"/>
              <w:jc w:val="left"/>
              <w:rPr>
                <w:sz w:val="20"/>
                <w:szCs w:val="20"/>
              </w:rPr>
            </w:pPr>
            <w:r w:rsidRPr="0090630C">
              <w:rPr>
                <w:rFonts w:cs="Arial"/>
                <w:sz w:val="20"/>
                <w:szCs w:val="20"/>
              </w:rPr>
              <w:t xml:space="preserve">* 36.1 </w:t>
            </w:r>
            <w:proofErr w:type="gramStart"/>
            <w:r w:rsidRPr="0090630C">
              <w:rPr>
                <w:rFonts w:cs="Arial"/>
                <w:sz w:val="20"/>
                <w:szCs w:val="20"/>
              </w:rPr>
              <w:t>bio Euro</w:t>
            </w:r>
            <w:proofErr w:type="gramEnd"/>
            <w:r w:rsidRPr="0090630C">
              <w:rPr>
                <w:rFonts w:cs="Arial"/>
                <w:sz w:val="20"/>
                <w:szCs w:val="20"/>
              </w:rPr>
              <w:t xml:space="preserve"> (2020): Transfers from the federal government to states and municipalities are defined in the FAG, which distinguishes between general grants (quota allocation funds) and specific grants (to cover special needs or purposes). Based on Fiscal Constitutional Law providing for the Fiscal Equalization Law (</w:t>
            </w:r>
            <w:proofErr w:type="spellStart"/>
            <w:r w:rsidRPr="0090630C">
              <w:rPr>
                <w:i/>
                <w:iCs/>
                <w:sz w:val="20"/>
                <w:szCs w:val="20"/>
              </w:rPr>
              <w:t>Finanzausgleichsgesetz</w:t>
            </w:r>
            <w:proofErr w:type="spellEnd"/>
            <w:r w:rsidRPr="0090630C">
              <w:rPr>
                <w:sz w:val="20"/>
                <w:szCs w:val="20"/>
              </w:rPr>
              <w:t xml:space="preserve">). </w:t>
            </w:r>
          </w:p>
        </w:tc>
      </w:tr>
      <w:tr w:rsidR="00616A18" w:rsidRPr="0090630C" w14:paraId="4FD745A9" w14:textId="77777777" w:rsidTr="00F63F5B">
        <w:trPr>
          <w:trHeight w:val="238"/>
        </w:trPr>
        <w:tc>
          <w:tcPr>
            <w:tcW w:w="1750" w:type="pct"/>
          </w:tcPr>
          <w:p w14:paraId="64FD3935" w14:textId="77777777" w:rsidR="00616A18" w:rsidRPr="0090630C" w:rsidRDefault="00616A18" w:rsidP="0090630C">
            <w:pPr>
              <w:pStyle w:val="TableRow"/>
              <w:spacing w:line="240" w:lineRule="auto"/>
              <w:rPr>
                <w:sz w:val="20"/>
              </w:rPr>
            </w:pPr>
            <w:r w:rsidRPr="0090630C">
              <w:rPr>
                <w:sz w:val="20"/>
              </w:rPr>
              <w:t>National regional development policy framework</w:t>
            </w:r>
          </w:p>
        </w:tc>
        <w:tc>
          <w:tcPr>
            <w:tcW w:w="3250" w:type="pct"/>
          </w:tcPr>
          <w:p w14:paraId="6188955F" w14:textId="77777777" w:rsidR="00616A18" w:rsidRPr="0090630C" w:rsidRDefault="00616A18" w:rsidP="0090630C">
            <w:pPr>
              <w:pStyle w:val="TableCell"/>
              <w:spacing w:line="240" w:lineRule="auto"/>
              <w:jc w:val="left"/>
              <w:rPr>
                <w:sz w:val="20"/>
                <w:szCs w:val="20"/>
              </w:rPr>
            </w:pPr>
            <w:r w:rsidRPr="0090630C">
              <w:rPr>
                <w:sz w:val="20"/>
                <w:szCs w:val="20"/>
              </w:rPr>
              <w:t>The Partnership Agreement 2021-2027 for Austria covers the national ERDF programme and 14 INTERREG programmes (concerning territorial trans-national cooperation)</w:t>
            </w:r>
          </w:p>
        </w:tc>
      </w:tr>
      <w:tr w:rsidR="00616A18" w:rsidRPr="0090630C" w14:paraId="55BD7716" w14:textId="77777777" w:rsidTr="00F63F5B">
        <w:trPr>
          <w:trHeight w:val="238"/>
        </w:trPr>
        <w:tc>
          <w:tcPr>
            <w:tcW w:w="1750" w:type="pct"/>
          </w:tcPr>
          <w:p w14:paraId="109850AB" w14:textId="77777777" w:rsidR="00616A18" w:rsidRPr="0090630C" w:rsidRDefault="00616A18" w:rsidP="0090630C">
            <w:pPr>
              <w:pStyle w:val="TableRow"/>
              <w:spacing w:line="240" w:lineRule="auto"/>
              <w:jc w:val="left"/>
              <w:rPr>
                <w:sz w:val="20"/>
              </w:rPr>
            </w:pPr>
            <w:r w:rsidRPr="0090630C">
              <w:rPr>
                <w:sz w:val="20"/>
              </w:rPr>
              <w:t>Urban policy framework</w:t>
            </w:r>
          </w:p>
        </w:tc>
        <w:tc>
          <w:tcPr>
            <w:tcW w:w="3250" w:type="pct"/>
          </w:tcPr>
          <w:p w14:paraId="3E5B75A8" w14:textId="77777777" w:rsidR="00616A18" w:rsidRPr="0090630C" w:rsidRDefault="00616A18" w:rsidP="0090630C">
            <w:pPr>
              <w:pStyle w:val="TableCell"/>
              <w:spacing w:line="240" w:lineRule="auto"/>
              <w:jc w:val="left"/>
              <w:rPr>
                <w:sz w:val="20"/>
                <w:szCs w:val="20"/>
              </w:rPr>
            </w:pPr>
            <w:r w:rsidRPr="0090630C">
              <w:rPr>
                <w:rFonts w:cs="Arial"/>
                <w:sz w:val="20"/>
                <w:szCs w:val="20"/>
              </w:rPr>
              <w:t>No specific policy regulation, but challenges highlighted in ÖREK 2030 (summary, p.19f.).</w:t>
            </w:r>
          </w:p>
        </w:tc>
      </w:tr>
      <w:tr w:rsidR="00616A18" w:rsidRPr="0090630C" w14:paraId="230DED8A" w14:textId="77777777" w:rsidTr="00F63F5B">
        <w:trPr>
          <w:trHeight w:val="238"/>
        </w:trPr>
        <w:tc>
          <w:tcPr>
            <w:tcW w:w="1750" w:type="pct"/>
          </w:tcPr>
          <w:p w14:paraId="608E64A7" w14:textId="77777777" w:rsidR="00616A18" w:rsidRPr="0090630C" w:rsidRDefault="00616A18" w:rsidP="0090630C">
            <w:pPr>
              <w:pStyle w:val="TableRow"/>
              <w:spacing w:line="240" w:lineRule="auto"/>
              <w:jc w:val="left"/>
              <w:rPr>
                <w:sz w:val="20"/>
              </w:rPr>
            </w:pPr>
            <w:r w:rsidRPr="0090630C">
              <w:rPr>
                <w:sz w:val="20"/>
              </w:rPr>
              <w:t>Rural policy framework</w:t>
            </w:r>
          </w:p>
        </w:tc>
        <w:tc>
          <w:tcPr>
            <w:tcW w:w="3250" w:type="pct"/>
          </w:tcPr>
          <w:p w14:paraId="51B83674" w14:textId="77777777" w:rsidR="00616A18" w:rsidRPr="0090630C" w:rsidRDefault="00616A18" w:rsidP="0090630C">
            <w:pPr>
              <w:pStyle w:val="Default"/>
              <w:jc w:val="left"/>
              <w:rPr>
                <w:rFonts w:ascii="Arial Narrow" w:hAnsi="Arial Narrow"/>
                <w:sz w:val="20"/>
                <w:szCs w:val="20"/>
                <w:lang w:val="en-GB"/>
              </w:rPr>
            </w:pPr>
            <w:r w:rsidRPr="0090630C">
              <w:rPr>
                <w:rFonts w:ascii="Arial Narrow" w:hAnsi="Arial Narrow"/>
                <w:color w:val="000000" w:themeColor="text1"/>
                <w:sz w:val="20"/>
                <w:szCs w:val="20"/>
                <w:lang w:val="en-GB"/>
              </w:rPr>
              <w:t xml:space="preserve">CAP Strategic Plan 2023-2027 (Federal Ministry of Agriculture, Forestry, </w:t>
            </w:r>
            <w:proofErr w:type="gramStart"/>
            <w:r w:rsidRPr="0090630C">
              <w:rPr>
                <w:rFonts w:ascii="Arial Narrow" w:hAnsi="Arial Narrow"/>
                <w:color w:val="000000" w:themeColor="text1"/>
                <w:sz w:val="20"/>
                <w:szCs w:val="20"/>
                <w:lang w:val="en-GB"/>
              </w:rPr>
              <w:t>Regions</w:t>
            </w:r>
            <w:proofErr w:type="gramEnd"/>
            <w:r w:rsidRPr="0090630C">
              <w:rPr>
                <w:rFonts w:ascii="Arial Narrow" w:hAnsi="Arial Narrow"/>
                <w:color w:val="000000" w:themeColor="text1"/>
                <w:sz w:val="20"/>
                <w:szCs w:val="20"/>
                <w:lang w:val="en-GB"/>
              </w:rPr>
              <w:t xml:space="preserve"> and Water Management) </w:t>
            </w:r>
          </w:p>
        </w:tc>
      </w:tr>
      <w:tr w:rsidR="00616A18" w:rsidRPr="0090630C" w14:paraId="516F4451" w14:textId="77777777" w:rsidTr="00F63F5B">
        <w:trPr>
          <w:trHeight w:val="238"/>
        </w:trPr>
        <w:tc>
          <w:tcPr>
            <w:tcW w:w="1750" w:type="pct"/>
          </w:tcPr>
          <w:p w14:paraId="685E8219" w14:textId="77777777" w:rsidR="00616A18" w:rsidRPr="0090630C" w:rsidRDefault="00616A18" w:rsidP="0090630C">
            <w:pPr>
              <w:pStyle w:val="TableRow"/>
              <w:spacing w:line="240" w:lineRule="auto"/>
              <w:jc w:val="left"/>
              <w:rPr>
                <w:sz w:val="20"/>
              </w:rPr>
            </w:pPr>
            <w:r w:rsidRPr="0090630C">
              <w:rPr>
                <w:sz w:val="20"/>
              </w:rPr>
              <w:t>Major regional policy tools (e.g., funds, plans, policy initiatives, institutional agreements, etc.)</w:t>
            </w:r>
          </w:p>
        </w:tc>
        <w:tc>
          <w:tcPr>
            <w:tcW w:w="3250" w:type="pct"/>
          </w:tcPr>
          <w:p w14:paraId="0CB1F76A"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sz w:val="20"/>
                <w:szCs w:val="20"/>
                <w:lang w:val="en-GB"/>
              </w:rPr>
              <w:t xml:space="preserve">• </w:t>
            </w:r>
            <w:r w:rsidRPr="0090630C">
              <w:rPr>
                <w:rFonts w:ascii="Arial Narrow" w:hAnsi="Arial Narrow"/>
                <w:color w:val="000000" w:themeColor="text1"/>
                <w:sz w:val="20"/>
                <w:szCs w:val="20"/>
                <w:lang w:val="en-GB"/>
              </w:rPr>
              <w:t xml:space="preserve">European Structural Funds and national co-funding. </w:t>
            </w:r>
          </w:p>
          <w:p w14:paraId="226D5A6D"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color w:val="000000" w:themeColor="text1"/>
                <w:sz w:val="20"/>
                <w:szCs w:val="20"/>
                <w:lang w:val="en-GB"/>
              </w:rPr>
              <w:t>• Rural Development Programme</w:t>
            </w:r>
          </w:p>
          <w:p w14:paraId="5832D4EC"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color w:val="000000" w:themeColor="text1"/>
                <w:sz w:val="20"/>
                <w:szCs w:val="20"/>
                <w:lang w:val="en-GB"/>
              </w:rPr>
              <w:t>• international agreement on Alpine Convention</w:t>
            </w:r>
          </w:p>
          <w:p w14:paraId="311F4CF5"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color w:val="000000" w:themeColor="text1"/>
                <w:sz w:val="20"/>
                <w:szCs w:val="20"/>
                <w:lang w:val="en-GB"/>
              </w:rPr>
              <w:t xml:space="preserve">• Institutional Agreements and Framework Programme Agreements. </w:t>
            </w:r>
          </w:p>
          <w:p w14:paraId="18D82A13"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color w:val="000000" w:themeColor="text1"/>
                <w:sz w:val="20"/>
                <w:szCs w:val="20"/>
                <w:lang w:val="en-GB"/>
              </w:rPr>
              <w:t xml:space="preserve">• Local development programmes, including LEADER/CLLD, LA21, Climate and Energy Model Regions. </w:t>
            </w:r>
          </w:p>
          <w:p w14:paraId="37D2D0ED"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color w:val="000000" w:themeColor="text1"/>
                <w:sz w:val="20"/>
                <w:szCs w:val="20"/>
                <w:lang w:val="en-GB"/>
              </w:rPr>
              <w:t xml:space="preserve">• Policies for employment and enterprise support by Länder (women and youth employment; specific support measures; SMEs) </w:t>
            </w:r>
          </w:p>
          <w:p w14:paraId="2DA5EC84" w14:textId="77777777" w:rsidR="00616A18" w:rsidRPr="0090630C" w:rsidRDefault="00616A18" w:rsidP="0090630C">
            <w:pPr>
              <w:pStyle w:val="Default"/>
              <w:jc w:val="left"/>
              <w:rPr>
                <w:rFonts w:ascii="Arial Narrow" w:hAnsi="Arial Narrow"/>
                <w:sz w:val="20"/>
                <w:szCs w:val="20"/>
                <w:lang w:val="en-GB"/>
              </w:rPr>
            </w:pPr>
            <w:r w:rsidRPr="0090630C">
              <w:rPr>
                <w:rFonts w:ascii="Arial Narrow" w:hAnsi="Arial Narrow"/>
                <w:color w:val="000000" w:themeColor="text1"/>
                <w:sz w:val="20"/>
                <w:szCs w:val="20"/>
                <w:lang w:val="en-GB"/>
              </w:rPr>
              <w:t>• Tourism development support</w:t>
            </w:r>
            <w:r w:rsidRPr="0090630C">
              <w:rPr>
                <w:rFonts w:ascii="Arial Narrow" w:hAnsi="Arial Narrow"/>
                <w:sz w:val="20"/>
                <w:szCs w:val="20"/>
                <w:lang w:val="en-GB"/>
              </w:rPr>
              <w:t xml:space="preserve"> </w:t>
            </w:r>
          </w:p>
        </w:tc>
      </w:tr>
      <w:tr w:rsidR="00616A18" w:rsidRPr="0090630C" w14:paraId="443E84F8" w14:textId="77777777" w:rsidTr="00F63F5B">
        <w:trPr>
          <w:trHeight w:val="238"/>
        </w:trPr>
        <w:tc>
          <w:tcPr>
            <w:tcW w:w="1750" w:type="pct"/>
          </w:tcPr>
          <w:p w14:paraId="349CB264" w14:textId="77777777" w:rsidR="00616A18" w:rsidRPr="0090630C" w:rsidRDefault="00616A18" w:rsidP="0090630C">
            <w:pPr>
              <w:pStyle w:val="TableRow"/>
              <w:spacing w:line="240" w:lineRule="auto"/>
              <w:jc w:val="left"/>
              <w:rPr>
                <w:sz w:val="20"/>
              </w:rPr>
            </w:pPr>
            <w:r w:rsidRPr="0090630C">
              <w:rPr>
                <w:sz w:val="20"/>
              </w:rPr>
              <w:t xml:space="preserve">Policy co-ordination tools at national level </w:t>
            </w:r>
          </w:p>
        </w:tc>
        <w:tc>
          <w:tcPr>
            <w:tcW w:w="3250" w:type="pct"/>
          </w:tcPr>
          <w:p w14:paraId="7A746D6F"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color w:val="000000" w:themeColor="text1"/>
                <w:sz w:val="20"/>
                <w:szCs w:val="20"/>
                <w:lang w:val="en-GB"/>
              </w:rPr>
              <w:t xml:space="preserve">• Department for Regional Policy and Spatial Planning, at Federal Ministry of Agriculture, Forestry, </w:t>
            </w:r>
            <w:proofErr w:type="gramStart"/>
            <w:r w:rsidRPr="0090630C">
              <w:rPr>
                <w:rFonts w:ascii="Arial Narrow" w:hAnsi="Arial Narrow"/>
                <w:color w:val="000000" w:themeColor="text1"/>
                <w:sz w:val="20"/>
                <w:szCs w:val="20"/>
                <w:lang w:val="en-GB"/>
              </w:rPr>
              <w:t>Regions</w:t>
            </w:r>
            <w:proofErr w:type="gramEnd"/>
            <w:r w:rsidRPr="0090630C">
              <w:rPr>
                <w:rFonts w:ascii="Arial Narrow" w:hAnsi="Arial Narrow"/>
                <w:color w:val="000000" w:themeColor="text1"/>
                <w:sz w:val="20"/>
                <w:szCs w:val="20"/>
                <w:lang w:val="en-GB"/>
              </w:rPr>
              <w:t xml:space="preserve"> and Water Management (BML) </w:t>
            </w:r>
          </w:p>
          <w:p w14:paraId="5F97239F" w14:textId="77777777" w:rsidR="00616A18" w:rsidRPr="0090630C" w:rsidRDefault="00616A18" w:rsidP="0090630C">
            <w:pPr>
              <w:pStyle w:val="Default"/>
              <w:rPr>
                <w:rFonts w:ascii="Arial Narrow" w:hAnsi="Arial Narrow"/>
                <w:color w:val="000000" w:themeColor="text1"/>
                <w:sz w:val="20"/>
                <w:szCs w:val="20"/>
                <w:lang w:val="en-GB"/>
              </w:rPr>
            </w:pPr>
            <w:r w:rsidRPr="0090630C">
              <w:rPr>
                <w:rFonts w:ascii="Arial Narrow" w:hAnsi="Arial Narrow"/>
                <w:color w:val="000000" w:themeColor="text1"/>
                <w:sz w:val="20"/>
                <w:szCs w:val="20"/>
                <w:lang w:val="en-GB"/>
              </w:rPr>
              <w:lastRenderedPageBreak/>
              <w:t xml:space="preserve">• Austrian Conference on Spatial Planning (ÖROK; Coordination agency for vertical and horizontal governance of spatial planning issues) </w:t>
            </w:r>
          </w:p>
        </w:tc>
      </w:tr>
      <w:tr w:rsidR="00616A18" w:rsidRPr="0090630C" w14:paraId="7169D5D4" w14:textId="77777777" w:rsidTr="00F63F5B">
        <w:trPr>
          <w:trHeight w:val="238"/>
        </w:trPr>
        <w:tc>
          <w:tcPr>
            <w:tcW w:w="1750" w:type="pct"/>
          </w:tcPr>
          <w:p w14:paraId="2D8001C0" w14:textId="77777777" w:rsidR="00616A18" w:rsidRPr="0090630C" w:rsidRDefault="00616A18" w:rsidP="0090630C">
            <w:pPr>
              <w:pStyle w:val="TableRow"/>
              <w:spacing w:line="240" w:lineRule="auto"/>
              <w:jc w:val="left"/>
              <w:rPr>
                <w:sz w:val="20"/>
              </w:rPr>
            </w:pPr>
            <w:r w:rsidRPr="0090630C">
              <w:rPr>
                <w:sz w:val="20"/>
              </w:rPr>
              <w:lastRenderedPageBreak/>
              <w:t>Multi-level governance mechanisms between national and subnational levels (e.g., institutional agreements, Committees, etc.)</w:t>
            </w:r>
          </w:p>
        </w:tc>
        <w:tc>
          <w:tcPr>
            <w:tcW w:w="3250" w:type="pct"/>
          </w:tcPr>
          <w:p w14:paraId="22CFEC8E"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color w:val="000000" w:themeColor="text1"/>
                <w:sz w:val="20"/>
                <w:szCs w:val="20"/>
                <w:lang w:val="en-GB"/>
              </w:rPr>
              <w:t>• National platform for spatial governance (ÖROK) for coordination, and monitoring of national regional policy activities and EU Structural Funds programmes; 10-year strategic document: Austrian Spatial Development Concept (ÖREK 2030)</w:t>
            </w:r>
          </w:p>
          <w:p w14:paraId="1DB2DA35" w14:textId="77777777" w:rsidR="00616A18" w:rsidRPr="0090630C" w:rsidRDefault="00616A18" w:rsidP="0090630C">
            <w:pPr>
              <w:pStyle w:val="TableCell"/>
              <w:spacing w:line="240" w:lineRule="auto"/>
              <w:jc w:val="left"/>
              <w:rPr>
                <w:sz w:val="20"/>
                <w:szCs w:val="20"/>
              </w:rPr>
            </w:pPr>
            <w:r w:rsidRPr="0090630C">
              <w:rPr>
                <w:rFonts w:cs="Arial"/>
                <w:sz w:val="20"/>
                <w:szCs w:val="20"/>
              </w:rPr>
              <w:t>• National Committee for the Co-ordination and Monitoring of the Regional Policy (Partnership Agreement Committee</w:t>
            </w:r>
            <w:r w:rsidRPr="0090630C">
              <w:rPr>
                <w:sz w:val="20"/>
                <w:szCs w:val="20"/>
              </w:rPr>
              <w:t xml:space="preserve">) </w:t>
            </w:r>
          </w:p>
        </w:tc>
      </w:tr>
      <w:tr w:rsidR="00616A18" w:rsidRPr="0090630C" w14:paraId="170495B9" w14:textId="77777777" w:rsidTr="00F63F5B">
        <w:trPr>
          <w:trHeight w:val="238"/>
        </w:trPr>
        <w:tc>
          <w:tcPr>
            <w:tcW w:w="1750" w:type="pct"/>
          </w:tcPr>
          <w:p w14:paraId="043D1729" w14:textId="77777777" w:rsidR="00616A18" w:rsidRPr="0090630C" w:rsidRDefault="00616A18" w:rsidP="0090630C">
            <w:pPr>
              <w:pStyle w:val="TableRow"/>
              <w:spacing w:line="240" w:lineRule="auto"/>
              <w:jc w:val="left"/>
              <w:rPr>
                <w:sz w:val="20"/>
              </w:rPr>
            </w:pPr>
            <w:r w:rsidRPr="0090630C">
              <w:rPr>
                <w:sz w:val="20"/>
              </w:rPr>
              <w:t xml:space="preserve">Policy co-ordination tools at regional level </w:t>
            </w:r>
          </w:p>
        </w:tc>
        <w:tc>
          <w:tcPr>
            <w:tcW w:w="3250" w:type="pct"/>
          </w:tcPr>
          <w:p w14:paraId="36AE3E29"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sz w:val="20"/>
                <w:szCs w:val="20"/>
                <w:lang w:val="en-GB"/>
              </w:rPr>
              <w:t xml:space="preserve">• </w:t>
            </w:r>
            <w:r w:rsidRPr="0090630C">
              <w:rPr>
                <w:rFonts w:ascii="Arial Narrow" w:hAnsi="Arial Narrow"/>
                <w:color w:val="000000" w:themeColor="text1"/>
                <w:sz w:val="20"/>
                <w:szCs w:val="20"/>
                <w:lang w:val="en-GB"/>
              </w:rPr>
              <w:t xml:space="preserve">Policy guidelines (thematic and regional) at Länder level, as coordination tool for regions and local development </w:t>
            </w:r>
            <w:proofErr w:type="gramStart"/>
            <w:r w:rsidRPr="0090630C">
              <w:rPr>
                <w:rFonts w:ascii="Arial Narrow" w:hAnsi="Arial Narrow"/>
                <w:color w:val="000000" w:themeColor="text1"/>
                <w:sz w:val="20"/>
                <w:szCs w:val="20"/>
                <w:lang w:val="en-GB"/>
              </w:rPr>
              <w:t>activities;</w:t>
            </w:r>
            <w:proofErr w:type="gramEnd"/>
            <w:r w:rsidRPr="0090630C">
              <w:rPr>
                <w:rFonts w:ascii="Arial Narrow" w:hAnsi="Arial Narrow"/>
                <w:color w:val="000000" w:themeColor="text1"/>
                <w:sz w:val="20"/>
                <w:szCs w:val="20"/>
                <w:lang w:val="en-GB"/>
              </w:rPr>
              <w:t xml:space="preserve"> </w:t>
            </w:r>
          </w:p>
          <w:p w14:paraId="5593828F" w14:textId="77777777" w:rsidR="00616A18" w:rsidRPr="0090630C" w:rsidRDefault="00616A18" w:rsidP="0090630C">
            <w:pPr>
              <w:pStyle w:val="TableCell"/>
              <w:spacing w:line="240" w:lineRule="auto"/>
              <w:jc w:val="left"/>
              <w:rPr>
                <w:sz w:val="20"/>
                <w:szCs w:val="20"/>
              </w:rPr>
            </w:pPr>
            <w:r w:rsidRPr="0090630C">
              <w:rPr>
                <w:sz w:val="20"/>
                <w:szCs w:val="20"/>
              </w:rPr>
              <w:t xml:space="preserve">• Inter-regional operational programmes. </w:t>
            </w:r>
          </w:p>
        </w:tc>
      </w:tr>
      <w:tr w:rsidR="00616A18" w:rsidRPr="0090630C" w14:paraId="3765FA20" w14:textId="77777777" w:rsidTr="00F63F5B">
        <w:trPr>
          <w:trHeight w:val="238"/>
        </w:trPr>
        <w:tc>
          <w:tcPr>
            <w:tcW w:w="1750" w:type="pct"/>
          </w:tcPr>
          <w:p w14:paraId="25F091A8" w14:textId="77777777" w:rsidR="00616A18" w:rsidRPr="0090630C" w:rsidRDefault="00616A18" w:rsidP="0090630C">
            <w:pPr>
              <w:pStyle w:val="TableRow"/>
              <w:spacing w:line="240" w:lineRule="auto"/>
              <w:jc w:val="left"/>
              <w:rPr>
                <w:sz w:val="20"/>
              </w:rPr>
            </w:pPr>
            <w:r w:rsidRPr="0090630C">
              <w:rPr>
                <w:sz w:val="20"/>
              </w:rPr>
              <w:t>Evaluation and monitoring tools</w:t>
            </w:r>
          </w:p>
        </w:tc>
        <w:tc>
          <w:tcPr>
            <w:tcW w:w="3250" w:type="pct"/>
          </w:tcPr>
          <w:p w14:paraId="19109D65"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sz w:val="20"/>
                <w:szCs w:val="20"/>
                <w:lang w:val="en-GB"/>
              </w:rPr>
              <w:t xml:space="preserve">• </w:t>
            </w:r>
            <w:r w:rsidRPr="0090630C">
              <w:rPr>
                <w:rFonts w:ascii="Arial Narrow" w:hAnsi="Arial Narrow"/>
                <w:color w:val="000000" w:themeColor="text1"/>
                <w:sz w:val="20"/>
                <w:szCs w:val="20"/>
                <w:lang w:val="en-GB"/>
              </w:rPr>
              <w:t xml:space="preserve">Programming, Evaluation and Analysis Unit at BML for CAP, including national RDP monitoring and </w:t>
            </w:r>
            <w:proofErr w:type="gramStart"/>
            <w:r w:rsidRPr="0090630C">
              <w:rPr>
                <w:rFonts w:ascii="Arial Narrow" w:hAnsi="Arial Narrow"/>
                <w:color w:val="000000" w:themeColor="text1"/>
                <w:sz w:val="20"/>
                <w:szCs w:val="20"/>
                <w:lang w:val="en-GB"/>
              </w:rPr>
              <w:t>evaluation;</w:t>
            </w:r>
            <w:proofErr w:type="gramEnd"/>
            <w:r w:rsidRPr="0090630C">
              <w:rPr>
                <w:rFonts w:ascii="Arial Narrow" w:hAnsi="Arial Narrow"/>
                <w:color w:val="000000" w:themeColor="text1"/>
                <w:sz w:val="20"/>
                <w:szCs w:val="20"/>
                <w:lang w:val="en-GB"/>
              </w:rPr>
              <w:t xml:space="preserve"> </w:t>
            </w:r>
          </w:p>
          <w:p w14:paraId="2D72EA7C"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color w:val="000000" w:themeColor="text1"/>
                <w:sz w:val="20"/>
                <w:szCs w:val="20"/>
                <w:lang w:val="en-GB"/>
              </w:rPr>
              <w:t xml:space="preserve">• Approach and systems for monitoring and evaluation of programmes in preparation </w:t>
            </w:r>
          </w:p>
          <w:p w14:paraId="2C9A52C4" w14:textId="77777777" w:rsidR="00616A18" w:rsidRPr="0090630C" w:rsidRDefault="00616A18" w:rsidP="0090630C">
            <w:pPr>
              <w:pStyle w:val="TableCell"/>
              <w:spacing w:line="240" w:lineRule="auto"/>
              <w:jc w:val="left"/>
              <w:rPr>
                <w:sz w:val="20"/>
                <w:szCs w:val="20"/>
              </w:rPr>
            </w:pPr>
            <w:r w:rsidRPr="0090630C">
              <w:rPr>
                <w:rFonts w:cs="Arial"/>
                <w:sz w:val="20"/>
                <w:szCs w:val="20"/>
              </w:rPr>
              <w:t>• System of territorial indicators and targets linked to the Partnership Agreement</w:t>
            </w:r>
            <w:r w:rsidRPr="0090630C">
              <w:rPr>
                <w:sz w:val="20"/>
                <w:szCs w:val="20"/>
              </w:rPr>
              <w:t xml:space="preserve"> </w:t>
            </w:r>
          </w:p>
        </w:tc>
      </w:tr>
      <w:tr w:rsidR="00616A18" w:rsidRPr="0090630C" w14:paraId="44757075" w14:textId="77777777" w:rsidTr="00F63F5B">
        <w:trPr>
          <w:trHeight w:val="238"/>
        </w:trPr>
        <w:tc>
          <w:tcPr>
            <w:tcW w:w="1750" w:type="pct"/>
          </w:tcPr>
          <w:p w14:paraId="5E397E0E" w14:textId="77777777" w:rsidR="00616A18" w:rsidRPr="0090630C" w:rsidRDefault="00616A18" w:rsidP="0090630C">
            <w:pPr>
              <w:pStyle w:val="TableRow"/>
              <w:spacing w:line="240" w:lineRule="auto"/>
              <w:jc w:val="left"/>
              <w:rPr>
                <w:sz w:val="20"/>
              </w:rPr>
            </w:pPr>
            <w:bookmarkStart w:id="1" w:name="_Hlk121751249"/>
            <w:r w:rsidRPr="0090630C">
              <w:rPr>
                <w:sz w:val="20"/>
              </w:rPr>
              <w:t>Future orientations of regional policy</w:t>
            </w:r>
          </w:p>
        </w:tc>
        <w:tc>
          <w:tcPr>
            <w:tcW w:w="3250" w:type="pct"/>
          </w:tcPr>
          <w:p w14:paraId="5EA5D685"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color w:val="000000" w:themeColor="text1"/>
                <w:sz w:val="20"/>
                <w:szCs w:val="20"/>
                <w:lang w:val="en-GB"/>
              </w:rPr>
              <w:t xml:space="preserve">The continued application of Cohesion policy funds strengthens action to promote economic development, well-being, environmental </w:t>
            </w:r>
            <w:proofErr w:type="gramStart"/>
            <w:r w:rsidRPr="0090630C">
              <w:rPr>
                <w:rFonts w:ascii="Arial Narrow" w:hAnsi="Arial Narrow"/>
                <w:color w:val="000000" w:themeColor="text1"/>
                <w:sz w:val="20"/>
                <w:szCs w:val="20"/>
                <w:lang w:val="en-GB"/>
              </w:rPr>
              <w:t>sustainability</w:t>
            </w:r>
            <w:proofErr w:type="gramEnd"/>
            <w:r w:rsidRPr="0090630C">
              <w:rPr>
                <w:rFonts w:ascii="Arial Narrow" w:hAnsi="Arial Narrow"/>
                <w:color w:val="000000" w:themeColor="text1"/>
                <w:sz w:val="20"/>
                <w:szCs w:val="20"/>
                <w:lang w:val="en-GB"/>
              </w:rPr>
              <w:t xml:space="preserve"> and resilience in all regions through ERDF and ESF. Supporting European objectives, the national programmes to use these funds address structural challenges, aspects of circular economy, enhancing inclusive and just society, by strengthening multi-level governance arrangements and coordination. As the national priority is on the Rural Development Programme the measures for non-agricultural activities, diversification and value chain integration, and ecological performance are of </w:t>
            </w:r>
            <w:proofErr w:type="gramStart"/>
            <w:r w:rsidRPr="0090630C">
              <w:rPr>
                <w:rFonts w:ascii="Arial Narrow" w:hAnsi="Arial Narrow"/>
                <w:color w:val="000000" w:themeColor="text1"/>
                <w:sz w:val="20"/>
                <w:szCs w:val="20"/>
                <w:lang w:val="en-GB"/>
              </w:rPr>
              <w:t>particular relevance</w:t>
            </w:r>
            <w:proofErr w:type="gramEnd"/>
            <w:r w:rsidRPr="0090630C">
              <w:rPr>
                <w:rFonts w:ascii="Arial Narrow" w:hAnsi="Arial Narrow"/>
                <w:color w:val="000000" w:themeColor="text1"/>
                <w:sz w:val="20"/>
                <w:szCs w:val="20"/>
                <w:lang w:val="en-GB"/>
              </w:rPr>
              <w:t xml:space="preserve"> for regional development. </w:t>
            </w:r>
          </w:p>
          <w:p w14:paraId="1B239AB0"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color w:val="000000" w:themeColor="text1"/>
                <w:sz w:val="20"/>
                <w:szCs w:val="20"/>
                <w:lang w:val="en-GB"/>
              </w:rPr>
              <w:t xml:space="preserve">Future orientations include: </w:t>
            </w:r>
          </w:p>
          <w:p w14:paraId="3FF21AC5"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color w:val="000000" w:themeColor="text1"/>
                <w:sz w:val="20"/>
                <w:szCs w:val="20"/>
                <w:lang w:val="en-GB"/>
              </w:rPr>
              <w:t xml:space="preserve">• Make use of complementarities between the different policy instruments and funds, exploiting specific characteristics to enhance innovation, well-being and adapted climate </w:t>
            </w:r>
            <w:proofErr w:type="gramStart"/>
            <w:r w:rsidRPr="0090630C">
              <w:rPr>
                <w:rFonts w:ascii="Arial Narrow" w:hAnsi="Arial Narrow"/>
                <w:color w:val="000000" w:themeColor="text1"/>
                <w:sz w:val="20"/>
                <w:szCs w:val="20"/>
                <w:lang w:val="en-GB"/>
              </w:rPr>
              <w:t>action;</w:t>
            </w:r>
            <w:proofErr w:type="gramEnd"/>
            <w:r w:rsidRPr="0090630C">
              <w:rPr>
                <w:rFonts w:ascii="Arial Narrow" w:hAnsi="Arial Narrow"/>
                <w:color w:val="000000" w:themeColor="text1"/>
                <w:sz w:val="20"/>
                <w:szCs w:val="20"/>
                <w:lang w:val="en-GB"/>
              </w:rPr>
              <w:t xml:space="preserve">  </w:t>
            </w:r>
          </w:p>
          <w:p w14:paraId="45F9C052"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color w:val="000000" w:themeColor="text1"/>
                <w:sz w:val="20"/>
                <w:szCs w:val="20"/>
                <w:lang w:val="en-GB"/>
              </w:rPr>
              <w:t xml:space="preserve">• aim at sustainable growth to decouple economic development from natural resource use </w:t>
            </w:r>
            <w:proofErr w:type="gramStart"/>
            <w:r w:rsidRPr="0090630C">
              <w:rPr>
                <w:rFonts w:ascii="Arial Narrow" w:hAnsi="Arial Narrow"/>
                <w:color w:val="000000" w:themeColor="text1"/>
                <w:sz w:val="20"/>
                <w:szCs w:val="20"/>
                <w:lang w:val="en-GB"/>
              </w:rPr>
              <w:t>increase;</w:t>
            </w:r>
            <w:proofErr w:type="gramEnd"/>
          </w:p>
          <w:p w14:paraId="1953F1F1" w14:textId="77777777" w:rsidR="00616A18" w:rsidRPr="0090630C" w:rsidRDefault="00616A18" w:rsidP="0090630C">
            <w:pPr>
              <w:pStyle w:val="Default"/>
              <w:jc w:val="left"/>
              <w:rPr>
                <w:rFonts w:ascii="Arial Narrow" w:hAnsi="Arial Narrow"/>
                <w:color w:val="000000" w:themeColor="text1"/>
                <w:sz w:val="20"/>
                <w:szCs w:val="20"/>
                <w:lang w:val="en-GB"/>
              </w:rPr>
            </w:pPr>
            <w:r w:rsidRPr="0090630C">
              <w:rPr>
                <w:rFonts w:ascii="Arial Narrow" w:hAnsi="Arial Narrow"/>
                <w:color w:val="000000" w:themeColor="text1"/>
                <w:sz w:val="20"/>
                <w:szCs w:val="20"/>
                <w:lang w:val="en-GB"/>
              </w:rPr>
              <w:t xml:space="preserve">• enhance territorial cooperation at fine geographical level and for trans-national cooperation, to mitigate development obstacles due to fragmentation of small scales (municipality and regional levels). </w:t>
            </w:r>
          </w:p>
        </w:tc>
      </w:tr>
      <w:bookmarkEnd w:id="1"/>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425180EA" w14:textId="77777777" w:rsidR="00FA40FC" w:rsidRPr="00FA40FC" w:rsidRDefault="00FA40FC" w:rsidP="00FA40FC">
      <w:pPr>
        <w:rPr>
          <w:lang w:val="en-US"/>
        </w:rPr>
      </w:pPr>
      <w:r w:rsidRPr="00FA40FC">
        <w:rPr>
          <w:lang w:val="en-US"/>
        </w:rPr>
        <w:t>Austria experienced a decline in the Theil index of GDP per capita over 2000-2020. Inequality reached its maximum in 2006. The figures are normalized, with values in the year 2000 set to 1.</w:t>
      </w:r>
    </w:p>
    <w:p w14:paraId="65446115" w14:textId="57E58073" w:rsidR="00130E6A" w:rsidRPr="00FA40FC" w:rsidRDefault="00FA40FC" w:rsidP="00FA40FC">
      <w:pPr>
        <w:rPr>
          <w:lang w:val="en-US"/>
        </w:rPr>
      </w:pPr>
      <w:r w:rsidRPr="00FA40FC">
        <w:rPr>
          <w:lang w:val="en-US"/>
        </w:rPr>
        <w:t xml:space="preserve">The Top 20%/Mean ratio was 0.114 lower in 2020 compared to 2000, indicating decreased </w:t>
      </w:r>
      <w:proofErr w:type="spellStart"/>
      <w:r w:rsidRPr="00FA40FC">
        <w:rPr>
          <w:lang w:val="en-US"/>
        </w:rPr>
        <w:t>polarisation</w:t>
      </w:r>
      <w:proofErr w:type="spellEnd"/>
      <w:r w:rsidRPr="00FA40FC">
        <w:rPr>
          <w:lang w:val="en-US"/>
        </w:rPr>
        <w:t>. The Bottom 20%/Mean ratio was 0.069 higher in the same period, indicating bottom convergence.</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715EF0D6" w:rsidR="00130E6A" w:rsidRDefault="00D02557" w:rsidP="00130E6A">
      <w:pPr>
        <w:jc w:val="center"/>
      </w:pPr>
      <w:r>
        <w:rPr>
          <w:noProof/>
        </w:rPr>
        <w:drawing>
          <wp:inline distT="0" distB="0" distL="0" distR="0" wp14:anchorId="624A355B" wp14:editId="679306FB">
            <wp:extent cx="5731510" cy="3078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8480"/>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 xml:space="preserve">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w:t>
      </w:r>
      <w:proofErr w:type="gramStart"/>
      <w:r w:rsidR="00993AE2" w:rsidRPr="00993AE2">
        <w:rPr>
          <w:sz w:val="16"/>
          <w:szCs w:val="16"/>
        </w:rPr>
        <w:t>in a given year</w:t>
      </w:r>
      <w:proofErr w:type="gramEnd"/>
      <w:r w:rsidR="00993AE2" w:rsidRPr="00993AE2">
        <w:rPr>
          <w:sz w:val="16"/>
          <w:szCs w:val="16"/>
        </w:rPr>
        <w:t xml:space="preserve">. Bottom 20%/Mean calculated as mean TL3 GDP per capita in bottom 20% regions over mean TL3 GDP per capita </w:t>
      </w:r>
      <w:proofErr w:type="gramStart"/>
      <w:r w:rsidR="00993AE2" w:rsidRPr="00993AE2">
        <w:rPr>
          <w:sz w:val="16"/>
          <w:szCs w:val="16"/>
        </w:rPr>
        <w:t>in a given year</w:t>
      </w:r>
      <w:proofErr w:type="gramEnd"/>
      <w:r w:rsidR="00993AE2" w:rsidRPr="00993AE2">
        <w:rPr>
          <w:sz w:val="16"/>
          <w:szCs w:val="16"/>
        </w:rPr>
        <w:t>.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6ACF0130" w14:textId="5BDB2290" w:rsidR="00993AE2" w:rsidRPr="00993AE2" w:rsidRDefault="00993AE2" w:rsidP="00993AE2">
      <w:pPr>
        <w:rPr>
          <w:lang w:val="en-US"/>
        </w:rPr>
      </w:pPr>
      <w:r w:rsidRPr="00993AE2">
        <w:rPr>
          <w:lang w:val="en-US"/>
        </w:rPr>
        <w:lastRenderedPageBreak/>
        <w:t>In 2020, the gap in GDP per capita between large metropolitan and non-large metropolitan regions was 1.177. For reference, the same value for OECD was 1.475. This gap decreased by 0.248 percentage points between 2000 and 2020.</w:t>
      </w:r>
    </w:p>
    <w:p w14:paraId="5B6B7059" w14:textId="26ACC6A7" w:rsidR="00993AE2" w:rsidRPr="00993AE2" w:rsidRDefault="00993AE2" w:rsidP="00993AE2">
      <w:pPr>
        <w:rPr>
          <w:lang w:val="en-US"/>
        </w:rPr>
      </w:pPr>
      <w:r w:rsidRPr="00993AE2">
        <w:rPr>
          <w:lang w:val="en-US"/>
        </w:rPr>
        <w:t>Meanwhile, in 2020, the gap in GDP per capita between metropolitan and non-metropolitan regions was 1.245. For reference, the same value for OECD was 1.325. This gap decreased by 0.17 percentage points since 2000.</w:t>
      </w:r>
    </w:p>
    <w:p w14:paraId="4DF87DC8" w14:textId="538EADFC" w:rsidR="00130E6A" w:rsidRDefault="00993AE2" w:rsidP="00993AE2">
      <w:pPr>
        <w:rPr>
          <w:lang w:val="en-US"/>
        </w:rPr>
      </w:pPr>
      <w:r w:rsidRPr="00993AE2">
        <w:rPr>
          <w:lang w:val="en-US"/>
        </w:rPr>
        <w:t>In turn, the gap in GDP per capita between regions near and far a Functional Urban Area (FUA) of more than 250 thousand inhabitants was 1.143 in 2020 and decreased by 0.045 percentage points since 2000.</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 xml:space="preserve">gap by type of region compared to the OECD </w:t>
      </w:r>
      <w:proofErr w:type="gramStart"/>
      <w:r w:rsidR="00440A61">
        <w:rPr>
          <w:b/>
          <w:bCs/>
          <w:color w:val="4E81BD"/>
        </w:rPr>
        <w:t>average</w:t>
      </w:r>
      <w:proofErr w:type="gramEnd"/>
    </w:p>
    <w:p w14:paraId="0AE7B1A2" w14:textId="41DACD1A" w:rsidR="00993AE2" w:rsidRDefault="002D46F5" w:rsidP="00993AE2">
      <w:r>
        <w:rPr>
          <w:noProof/>
        </w:rPr>
        <w:drawing>
          <wp:inline distT="0" distB="0" distL="0" distR="0" wp14:anchorId="01FB48B3" wp14:editId="648C80D0">
            <wp:extent cx="5731510" cy="3260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60090"/>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 xml:space="preserve">Far from a FUA&gt;250K includes regions near/with a small FUA and remote regions. OECD mean gap based on 1 586 TL3 regions in 27 countries with available data (no TL3 data for Australia, Canada, Chile, Colombia, Costa Rica, Iceland, Ireland, Israel, Mexico, </w:t>
      </w:r>
      <w:proofErr w:type="gramStart"/>
      <w:r w:rsidR="00440A61" w:rsidRPr="00440A61">
        <w:rPr>
          <w:sz w:val="16"/>
          <w:szCs w:val="16"/>
        </w:rPr>
        <w:t>Luxembourg</w:t>
      </w:r>
      <w:proofErr w:type="gramEnd"/>
      <w:r w:rsidR="00440A61" w:rsidRPr="00440A61">
        <w:rPr>
          <w:sz w:val="16"/>
          <w:szCs w:val="16"/>
        </w:rPr>
        <w:t xml:space="preserve">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48DD4398" w:rsidR="00993AE2" w:rsidRPr="00993AE2" w:rsidRDefault="00363D4B" w:rsidP="00993AE2">
      <w:pPr>
        <w:rPr>
          <w:lang w:val="en-US"/>
        </w:rPr>
      </w:pPr>
      <w:r w:rsidRPr="00363D4B">
        <w:rPr>
          <w:lang w:val="en-US"/>
        </w:rPr>
        <w:lastRenderedPageBreak/>
        <w:t xml:space="preserve">In Austria, the gap between the upper and the lower half of regions in terms of </w:t>
      </w:r>
      <w:proofErr w:type="spellStart"/>
      <w:r w:rsidRPr="00363D4B">
        <w:rPr>
          <w:lang w:val="en-US"/>
        </w:rPr>
        <w:t>labour</w:t>
      </w:r>
      <w:proofErr w:type="spellEnd"/>
      <w:r w:rsidRPr="00363D4B">
        <w:rPr>
          <w:lang w:val="en-US"/>
        </w:rPr>
        <w:t xml:space="preserve"> productivity decreased between 2001 and 2019. Over this period </w:t>
      </w:r>
      <w:proofErr w:type="spellStart"/>
      <w:r w:rsidRPr="00363D4B">
        <w:rPr>
          <w:lang w:val="en-US"/>
        </w:rPr>
        <w:t>labour</w:t>
      </w:r>
      <w:proofErr w:type="spellEnd"/>
      <w:r w:rsidRPr="00363D4B">
        <w:rPr>
          <w:lang w:val="en-US"/>
        </w:rPr>
        <w:t xml:space="preserve"> productivity in the upper half of regions grew roughly by 9%, 9 percentage points less than in the lower half of regions. During 2020, the gap continued to narrow. Nevertheless, more years of data are necessary to determine the long-term impact of the COVID-19 pandemic on </w:t>
      </w:r>
      <w:proofErr w:type="spellStart"/>
      <w:r w:rsidRPr="00363D4B">
        <w:rPr>
          <w:lang w:val="en-US"/>
        </w:rPr>
        <w:t>labour</w:t>
      </w:r>
      <w:proofErr w:type="spellEnd"/>
      <w:r w:rsidRPr="00363D4B">
        <w:rPr>
          <w:lang w:val="en-US"/>
        </w:rPr>
        <w:t xml:space="preserve"> productivity gaps in regions</w:t>
      </w:r>
      <w:r>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21552D89" w:rsidR="00130E6A" w:rsidRDefault="002F53E2" w:rsidP="00130E6A">
      <w:r>
        <w:rPr>
          <w:noProof/>
        </w:rPr>
        <w:drawing>
          <wp:inline distT="0" distB="0" distL="0" distR="0" wp14:anchorId="5BC0B3DD" wp14:editId="4E275BD4">
            <wp:extent cx="5731510" cy="3048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4800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1C714395" w:rsidR="00EF66F6" w:rsidRDefault="00F61089" w:rsidP="00EF66F6">
      <w:r w:rsidRPr="00F61089">
        <w:lastRenderedPageBreak/>
        <w:t xml:space="preserve">Regions where the economic activity shifts towards tradable activities, such as industry and tradable services, tend to grow faster in terms of labour productivity. In Austria, between 2001 and 2020, the share of workers in the industrial sector went down in regions that used to </w:t>
      </w:r>
      <w:proofErr w:type="gramStart"/>
      <w:r w:rsidRPr="00F61089">
        <w:t>be located in</w:t>
      </w:r>
      <w:proofErr w:type="gramEnd"/>
      <w:r w:rsidRPr="00F61089">
        <w:t xml:space="preserve"> the upper half of the labour productivity distribution while it remained stable in the rest. At the same time, the share of workers in the tradable services sector went up in all regions but more so in regions that used to be in the lower half of the labour productivity distribution. Hence, the evolution of employment shares both in the industrial and in the tradable services sectors reduced the labour productivity gap between regions.</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3EFD9A33" w:rsidR="00EF66F6" w:rsidRDefault="00F61089" w:rsidP="00EF66F6">
      <w:r>
        <w:rPr>
          <w:noProof/>
        </w:rPr>
        <w:drawing>
          <wp:inline distT="0" distB="0" distL="0" distR="0" wp14:anchorId="2211722B" wp14:editId="43BC8482">
            <wp:extent cx="5731510" cy="25304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3047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The share of workers </w:t>
      </w:r>
      <w:proofErr w:type="gramStart"/>
      <w:r w:rsidRPr="00EF66F6">
        <w:rPr>
          <w:sz w:val="16"/>
          <w:szCs w:val="16"/>
        </w:rPr>
        <w:t>in a given</w:t>
      </w:r>
      <w:proofErr w:type="gramEnd"/>
      <w:r w:rsidRPr="00EF66F6">
        <w:rPr>
          <w:sz w:val="16"/>
          <w:szCs w:val="16"/>
        </w:rPr>
        <w:t xml:space="preserve"> sector for a group of regions is defined as the sum of employment in that sector within the group divided by the sum of total employment within the group. Regions are small (TL3) regions, except for Australia, Canada, Chile,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 Industry includes the following tradable goods sectors: Mining and quarrying (B), Manufacturing (C), Electricity, gas, </w:t>
      </w:r>
      <w:proofErr w:type="gramStart"/>
      <w:r w:rsidRPr="00EF66F6">
        <w:rPr>
          <w:sz w:val="16"/>
          <w:szCs w:val="16"/>
        </w:rPr>
        <w:t>steam</w:t>
      </w:r>
      <w:proofErr w:type="gramEnd"/>
      <w:r w:rsidRPr="00EF66F6">
        <w:rPr>
          <w:sz w:val="16"/>
          <w:szCs w:val="16"/>
        </w:rPr>
        <w:t xml:space="preserve"> and air conditioning supply (D) and Water supply; sewerage; waste management and remediation activities (E) NACE macro sectors. Tradable services include Information and communication (J), Financial and insurance activities (K), Real estate activities (L), Professional, </w:t>
      </w:r>
      <w:proofErr w:type="gramStart"/>
      <w:r w:rsidRPr="00EF66F6">
        <w:rPr>
          <w:sz w:val="16"/>
          <w:szCs w:val="16"/>
        </w:rPr>
        <w:t>scientific</w:t>
      </w:r>
      <w:proofErr w:type="gramEnd"/>
      <w:r w:rsidRPr="00EF66F6">
        <w:rPr>
          <w:sz w:val="16"/>
          <w:szCs w:val="16"/>
        </w:rPr>
        <w:t xml:space="preserve">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19D77BF0" w14:textId="77777777" w:rsidR="00442B3C" w:rsidRDefault="00442B3C" w:rsidP="00442B3C">
      <w:r>
        <w:t xml:space="preserve">The Cohesion Policy Partnership Agreement between the EU Commission and Austria, adopted on 2 May 2022, sets out investment priorities for the period 2021-2027 to promote national cohesion and sustainable development. It foresees an amount of 1.3 bio € of Structural Funds support for Austrian programmes which will be co-financed by about 1.8 bio. € of national funds. Specific criteria to enhance an innovative and energy sufficient Austria are principles of circular economy, </w:t>
      </w:r>
      <w:proofErr w:type="gramStart"/>
      <w:r>
        <w:t>digitalisation</w:t>
      </w:r>
      <w:proofErr w:type="gramEnd"/>
      <w:r>
        <w:t xml:space="preserve"> and energy efficiency for selection of projects. Moreover, through the Just Transition Fund the country's transition to a climate-neutral economy through diversification of companies and start-ups to climate neutral and resource efficient activities that provide alternative jobs to replace those in energy intensive industries presently relying on fossil fuels as energy sources will be supported. The European Social Fund will support investments in infrastructures, </w:t>
      </w:r>
      <w:proofErr w:type="gramStart"/>
      <w:r>
        <w:t>jobs</w:t>
      </w:r>
      <w:proofErr w:type="gramEnd"/>
      <w:r>
        <w:t xml:space="preserve"> and education for persons with disabilities, people with migrant backgrounds and other disadvantaged groups. At the local scale, for support of life in cities and rural areas, projects on resource efficiency, climate adaptation, an innovation-oriented economy and local development will be supported. These activities continue on-going activities of several selected regions.</w:t>
      </w:r>
    </w:p>
    <w:p w14:paraId="7ABA56BD" w14:textId="77777777" w:rsidR="00442B3C" w:rsidRDefault="00442B3C" w:rsidP="00442B3C">
      <w:proofErr w:type="gramStart"/>
      <w:r>
        <w:lastRenderedPageBreak/>
        <w:t>On the basis of</w:t>
      </w:r>
      <w:proofErr w:type="gramEnd"/>
      <w:r>
        <w:t xml:space="preserve"> the long-term strategy document, “ÖREK 2030”, a reorientation in priorities of regional development objectives has started recently and will be implemented over the next years. This includes </w:t>
      </w:r>
      <w:proofErr w:type="gramStart"/>
      <w:r>
        <w:t>in particular action</w:t>
      </w:r>
      <w:proofErr w:type="gramEnd"/>
      <w:r>
        <w:t xml:space="preserve"> on sparing use of land resources throughout the country, and climate action to achieve efficient and resilient resource use objectives. A series of national coordination and strategic planning activities will be implemented. So far, a land use development strategy to reduce the future land consumption and the high level of soil sealing by 2030 has been initiated. The second strategic working group (“Space for building culture”) aims at enhancing the societal role of architectural culture and heritage, </w:t>
      </w:r>
      <w:proofErr w:type="gramStart"/>
      <w:r>
        <w:t>in particular to</w:t>
      </w:r>
      <w:proofErr w:type="gramEnd"/>
      <w:r>
        <w:t xml:space="preserve"> strengthen town and city centres for shaping sustainable and resource efficient options of future spatial development.</w:t>
      </w:r>
    </w:p>
    <w:p w14:paraId="4ED840AD" w14:textId="599E8579" w:rsidR="00130E6A" w:rsidRPr="00130E6A" w:rsidRDefault="00442B3C" w:rsidP="00442B3C">
      <w:r>
        <w:t>Due to the specific relevance of landscapes for Austria’s regions, the renewed tourism strategy sets out a vision for this sector, particularly in relation to regional development options. The so-called “Plan T” sets the vision for sustainable tourism development.</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5995B" w14:textId="77777777" w:rsidR="006A6F78" w:rsidRDefault="006A6F78" w:rsidP="00B0261A">
      <w:r>
        <w:separator/>
      </w:r>
    </w:p>
  </w:endnote>
  <w:endnote w:type="continuationSeparator" w:id="0">
    <w:p w14:paraId="663DF1A0" w14:textId="77777777" w:rsidR="006A6F78" w:rsidRDefault="006A6F78"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597D" w14:textId="77777777" w:rsidR="006A6F78" w:rsidRDefault="006A6F78" w:rsidP="00B0261A">
      <w:r>
        <w:separator/>
      </w:r>
    </w:p>
  </w:footnote>
  <w:footnote w:type="continuationSeparator" w:id="0">
    <w:p w14:paraId="7CD8617E" w14:textId="77777777" w:rsidR="006A6F78" w:rsidRDefault="006A6F78"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4"/>
  </w:num>
  <w:num w:numId="2" w16cid:durableId="442264828">
    <w:abstractNumId w:val="0"/>
  </w:num>
  <w:num w:numId="3" w16cid:durableId="1036737201">
    <w:abstractNumId w:val="3"/>
  </w:num>
  <w:num w:numId="4" w16cid:durableId="2100321986">
    <w:abstractNumId w:val="1"/>
  </w:num>
  <w:num w:numId="5" w16cid:durableId="200703605">
    <w:abstractNumId w:val="2"/>
  </w:num>
  <w:num w:numId="6" w16cid:durableId="647786490">
    <w:abstractNumId w:val="5"/>
  </w:num>
  <w:num w:numId="7" w16cid:durableId="243229222">
    <w:abstractNumId w:val="6"/>
  </w:num>
  <w:num w:numId="8" w16cid:durableId="343627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106D54"/>
    <w:rsid w:val="00130E6A"/>
    <w:rsid w:val="002D46F5"/>
    <w:rsid w:val="002F53E2"/>
    <w:rsid w:val="00363D4B"/>
    <w:rsid w:val="003E5769"/>
    <w:rsid w:val="00415A0D"/>
    <w:rsid w:val="00440A61"/>
    <w:rsid w:val="00442B3C"/>
    <w:rsid w:val="00616A18"/>
    <w:rsid w:val="006A6F78"/>
    <w:rsid w:val="0090630C"/>
    <w:rsid w:val="00953666"/>
    <w:rsid w:val="00993AE2"/>
    <w:rsid w:val="00B0261A"/>
    <w:rsid w:val="00D02557"/>
    <w:rsid w:val="00E35041"/>
    <w:rsid w:val="00EE7700"/>
    <w:rsid w:val="00EF66F6"/>
    <w:rsid w:val="00F61089"/>
    <w:rsid w:val="00FA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2003</Words>
  <Characters>11978</Characters>
  <Application>Microsoft Office Word</Application>
  <DocSecurity>0</DocSecurity>
  <Lines>239</Lines>
  <Paragraphs>102</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15</cp:revision>
  <cp:lastPrinted>2023-11-06T10:10:00Z</cp:lastPrinted>
  <dcterms:created xsi:type="dcterms:W3CDTF">2023-11-06T10:03:00Z</dcterms:created>
  <dcterms:modified xsi:type="dcterms:W3CDTF">2023-11-07T16:56:00Z</dcterms:modified>
</cp:coreProperties>
</file>