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1D2FF24" w:rsidR="00B0261A" w:rsidRDefault="00BB2C8C" w:rsidP="00B0261A">
      <w:pPr>
        <w:pStyle w:val="Heading1"/>
      </w:pPr>
      <w:r>
        <w:t>JAPAN</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578"/>
        <w:gridCol w:w="5367"/>
      </w:tblGrid>
      <w:tr w:rsidR="00AE02D0" w:rsidRPr="00AE02D0" w14:paraId="223583B0" w14:textId="77777777" w:rsidTr="00A56BD3">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1ECD2303" w14:textId="77777777" w:rsidR="00AE02D0" w:rsidRPr="00AE02D0" w:rsidRDefault="00AE02D0" w:rsidP="00AE02D0">
            <w:pPr>
              <w:pStyle w:val="TableRow"/>
              <w:spacing w:before="0" w:after="0" w:line="240" w:lineRule="auto"/>
              <w:jc w:val="left"/>
              <w:rPr>
                <w:sz w:val="20"/>
              </w:rPr>
            </w:pPr>
            <w:r w:rsidRPr="00AE02D0">
              <w:rPr>
                <w:sz w:val="20"/>
              </w:rPr>
              <w:t xml:space="preserve">Population </w:t>
            </w:r>
            <w:r w:rsidRPr="00AE02D0">
              <w:rPr>
                <w:i/>
                <w:iCs/>
                <w:sz w:val="20"/>
              </w:rPr>
              <w:t>(specify date)</w:t>
            </w:r>
            <w:r w:rsidRPr="00AE02D0">
              <w:rPr>
                <w:sz w:val="20"/>
              </w:rPr>
              <w:t xml:space="preserve"> and territory </w:t>
            </w:r>
          </w:p>
        </w:tc>
        <w:tc>
          <w:tcPr>
            <w:tcW w:w="3000" w:type="pct"/>
          </w:tcPr>
          <w:p w14:paraId="3EC4E297" w14:textId="77777777" w:rsidR="00AE02D0" w:rsidRPr="00AE02D0" w:rsidRDefault="00AE02D0" w:rsidP="00AE02D0">
            <w:pPr>
              <w:pStyle w:val="TableRow"/>
              <w:spacing w:before="0" w:after="0" w:line="240" w:lineRule="auto"/>
              <w:jc w:val="left"/>
              <w:rPr>
                <w:sz w:val="20"/>
              </w:rPr>
            </w:pPr>
            <w:r w:rsidRPr="00AE02D0">
              <w:rPr>
                <w:sz w:val="20"/>
                <w:lang w:eastAsia="ja-JP"/>
              </w:rPr>
              <w:t>125 308 652 (January 1, 2022), 377,973.26km</w:t>
            </w:r>
            <w:r w:rsidRPr="00AE02D0">
              <w:rPr>
                <w:sz w:val="20"/>
                <w:vertAlign w:val="superscript"/>
                <w:lang w:eastAsia="ja-JP"/>
              </w:rPr>
              <w:t>2</w:t>
            </w:r>
          </w:p>
        </w:tc>
      </w:tr>
      <w:tr w:rsidR="00AE02D0" w:rsidRPr="00AE02D0" w14:paraId="576F1533" w14:textId="77777777" w:rsidTr="00A56BD3">
        <w:trPr>
          <w:trHeight w:val="238"/>
        </w:trPr>
        <w:tc>
          <w:tcPr>
            <w:tcW w:w="2000" w:type="pct"/>
          </w:tcPr>
          <w:p w14:paraId="7A09BFB1" w14:textId="77777777" w:rsidR="00AE02D0" w:rsidRPr="00AE02D0" w:rsidRDefault="00AE02D0" w:rsidP="00AE02D0">
            <w:pPr>
              <w:pStyle w:val="TableRow"/>
              <w:spacing w:before="0" w:after="0" w:line="240" w:lineRule="auto"/>
              <w:jc w:val="left"/>
              <w:rPr>
                <w:sz w:val="20"/>
              </w:rPr>
            </w:pPr>
            <w:r w:rsidRPr="00AE02D0">
              <w:rPr>
                <w:sz w:val="20"/>
              </w:rPr>
              <w:t xml:space="preserve">Administrative structure </w:t>
            </w:r>
            <w:r w:rsidRPr="00AE02D0">
              <w:rPr>
                <w:rFonts w:cs="Arial"/>
                <w:i/>
                <w:iCs/>
                <w:sz w:val="20"/>
              </w:rPr>
              <w:t>(unitary/federal)</w:t>
            </w:r>
          </w:p>
        </w:tc>
        <w:tc>
          <w:tcPr>
            <w:tcW w:w="3000" w:type="pct"/>
          </w:tcPr>
          <w:p w14:paraId="630BD173" w14:textId="77777777" w:rsidR="00AE02D0" w:rsidRPr="00AE02D0" w:rsidRDefault="00AE02D0" w:rsidP="00AE02D0">
            <w:pPr>
              <w:pStyle w:val="TableCell"/>
              <w:spacing w:before="0" w:after="0" w:line="240" w:lineRule="auto"/>
              <w:jc w:val="left"/>
              <w:rPr>
                <w:sz w:val="20"/>
                <w:szCs w:val="20"/>
              </w:rPr>
            </w:pPr>
            <w:r w:rsidRPr="00AE02D0">
              <w:rPr>
                <w:sz w:val="20"/>
                <w:szCs w:val="20"/>
              </w:rPr>
              <w:t>Unitary country</w:t>
            </w:r>
          </w:p>
        </w:tc>
      </w:tr>
      <w:tr w:rsidR="00AE02D0" w:rsidRPr="00AE02D0" w14:paraId="078B6AFA" w14:textId="77777777" w:rsidTr="00A56BD3">
        <w:trPr>
          <w:trHeight w:val="238"/>
        </w:trPr>
        <w:tc>
          <w:tcPr>
            <w:tcW w:w="2000" w:type="pct"/>
          </w:tcPr>
          <w:p w14:paraId="5B8D18FF" w14:textId="77777777" w:rsidR="00AE02D0" w:rsidRPr="00AE02D0" w:rsidRDefault="00AE02D0" w:rsidP="00AE02D0">
            <w:pPr>
              <w:pStyle w:val="TableRow"/>
              <w:spacing w:before="0" w:after="0" w:line="240" w:lineRule="auto"/>
              <w:jc w:val="left"/>
              <w:rPr>
                <w:sz w:val="20"/>
              </w:rPr>
            </w:pPr>
            <w:r w:rsidRPr="00AE02D0">
              <w:rPr>
                <w:sz w:val="20"/>
              </w:rPr>
              <w:t xml:space="preserve">Regional or state-level governments </w:t>
            </w:r>
            <w:r w:rsidRPr="00AE02D0">
              <w:rPr>
                <w:i/>
                <w:iCs/>
                <w:sz w:val="20"/>
              </w:rPr>
              <w:t>(number)</w:t>
            </w:r>
          </w:p>
        </w:tc>
        <w:tc>
          <w:tcPr>
            <w:tcW w:w="3000" w:type="pct"/>
          </w:tcPr>
          <w:p w14:paraId="4F04D5D0" w14:textId="77777777" w:rsidR="00AE02D0" w:rsidRPr="00AE02D0" w:rsidRDefault="00AE02D0" w:rsidP="00AE02D0">
            <w:pPr>
              <w:pStyle w:val="TableCell"/>
              <w:spacing w:before="0" w:after="0" w:line="240" w:lineRule="auto"/>
              <w:jc w:val="left"/>
              <w:rPr>
                <w:sz w:val="20"/>
                <w:szCs w:val="20"/>
              </w:rPr>
            </w:pPr>
            <w:r w:rsidRPr="00AE02D0">
              <w:rPr>
                <w:sz w:val="20"/>
                <w:szCs w:val="20"/>
              </w:rPr>
              <w:t xml:space="preserve">1 Metropolis, 1 Province, </w:t>
            </w:r>
            <w:r w:rsidRPr="00AE02D0">
              <w:rPr>
                <w:sz w:val="20"/>
                <w:szCs w:val="20"/>
                <w:lang w:eastAsia="ja-JP"/>
              </w:rPr>
              <w:t>45</w:t>
            </w:r>
            <w:r w:rsidRPr="00AE02D0">
              <w:rPr>
                <w:sz w:val="20"/>
                <w:szCs w:val="20"/>
              </w:rPr>
              <w:t xml:space="preserve"> Prefectures</w:t>
            </w:r>
          </w:p>
        </w:tc>
      </w:tr>
      <w:tr w:rsidR="00AE02D0" w:rsidRPr="00AE02D0" w14:paraId="67FACFFA" w14:textId="77777777" w:rsidTr="00A56BD3">
        <w:trPr>
          <w:trHeight w:val="238"/>
        </w:trPr>
        <w:tc>
          <w:tcPr>
            <w:tcW w:w="2000" w:type="pct"/>
          </w:tcPr>
          <w:p w14:paraId="0A93A734" w14:textId="77777777" w:rsidR="00AE02D0" w:rsidRPr="00AE02D0" w:rsidRDefault="00AE02D0" w:rsidP="00AE02D0">
            <w:pPr>
              <w:pStyle w:val="TableRow"/>
              <w:spacing w:before="0" w:after="0" w:line="240" w:lineRule="auto"/>
              <w:jc w:val="left"/>
              <w:rPr>
                <w:sz w:val="20"/>
              </w:rPr>
            </w:pPr>
            <w:r w:rsidRPr="00AE02D0">
              <w:rPr>
                <w:sz w:val="20"/>
              </w:rPr>
              <w:t xml:space="preserve">Intermediate-level governments </w:t>
            </w:r>
            <w:r w:rsidRPr="00AE02D0">
              <w:rPr>
                <w:i/>
                <w:iCs/>
                <w:sz w:val="20"/>
              </w:rPr>
              <w:t>(number)</w:t>
            </w:r>
          </w:p>
        </w:tc>
        <w:tc>
          <w:tcPr>
            <w:tcW w:w="3000" w:type="pct"/>
          </w:tcPr>
          <w:p w14:paraId="5D823A13" w14:textId="77777777" w:rsidR="00AE02D0" w:rsidRPr="00AE02D0" w:rsidRDefault="00AE02D0" w:rsidP="00AE02D0">
            <w:pPr>
              <w:pStyle w:val="TableCell"/>
              <w:spacing w:before="0" w:after="0" w:line="240" w:lineRule="auto"/>
              <w:jc w:val="left"/>
              <w:rPr>
                <w:sz w:val="20"/>
                <w:szCs w:val="20"/>
              </w:rPr>
            </w:pPr>
            <w:r w:rsidRPr="00AE02D0">
              <w:rPr>
                <w:sz w:val="20"/>
                <w:szCs w:val="20"/>
                <w:lang w:eastAsia="ja-JP"/>
              </w:rPr>
              <w:t>―</w:t>
            </w:r>
          </w:p>
        </w:tc>
      </w:tr>
      <w:tr w:rsidR="00AE02D0" w:rsidRPr="00AE02D0" w14:paraId="471881BA" w14:textId="77777777" w:rsidTr="00A56BD3">
        <w:trPr>
          <w:trHeight w:val="238"/>
        </w:trPr>
        <w:tc>
          <w:tcPr>
            <w:tcW w:w="2000" w:type="pct"/>
          </w:tcPr>
          <w:p w14:paraId="1C09AB4D" w14:textId="77777777" w:rsidR="00AE02D0" w:rsidRPr="00AE02D0" w:rsidRDefault="00AE02D0" w:rsidP="00AE02D0">
            <w:pPr>
              <w:pStyle w:val="TableRow"/>
              <w:spacing w:before="0" w:after="0" w:line="240" w:lineRule="auto"/>
              <w:jc w:val="left"/>
              <w:rPr>
                <w:sz w:val="20"/>
              </w:rPr>
            </w:pPr>
            <w:r w:rsidRPr="00AE02D0">
              <w:rPr>
                <w:sz w:val="20"/>
              </w:rPr>
              <w:t xml:space="preserve">Municipal-level governments </w:t>
            </w:r>
            <w:r w:rsidRPr="00AE02D0">
              <w:rPr>
                <w:i/>
                <w:iCs/>
                <w:sz w:val="20"/>
              </w:rPr>
              <w:t>(number)</w:t>
            </w:r>
          </w:p>
        </w:tc>
        <w:tc>
          <w:tcPr>
            <w:tcW w:w="3000" w:type="pct"/>
          </w:tcPr>
          <w:p w14:paraId="39FD57A7" w14:textId="77777777" w:rsidR="00AE02D0" w:rsidRPr="00AE02D0" w:rsidRDefault="00AE02D0" w:rsidP="00AE02D0">
            <w:pPr>
              <w:pStyle w:val="TableCell"/>
              <w:spacing w:before="0" w:after="0" w:line="240" w:lineRule="auto"/>
              <w:jc w:val="left"/>
              <w:rPr>
                <w:sz w:val="20"/>
                <w:szCs w:val="20"/>
              </w:rPr>
            </w:pPr>
            <w:r w:rsidRPr="00AE02D0">
              <w:rPr>
                <w:sz w:val="20"/>
                <w:szCs w:val="20"/>
                <w:lang w:eastAsia="ja-JP"/>
              </w:rPr>
              <w:t>1 724 Municipalities</w:t>
            </w:r>
          </w:p>
        </w:tc>
      </w:tr>
      <w:tr w:rsidR="00AE02D0" w:rsidRPr="00AE02D0" w14:paraId="2BD504C3" w14:textId="77777777" w:rsidTr="00A56BD3">
        <w:trPr>
          <w:trHeight w:val="451"/>
        </w:trPr>
        <w:tc>
          <w:tcPr>
            <w:tcW w:w="2000" w:type="pct"/>
          </w:tcPr>
          <w:p w14:paraId="1235912B" w14:textId="77777777" w:rsidR="00AE02D0" w:rsidRPr="00AE02D0" w:rsidRDefault="00AE02D0" w:rsidP="00AE02D0">
            <w:pPr>
              <w:pStyle w:val="TableRow"/>
              <w:spacing w:before="0" w:after="0" w:line="240" w:lineRule="auto"/>
              <w:jc w:val="left"/>
              <w:rPr>
                <w:sz w:val="20"/>
              </w:rPr>
            </w:pPr>
            <w:r w:rsidRPr="00AE02D0">
              <w:rPr>
                <w:sz w:val="20"/>
              </w:rPr>
              <w:t>Share of subnational government in total expenditure/revenues (2021)</w:t>
            </w:r>
          </w:p>
        </w:tc>
        <w:tc>
          <w:tcPr>
            <w:tcW w:w="3000" w:type="pct"/>
          </w:tcPr>
          <w:p w14:paraId="2C0ED4DF" w14:textId="77777777" w:rsidR="00AE02D0" w:rsidRPr="00AE02D0" w:rsidRDefault="00AE02D0" w:rsidP="00AE02D0">
            <w:pPr>
              <w:spacing w:after="0" w:line="240" w:lineRule="auto"/>
              <w:jc w:val="left"/>
              <w:rPr>
                <w:rFonts w:ascii="Arial Narrow" w:hAnsi="Arial Narrow"/>
              </w:rPr>
            </w:pPr>
            <w:r w:rsidRPr="00AE02D0">
              <w:rPr>
                <w:rFonts w:ascii="Arial Narrow" w:hAnsi="Arial Narrow"/>
              </w:rPr>
              <w:t>41.9% of total expenditure</w:t>
            </w:r>
          </w:p>
          <w:p w14:paraId="500935F8" w14:textId="77777777" w:rsidR="00AE02D0" w:rsidRPr="00AE02D0" w:rsidRDefault="00AE02D0" w:rsidP="00AE02D0">
            <w:pPr>
              <w:spacing w:after="0" w:line="240" w:lineRule="auto"/>
              <w:jc w:val="left"/>
              <w:rPr>
                <w:rFonts w:ascii="Arial Narrow" w:hAnsi="Arial Narrow"/>
              </w:rPr>
            </w:pPr>
            <w:r w:rsidRPr="00AE02D0">
              <w:rPr>
                <w:rFonts w:ascii="Arial Narrow" w:hAnsi="Arial Narrow"/>
              </w:rPr>
              <w:t>50.3% of total revenues</w:t>
            </w:r>
          </w:p>
          <w:p w14:paraId="0C684576" w14:textId="77777777" w:rsidR="00AE02D0" w:rsidRPr="00AE02D0" w:rsidRDefault="00AE02D0" w:rsidP="00AE02D0">
            <w:pPr>
              <w:spacing w:after="0" w:line="240" w:lineRule="auto"/>
              <w:jc w:val="left"/>
              <w:rPr>
                <w:rFonts w:ascii="Arial Narrow" w:hAnsi="Arial Narrow"/>
              </w:rPr>
            </w:pPr>
          </w:p>
          <w:p w14:paraId="173D7598" w14:textId="77777777" w:rsidR="00AE02D0" w:rsidRPr="00AE02D0" w:rsidRDefault="00AE02D0" w:rsidP="00AE02D0">
            <w:pPr>
              <w:pStyle w:val="TableCell"/>
              <w:spacing w:before="0" w:after="0" w:line="240" w:lineRule="auto"/>
              <w:jc w:val="left"/>
              <w:rPr>
                <w:color w:val="000000"/>
                <w:sz w:val="20"/>
                <w:szCs w:val="20"/>
              </w:rPr>
            </w:pPr>
            <w:r w:rsidRPr="00AE02D0">
              <w:rPr>
                <w:sz w:val="20"/>
                <w:szCs w:val="20"/>
              </w:rPr>
              <w:t xml:space="preserve">[Source: </w:t>
            </w:r>
            <w:hyperlink r:id="rId10" w:history="1">
              <w:r w:rsidRPr="00AE02D0">
                <w:rPr>
                  <w:rStyle w:val="Hyperlink"/>
                  <w:sz w:val="20"/>
                  <w:szCs w:val="20"/>
                </w:rPr>
                <w:t>Subnational governments in OECD countries: key data, 2023 edition</w:t>
              </w:r>
            </w:hyperlink>
            <w:r w:rsidRPr="00AE02D0">
              <w:rPr>
                <w:sz w:val="20"/>
                <w:szCs w:val="20"/>
              </w:rPr>
              <w:t>]</w:t>
            </w:r>
          </w:p>
        </w:tc>
      </w:tr>
      <w:tr w:rsidR="00AE02D0" w:rsidRPr="00AE02D0" w14:paraId="70C11E9C" w14:textId="77777777" w:rsidTr="00A56BD3">
        <w:trPr>
          <w:trHeight w:val="238"/>
        </w:trPr>
        <w:tc>
          <w:tcPr>
            <w:tcW w:w="2000" w:type="pct"/>
          </w:tcPr>
          <w:p w14:paraId="26247DB0" w14:textId="77777777" w:rsidR="00AE02D0" w:rsidRPr="00AE02D0" w:rsidRDefault="00AE02D0" w:rsidP="00AE02D0">
            <w:pPr>
              <w:pStyle w:val="TableRow"/>
              <w:spacing w:before="0" w:after="0" w:line="240" w:lineRule="auto"/>
              <w:jc w:val="left"/>
              <w:rPr>
                <w:sz w:val="20"/>
              </w:rPr>
            </w:pPr>
            <w:r w:rsidRPr="00AE02D0">
              <w:rPr>
                <w:sz w:val="20"/>
              </w:rPr>
              <w:t>Key regional development challenges</w:t>
            </w:r>
          </w:p>
        </w:tc>
        <w:tc>
          <w:tcPr>
            <w:tcW w:w="3000" w:type="pct"/>
          </w:tcPr>
          <w:p w14:paraId="60F6A266" w14:textId="77777777" w:rsidR="00AE02D0" w:rsidRPr="00AE02D0" w:rsidRDefault="00AE02D0" w:rsidP="00AE02D0">
            <w:pPr>
              <w:pStyle w:val="TableCell"/>
              <w:spacing w:before="0" w:after="0" w:line="240" w:lineRule="auto"/>
              <w:jc w:val="left"/>
              <w:rPr>
                <w:sz w:val="20"/>
                <w:szCs w:val="20"/>
                <w:highlight w:val="yellow"/>
              </w:rPr>
            </w:pPr>
            <w:r w:rsidRPr="00AE02D0">
              <w:rPr>
                <w:color w:val="auto"/>
                <w:sz w:val="20"/>
                <w:szCs w:val="20"/>
                <w:lang w:eastAsia="ja-JP"/>
              </w:rPr>
              <w:t xml:space="preserve">Population decline, declining </w:t>
            </w:r>
            <w:proofErr w:type="spellStart"/>
            <w:proofErr w:type="gramStart"/>
            <w:r w:rsidRPr="00AE02D0">
              <w:rPr>
                <w:color w:val="auto"/>
                <w:sz w:val="20"/>
                <w:szCs w:val="20"/>
                <w:lang w:eastAsia="ja-JP"/>
              </w:rPr>
              <w:t>birthrate</w:t>
            </w:r>
            <w:proofErr w:type="spellEnd"/>
            <w:proofErr w:type="gramEnd"/>
            <w:r w:rsidRPr="00AE02D0">
              <w:rPr>
                <w:color w:val="auto"/>
                <w:sz w:val="20"/>
                <w:szCs w:val="20"/>
                <w:lang w:eastAsia="ja-JP"/>
              </w:rPr>
              <w:t xml:space="preserve"> and aging population, and hollowing out of regional industries, etc.</w:t>
            </w:r>
          </w:p>
        </w:tc>
      </w:tr>
      <w:tr w:rsidR="00AE02D0" w:rsidRPr="00AE02D0" w14:paraId="48690F51" w14:textId="77777777" w:rsidTr="00A56BD3">
        <w:trPr>
          <w:trHeight w:val="238"/>
        </w:trPr>
        <w:tc>
          <w:tcPr>
            <w:tcW w:w="2000" w:type="pct"/>
          </w:tcPr>
          <w:p w14:paraId="3BC034AB" w14:textId="77777777" w:rsidR="00AE02D0" w:rsidRPr="00AE02D0" w:rsidRDefault="00AE02D0" w:rsidP="00AE02D0">
            <w:pPr>
              <w:pStyle w:val="TableRow"/>
              <w:spacing w:before="0" w:after="0" w:line="240" w:lineRule="auto"/>
              <w:jc w:val="left"/>
              <w:rPr>
                <w:sz w:val="20"/>
              </w:rPr>
            </w:pPr>
            <w:r w:rsidRPr="00AE02D0">
              <w:rPr>
                <w:sz w:val="20"/>
              </w:rPr>
              <w:t>Objectives of regional policy</w:t>
            </w:r>
          </w:p>
        </w:tc>
        <w:tc>
          <w:tcPr>
            <w:tcW w:w="3000" w:type="pct"/>
          </w:tcPr>
          <w:p w14:paraId="57B15079" w14:textId="77777777" w:rsidR="00AE02D0" w:rsidRPr="00AE02D0" w:rsidRDefault="00AE02D0" w:rsidP="00AE02D0">
            <w:pPr>
              <w:pStyle w:val="TableCell"/>
              <w:spacing w:before="0" w:after="0" w:line="240" w:lineRule="auto"/>
              <w:jc w:val="left"/>
              <w:rPr>
                <w:sz w:val="20"/>
                <w:szCs w:val="20"/>
                <w:highlight w:val="yellow"/>
              </w:rPr>
            </w:pPr>
            <w:r w:rsidRPr="00AE02D0">
              <w:rPr>
                <w:color w:val="auto"/>
                <w:sz w:val="20"/>
                <w:szCs w:val="20"/>
              </w:rPr>
              <w:t>“The Vision for a Digital Garden City Nation” aims to solve rural issues and improve rural attractiveness while utilizing strength of each region through digital technologies, and to realize a society where everyone can live conveniently and comfortably wherever they live in Japan.</w:t>
            </w:r>
          </w:p>
        </w:tc>
      </w:tr>
      <w:tr w:rsidR="00AE02D0" w:rsidRPr="00AE02D0" w14:paraId="3598901E" w14:textId="77777777" w:rsidTr="00A56BD3">
        <w:trPr>
          <w:trHeight w:val="238"/>
        </w:trPr>
        <w:tc>
          <w:tcPr>
            <w:tcW w:w="2000" w:type="pct"/>
          </w:tcPr>
          <w:p w14:paraId="017D7CB5" w14:textId="77777777" w:rsidR="00AE02D0" w:rsidRPr="00AE02D0" w:rsidRDefault="00AE02D0" w:rsidP="00AE02D0">
            <w:pPr>
              <w:pStyle w:val="TableRow"/>
              <w:spacing w:before="0" w:after="0" w:line="240" w:lineRule="auto"/>
              <w:jc w:val="left"/>
              <w:rPr>
                <w:sz w:val="20"/>
              </w:rPr>
            </w:pPr>
            <w:r w:rsidRPr="00AE02D0">
              <w:rPr>
                <w:sz w:val="20"/>
              </w:rPr>
              <w:t>Legal/institutional framework for regional policy</w:t>
            </w:r>
          </w:p>
        </w:tc>
        <w:tc>
          <w:tcPr>
            <w:tcW w:w="3000" w:type="pct"/>
          </w:tcPr>
          <w:p w14:paraId="4625DCE8" w14:textId="77777777" w:rsidR="00AE02D0" w:rsidRPr="00AE02D0" w:rsidRDefault="00AE02D0" w:rsidP="00AE02D0">
            <w:pPr>
              <w:pStyle w:val="TableCell"/>
              <w:spacing w:before="0" w:after="0" w:line="240" w:lineRule="auto"/>
              <w:jc w:val="left"/>
              <w:rPr>
                <w:sz w:val="20"/>
                <w:szCs w:val="20"/>
              </w:rPr>
            </w:pPr>
            <w:r w:rsidRPr="00AE02D0">
              <w:rPr>
                <w:color w:val="auto"/>
                <w:sz w:val="20"/>
                <w:szCs w:val="20"/>
                <w:lang w:eastAsia="ja-JP"/>
              </w:rPr>
              <w:t>National Spatial Planning Act (1950, largely amended in 2005)</w:t>
            </w:r>
          </w:p>
        </w:tc>
      </w:tr>
      <w:tr w:rsidR="00AE02D0" w:rsidRPr="00AE02D0" w14:paraId="498B7FB3" w14:textId="77777777" w:rsidTr="00A56BD3">
        <w:trPr>
          <w:trHeight w:val="238"/>
        </w:trPr>
        <w:tc>
          <w:tcPr>
            <w:tcW w:w="2000" w:type="pct"/>
          </w:tcPr>
          <w:p w14:paraId="38DD9A0D" w14:textId="77777777" w:rsidR="00AE02D0" w:rsidRPr="00AE02D0" w:rsidRDefault="00AE02D0" w:rsidP="00AE02D0">
            <w:pPr>
              <w:pStyle w:val="TableRow"/>
              <w:spacing w:before="0" w:after="0" w:line="240" w:lineRule="auto"/>
              <w:rPr>
                <w:sz w:val="20"/>
              </w:rPr>
            </w:pPr>
            <w:r w:rsidRPr="00AE02D0">
              <w:rPr>
                <w:sz w:val="20"/>
              </w:rPr>
              <w:t>Budget allocated to regional development (i.e., amount) and fiscal equalisation mechanisms between jurisdictions (if any)</w:t>
            </w:r>
          </w:p>
        </w:tc>
        <w:tc>
          <w:tcPr>
            <w:tcW w:w="3000" w:type="pct"/>
          </w:tcPr>
          <w:p w14:paraId="286BC5AE" w14:textId="77777777" w:rsidR="00AE02D0" w:rsidRPr="00AE02D0" w:rsidRDefault="00AE02D0" w:rsidP="00AE02D0">
            <w:pPr>
              <w:pStyle w:val="TableCell"/>
              <w:spacing w:before="0" w:after="0" w:line="240" w:lineRule="auto"/>
              <w:jc w:val="left"/>
              <w:rPr>
                <w:sz w:val="20"/>
                <w:szCs w:val="20"/>
              </w:rPr>
            </w:pPr>
          </w:p>
        </w:tc>
      </w:tr>
      <w:tr w:rsidR="00AE02D0" w:rsidRPr="00AE02D0" w14:paraId="09A6BE52" w14:textId="77777777" w:rsidTr="00A56BD3">
        <w:trPr>
          <w:trHeight w:val="238"/>
        </w:trPr>
        <w:tc>
          <w:tcPr>
            <w:tcW w:w="2000" w:type="pct"/>
          </w:tcPr>
          <w:p w14:paraId="07AEC78E" w14:textId="77777777" w:rsidR="00AE02D0" w:rsidRPr="00AE02D0" w:rsidRDefault="00AE02D0" w:rsidP="00AE02D0">
            <w:pPr>
              <w:pStyle w:val="TableRow"/>
              <w:spacing w:before="0" w:after="0" w:line="240" w:lineRule="auto"/>
              <w:rPr>
                <w:sz w:val="20"/>
              </w:rPr>
            </w:pPr>
            <w:r w:rsidRPr="00AE02D0">
              <w:rPr>
                <w:sz w:val="20"/>
              </w:rPr>
              <w:t>National regional development policy framework</w:t>
            </w:r>
          </w:p>
        </w:tc>
        <w:tc>
          <w:tcPr>
            <w:tcW w:w="3000" w:type="pct"/>
          </w:tcPr>
          <w:p w14:paraId="572A37AD" w14:textId="77777777" w:rsidR="00AE02D0" w:rsidRPr="00AE02D0" w:rsidRDefault="00AE02D0" w:rsidP="00AE02D0">
            <w:pPr>
              <w:pStyle w:val="TableCell"/>
              <w:spacing w:before="0" w:after="0" w:line="240" w:lineRule="auto"/>
              <w:jc w:val="left"/>
              <w:rPr>
                <w:sz w:val="20"/>
                <w:szCs w:val="20"/>
                <w:highlight w:val="yellow"/>
              </w:rPr>
            </w:pPr>
          </w:p>
        </w:tc>
      </w:tr>
      <w:tr w:rsidR="00AE02D0" w:rsidRPr="00AE02D0" w14:paraId="1D666AEA" w14:textId="77777777" w:rsidTr="00A56BD3">
        <w:trPr>
          <w:trHeight w:val="238"/>
        </w:trPr>
        <w:tc>
          <w:tcPr>
            <w:tcW w:w="2000" w:type="pct"/>
          </w:tcPr>
          <w:p w14:paraId="5CDFF46D" w14:textId="77777777" w:rsidR="00AE02D0" w:rsidRPr="00AE02D0" w:rsidRDefault="00AE02D0" w:rsidP="00AE02D0">
            <w:pPr>
              <w:pStyle w:val="TableRow"/>
              <w:spacing w:before="0" w:after="0" w:line="240" w:lineRule="auto"/>
              <w:jc w:val="left"/>
              <w:rPr>
                <w:sz w:val="20"/>
              </w:rPr>
            </w:pPr>
            <w:r w:rsidRPr="00AE02D0">
              <w:rPr>
                <w:sz w:val="20"/>
              </w:rPr>
              <w:t>Urban policy framework</w:t>
            </w:r>
          </w:p>
        </w:tc>
        <w:tc>
          <w:tcPr>
            <w:tcW w:w="3000" w:type="pct"/>
          </w:tcPr>
          <w:p w14:paraId="16B0F2FC" w14:textId="77777777" w:rsidR="00AE02D0" w:rsidRPr="00AE02D0" w:rsidRDefault="00AE02D0" w:rsidP="00AE02D0">
            <w:pPr>
              <w:pStyle w:val="TableCell"/>
              <w:spacing w:before="0" w:after="0" w:line="240" w:lineRule="auto"/>
              <w:jc w:val="left"/>
              <w:rPr>
                <w:sz w:val="20"/>
                <w:szCs w:val="20"/>
              </w:rPr>
            </w:pPr>
            <w:r w:rsidRPr="00AE02D0">
              <w:rPr>
                <w:rFonts w:cs="Arial"/>
                <w:sz w:val="20"/>
                <w:szCs w:val="20"/>
              </w:rPr>
              <w:t>City Planning Act (1968)</w:t>
            </w:r>
            <w:r w:rsidRPr="00AE02D0">
              <w:rPr>
                <w:rFonts w:cs="Arial"/>
                <w:sz w:val="20"/>
                <w:szCs w:val="20"/>
                <w:lang w:eastAsia="ja-JP"/>
              </w:rPr>
              <w:t xml:space="preserve">, </w:t>
            </w:r>
            <w:r w:rsidRPr="00AE02D0">
              <w:rPr>
                <w:rFonts w:cs="Arial"/>
                <w:sz w:val="20"/>
                <w:szCs w:val="20"/>
              </w:rPr>
              <w:t>Urban Renaissance Special Measures Law (2014)</w:t>
            </w:r>
          </w:p>
        </w:tc>
      </w:tr>
      <w:tr w:rsidR="00AE02D0" w:rsidRPr="00AE02D0" w14:paraId="7F791919" w14:textId="77777777" w:rsidTr="00A56BD3">
        <w:trPr>
          <w:trHeight w:val="238"/>
        </w:trPr>
        <w:tc>
          <w:tcPr>
            <w:tcW w:w="2000" w:type="pct"/>
          </w:tcPr>
          <w:p w14:paraId="7D2063C7" w14:textId="77777777" w:rsidR="00AE02D0" w:rsidRPr="00AE02D0" w:rsidRDefault="00AE02D0" w:rsidP="00AE02D0">
            <w:pPr>
              <w:pStyle w:val="TableRow"/>
              <w:spacing w:before="0" w:after="0" w:line="240" w:lineRule="auto"/>
              <w:jc w:val="left"/>
              <w:rPr>
                <w:sz w:val="20"/>
              </w:rPr>
            </w:pPr>
            <w:r w:rsidRPr="00AE02D0">
              <w:rPr>
                <w:sz w:val="20"/>
              </w:rPr>
              <w:t>Rural policy framework</w:t>
            </w:r>
          </w:p>
        </w:tc>
        <w:tc>
          <w:tcPr>
            <w:tcW w:w="3000" w:type="pct"/>
          </w:tcPr>
          <w:p w14:paraId="5EA0C227" w14:textId="77777777" w:rsidR="00AE02D0" w:rsidRPr="00AE02D0" w:rsidRDefault="00AE02D0" w:rsidP="00AE02D0">
            <w:pPr>
              <w:pStyle w:val="TableCell"/>
              <w:spacing w:before="0" w:after="0" w:line="240" w:lineRule="auto"/>
              <w:jc w:val="left"/>
              <w:rPr>
                <w:rFonts w:cs="Arial"/>
                <w:sz w:val="20"/>
                <w:szCs w:val="20"/>
                <w:lang w:eastAsia="ja-JP"/>
              </w:rPr>
            </w:pPr>
            <w:r w:rsidRPr="00AE02D0">
              <w:rPr>
                <w:rFonts w:cs="Arial"/>
                <w:sz w:val="20"/>
                <w:szCs w:val="20"/>
              </w:rPr>
              <w:t>The Basic Law on Food, Agriculture and Rural Areas (1999</w:t>
            </w:r>
            <w:r w:rsidRPr="00AE02D0">
              <w:rPr>
                <w:rFonts w:cs="Arial"/>
                <w:sz w:val="20"/>
                <w:szCs w:val="20"/>
                <w:lang w:eastAsia="ja-JP"/>
              </w:rPr>
              <w:t>)</w:t>
            </w:r>
          </w:p>
          <w:p w14:paraId="58452B8E" w14:textId="77777777" w:rsidR="00AE02D0" w:rsidRPr="00AE02D0" w:rsidRDefault="00AE02D0" w:rsidP="00AE02D0">
            <w:pPr>
              <w:pStyle w:val="TableCell"/>
              <w:spacing w:before="0" w:after="0" w:line="240" w:lineRule="auto"/>
              <w:jc w:val="left"/>
              <w:rPr>
                <w:sz w:val="20"/>
                <w:szCs w:val="20"/>
              </w:rPr>
            </w:pPr>
            <w:r w:rsidRPr="00AE02D0">
              <w:rPr>
                <w:rFonts w:cs="Arial"/>
                <w:sz w:val="20"/>
                <w:szCs w:val="20"/>
                <w:lang w:eastAsia="ja-JP"/>
              </w:rPr>
              <w:t xml:space="preserve">The Basic Plan for Food, Agriculture and Rural Areas (2020) </w:t>
            </w:r>
          </w:p>
          <w:p w14:paraId="70A4DB2C" w14:textId="77777777" w:rsidR="00AE02D0" w:rsidRPr="00AE02D0" w:rsidRDefault="00AE02D0" w:rsidP="00AE02D0">
            <w:pPr>
              <w:pStyle w:val="TableCell"/>
              <w:spacing w:before="0" w:after="0" w:line="240" w:lineRule="auto"/>
              <w:jc w:val="left"/>
              <w:rPr>
                <w:sz w:val="20"/>
                <w:szCs w:val="20"/>
              </w:rPr>
            </w:pPr>
          </w:p>
        </w:tc>
      </w:tr>
      <w:tr w:rsidR="00AE02D0" w:rsidRPr="00AE02D0" w14:paraId="08F6E32F" w14:textId="77777777" w:rsidTr="00A56BD3">
        <w:trPr>
          <w:trHeight w:val="238"/>
        </w:trPr>
        <w:tc>
          <w:tcPr>
            <w:tcW w:w="2000" w:type="pct"/>
          </w:tcPr>
          <w:p w14:paraId="63C4C67F" w14:textId="77777777" w:rsidR="00AE02D0" w:rsidRPr="00AE02D0" w:rsidRDefault="00AE02D0" w:rsidP="00AE02D0">
            <w:pPr>
              <w:pStyle w:val="TableRow"/>
              <w:spacing w:before="0" w:after="0" w:line="240" w:lineRule="auto"/>
              <w:jc w:val="left"/>
              <w:rPr>
                <w:sz w:val="20"/>
              </w:rPr>
            </w:pPr>
            <w:r w:rsidRPr="00AE02D0">
              <w:rPr>
                <w:sz w:val="20"/>
              </w:rPr>
              <w:t>Major regional policy tools (e.g., funds, plans, policy initiatives, institutional agreements, etc.)</w:t>
            </w:r>
          </w:p>
        </w:tc>
        <w:tc>
          <w:tcPr>
            <w:tcW w:w="3000" w:type="pct"/>
          </w:tcPr>
          <w:p w14:paraId="0EFFDE11" w14:textId="77777777" w:rsidR="00AE02D0" w:rsidRPr="00AE02D0" w:rsidRDefault="00AE02D0" w:rsidP="00AE02D0">
            <w:pPr>
              <w:pStyle w:val="TableCell"/>
              <w:spacing w:before="0" w:after="0" w:line="240" w:lineRule="auto"/>
              <w:jc w:val="left"/>
              <w:rPr>
                <w:sz w:val="20"/>
                <w:szCs w:val="20"/>
              </w:rPr>
            </w:pPr>
            <w:r w:rsidRPr="00AE02D0">
              <w:rPr>
                <w:sz w:val="20"/>
                <w:szCs w:val="20"/>
                <w:lang w:eastAsia="ja-JP"/>
              </w:rPr>
              <w:t>National</w:t>
            </w:r>
            <w:r w:rsidRPr="00AE02D0">
              <w:rPr>
                <w:sz w:val="20"/>
                <w:szCs w:val="20"/>
              </w:rPr>
              <w:t xml:space="preserve"> Spatial </w:t>
            </w:r>
            <w:proofErr w:type="gramStart"/>
            <w:r w:rsidRPr="00AE02D0">
              <w:rPr>
                <w:sz w:val="20"/>
                <w:szCs w:val="20"/>
              </w:rPr>
              <w:t>Strategy(</w:t>
            </w:r>
            <w:proofErr w:type="gramEnd"/>
            <w:r w:rsidRPr="00AE02D0">
              <w:rPr>
                <w:sz w:val="20"/>
                <w:szCs w:val="20"/>
              </w:rPr>
              <w:t>Regional Plan)</w:t>
            </w:r>
          </w:p>
        </w:tc>
      </w:tr>
      <w:tr w:rsidR="00AE02D0" w:rsidRPr="00AE02D0" w14:paraId="1638D92D" w14:textId="77777777" w:rsidTr="00A56BD3">
        <w:trPr>
          <w:trHeight w:val="238"/>
        </w:trPr>
        <w:tc>
          <w:tcPr>
            <w:tcW w:w="2000" w:type="pct"/>
          </w:tcPr>
          <w:p w14:paraId="02762D9D" w14:textId="77777777" w:rsidR="00AE02D0" w:rsidRPr="00AE02D0" w:rsidRDefault="00AE02D0" w:rsidP="00AE02D0">
            <w:pPr>
              <w:pStyle w:val="TableRow"/>
              <w:spacing w:before="0" w:after="0" w:line="240" w:lineRule="auto"/>
              <w:jc w:val="left"/>
              <w:rPr>
                <w:sz w:val="20"/>
              </w:rPr>
            </w:pPr>
            <w:r w:rsidRPr="00AE02D0">
              <w:rPr>
                <w:sz w:val="20"/>
              </w:rPr>
              <w:t xml:space="preserve">Policy co-ordination tools at national level </w:t>
            </w:r>
          </w:p>
        </w:tc>
        <w:tc>
          <w:tcPr>
            <w:tcW w:w="3000" w:type="pct"/>
          </w:tcPr>
          <w:p w14:paraId="0AC0819B" w14:textId="77777777" w:rsidR="00AE02D0" w:rsidRPr="00AE02D0" w:rsidRDefault="00AE02D0" w:rsidP="00AE02D0">
            <w:pPr>
              <w:pStyle w:val="TableCell"/>
              <w:spacing w:before="0" w:after="0" w:line="240" w:lineRule="auto"/>
              <w:jc w:val="left"/>
              <w:rPr>
                <w:sz w:val="20"/>
                <w:szCs w:val="20"/>
                <w:highlight w:val="yellow"/>
              </w:rPr>
            </w:pPr>
          </w:p>
        </w:tc>
      </w:tr>
      <w:tr w:rsidR="00AE02D0" w:rsidRPr="00AE02D0" w14:paraId="5D45EBA3" w14:textId="77777777" w:rsidTr="00A56BD3">
        <w:trPr>
          <w:trHeight w:val="238"/>
        </w:trPr>
        <w:tc>
          <w:tcPr>
            <w:tcW w:w="2000" w:type="pct"/>
          </w:tcPr>
          <w:p w14:paraId="1DF050DB" w14:textId="77777777" w:rsidR="00AE02D0" w:rsidRPr="00AE02D0" w:rsidRDefault="00AE02D0" w:rsidP="00AE02D0">
            <w:pPr>
              <w:pStyle w:val="TableRow"/>
              <w:spacing w:before="0" w:after="0" w:line="240" w:lineRule="auto"/>
              <w:jc w:val="left"/>
              <w:rPr>
                <w:sz w:val="20"/>
              </w:rPr>
            </w:pPr>
            <w:r w:rsidRPr="00AE02D0">
              <w:rPr>
                <w:sz w:val="20"/>
              </w:rPr>
              <w:t>Multi-level governance mechanisms between national and subnational levels (e.g., institutional agreements, Committees, etc.)</w:t>
            </w:r>
          </w:p>
        </w:tc>
        <w:tc>
          <w:tcPr>
            <w:tcW w:w="3000" w:type="pct"/>
          </w:tcPr>
          <w:p w14:paraId="275AB106" w14:textId="77777777" w:rsidR="00AE02D0" w:rsidRPr="00AE02D0" w:rsidRDefault="00AE02D0" w:rsidP="00AE02D0">
            <w:pPr>
              <w:pStyle w:val="TableCell"/>
              <w:spacing w:before="0" w:after="0" w:line="240" w:lineRule="auto"/>
              <w:jc w:val="left"/>
              <w:rPr>
                <w:sz w:val="20"/>
                <w:szCs w:val="20"/>
                <w:highlight w:val="yellow"/>
              </w:rPr>
            </w:pPr>
          </w:p>
        </w:tc>
      </w:tr>
      <w:tr w:rsidR="00AE02D0" w:rsidRPr="00AE02D0" w14:paraId="5C8A424D" w14:textId="77777777" w:rsidTr="00A56BD3">
        <w:trPr>
          <w:trHeight w:val="238"/>
        </w:trPr>
        <w:tc>
          <w:tcPr>
            <w:tcW w:w="2000" w:type="pct"/>
          </w:tcPr>
          <w:p w14:paraId="5E6DB41A" w14:textId="77777777" w:rsidR="00AE02D0" w:rsidRPr="00AE02D0" w:rsidRDefault="00AE02D0" w:rsidP="00AE02D0">
            <w:pPr>
              <w:pStyle w:val="TableRow"/>
              <w:spacing w:before="0" w:after="0" w:line="240" w:lineRule="auto"/>
              <w:jc w:val="left"/>
              <w:rPr>
                <w:sz w:val="20"/>
              </w:rPr>
            </w:pPr>
            <w:r w:rsidRPr="00AE02D0">
              <w:rPr>
                <w:sz w:val="20"/>
              </w:rPr>
              <w:t xml:space="preserve">Policy co-ordination tools at regional level </w:t>
            </w:r>
          </w:p>
        </w:tc>
        <w:tc>
          <w:tcPr>
            <w:tcW w:w="3000" w:type="pct"/>
          </w:tcPr>
          <w:p w14:paraId="31A3308C" w14:textId="77777777" w:rsidR="00AE02D0" w:rsidRPr="00AE02D0" w:rsidRDefault="00AE02D0" w:rsidP="00AE02D0">
            <w:pPr>
              <w:pStyle w:val="TableCell"/>
              <w:spacing w:before="0" w:after="0" w:line="240" w:lineRule="auto"/>
              <w:jc w:val="left"/>
              <w:rPr>
                <w:sz w:val="20"/>
                <w:szCs w:val="20"/>
                <w:highlight w:val="yellow"/>
              </w:rPr>
            </w:pPr>
          </w:p>
        </w:tc>
      </w:tr>
      <w:tr w:rsidR="00AE02D0" w:rsidRPr="00AE02D0" w14:paraId="448B649C" w14:textId="77777777" w:rsidTr="00A56BD3">
        <w:trPr>
          <w:trHeight w:val="238"/>
        </w:trPr>
        <w:tc>
          <w:tcPr>
            <w:tcW w:w="2000" w:type="pct"/>
          </w:tcPr>
          <w:p w14:paraId="3F1E5CD7" w14:textId="77777777" w:rsidR="00AE02D0" w:rsidRPr="00AE02D0" w:rsidRDefault="00AE02D0" w:rsidP="00AE02D0">
            <w:pPr>
              <w:pStyle w:val="TableRow"/>
              <w:spacing w:before="0" w:after="0" w:line="240" w:lineRule="auto"/>
              <w:jc w:val="left"/>
              <w:rPr>
                <w:sz w:val="20"/>
              </w:rPr>
            </w:pPr>
            <w:r w:rsidRPr="00AE02D0">
              <w:rPr>
                <w:sz w:val="20"/>
              </w:rPr>
              <w:t>Evaluation and monitoring tools</w:t>
            </w:r>
          </w:p>
        </w:tc>
        <w:tc>
          <w:tcPr>
            <w:tcW w:w="3000" w:type="pct"/>
          </w:tcPr>
          <w:p w14:paraId="0ADC67EB" w14:textId="77777777" w:rsidR="00AE02D0" w:rsidRPr="00AE02D0" w:rsidRDefault="00AE02D0" w:rsidP="00AE02D0">
            <w:pPr>
              <w:pStyle w:val="TableCell"/>
              <w:spacing w:before="0" w:after="0" w:line="240" w:lineRule="auto"/>
              <w:jc w:val="left"/>
              <w:rPr>
                <w:sz w:val="20"/>
                <w:szCs w:val="20"/>
                <w:highlight w:val="yellow"/>
              </w:rPr>
            </w:pPr>
          </w:p>
        </w:tc>
      </w:tr>
      <w:tr w:rsidR="00AE02D0" w:rsidRPr="00AE02D0" w14:paraId="7F8C28C8" w14:textId="77777777" w:rsidTr="00A56BD3">
        <w:trPr>
          <w:trHeight w:val="238"/>
        </w:trPr>
        <w:tc>
          <w:tcPr>
            <w:tcW w:w="2000" w:type="pct"/>
          </w:tcPr>
          <w:p w14:paraId="329F7E07" w14:textId="77777777" w:rsidR="00AE02D0" w:rsidRPr="00AE02D0" w:rsidRDefault="00AE02D0" w:rsidP="00AE02D0">
            <w:pPr>
              <w:pStyle w:val="TableRow"/>
              <w:spacing w:before="0" w:after="0" w:line="240" w:lineRule="auto"/>
              <w:jc w:val="left"/>
              <w:rPr>
                <w:sz w:val="20"/>
              </w:rPr>
            </w:pPr>
            <w:bookmarkStart w:id="0" w:name="_Hlk121751249"/>
            <w:r w:rsidRPr="00AE02D0">
              <w:rPr>
                <w:sz w:val="20"/>
              </w:rPr>
              <w:t>Future orientations of regional policy</w:t>
            </w:r>
          </w:p>
        </w:tc>
        <w:tc>
          <w:tcPr>
            <w:tcW w:w="3000" w:type="pct"/>
          </w:tcPr>
          <w:p w14:paraId="2BB2A5B7" w14:textId="77777777" w:rsidR="00AE02D0" w:rsidRPr="00AE02D0" w:rsidRDefault="00AE02D0" w:rsidP="00AE02D0">
            <w:pPr>
              <w:pStyle w:val="TableCell"/>
              <w:spacing w:before="0" w:after="0" w:line="240" w:lineRule="auto"/>
              <w:jc w:val="left"/>
              <w:rPr>
                <w:sz w:val="20"/>
                <w:szCs w:val="20"/>
                <w:highlight w:val="yellow"/>
              </w:rPr>
            </w:pPr>
          </w:p>
        </w:tc>
      </w:tr>
      <w:bookmarkEnd w:id="0"/>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6E8DE5AD" w14:textId="77777777" w:rsidR="00763432" w:rsidRPr="00763432" w:rsidRDefault="00763432" w:rsidP="00763432">
      <w:pPr>
        <w:rPr>
          <w:lang w:val="en-US"/>
        </w:rPr>
      </w:pPr>
      <w:r w:rsidRPr="00763432">
        <w:rPr>
          <w:lang w:val="en-US"/>
        </w:rPr>
        <w:t>Japan experienced an increase in the Theil index of GDP per capita over 2000-2020. Inequality reached its maximum in 2007. The figures are normalized, with values in the year 2000 set to 1.</w:t>
      </w:r>
    </w:p>
    <w:p w14:paraId="65446115" w14:textId="26CCCDA6" w:rsidR="00130E6A" w:rsidRPr="00FA40FC" w:rsidRDefault="00763432" w:rsidP="00763432">
      <w:pPr>
        <w:rPr>
          <w:lang w:val="en-US"/>
        </w:rPr>
      </w:pPr>
      <w:r w:rsidRPr="00763432">
        <w:rPr>
          <w:lang w:val="en-US"/>
        </w:rPr>
        <w:t xml:space="preserve">The Top 20%/Mean ratio was 0.066 lower in 2020 compared to 2000, indicating decreased </w:t>
      </w:r>
      <w:proofErr w:type="spellStart"/>
      <w:r w:rsidRPr="00763432">
        <w:rPr>
          <w:lang w:val="en-US"/>
        </w:rPr>
        <w:t>polarisation</w:t>
      </w:r>
      <w:proofErr w:type="spellEnd"/>
      <w:r w:rsidRPr="00763432">
        <w:rPr>
          <w:lang w:val="en-US"/>
        </w:rPr>
        <w:t>. The Bottom 20%/Mean ratio was 0.01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4F376225" w:rsidR="00130E6A" w:rsidRDefault="00763432" w:rsidP="00130E6A">
      <w:pPr>
        <w:jc w:val="center"/>
      </w:pPr>
      <w:r>
        <w:rPr>
          <w:noProof/>
        </w:rPr>
        <w:drawing>
          <wp:inline distT="0" distB="0" distL="0" distR="0" wp14:anchorId="1ABCF997" wp14:editId="520913BD">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943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1238A9CE" w14:textId="77777777" w:rsidR="0060485B" w:rsidRPr="0060485B" w:rsidRDefault="0060485B" w:rsidP="0060485B">
      <w:pPr>
        <w:rPr>
          <w:lang w:val="en-US"/>
        </w:rPr>
      </w:pPr>
      <w:r w:rsidRPr="0060485B">
        <w:rPr>
          <w:lang w:val="en-US"/>
        </w:rPr>
        <w:lastRenderedPageBreak/>
        <w:t>In 2020, the gap in GDP per capita between large metropolitan and non-large metropolitan regions was 1.13. For reference, the same value for OECD was 1.475. This gap decreased by 0.04 percentage points between 2000 and 2020.</w:t>
      </w:r>
    </w:p>
    <w:p w14:paraId="2E97EA2E" w14:textId="77777777" w:rsidR="0060485B" w:rsidRPr="0060485B" w:rsidRDefault="0060485B" w:rsidP="0060485B">
      <w:pPr>
        <w:rPr>
          <w:lang w:val="en-US"/>
        </w:rPr>
      </w:pPr>
      <w:r w:rsidRPr="0060485B">
        <w:rPr>
          <w:lang w:val="en-US"/>
        </w:rPr>
        <w:t>Meanwhile, in 2020, the gap in GDP per capita between metropolitan and non-metropolitan regions was 1.101. For reference, the same value for OECD was 1.325. This gap increased by 0.001 percentage points since 2000.</w:t>
      </w:r>
    </w:p>
    <w:p w14:paraId="4DF87DC8" w14:textId="314301A4" w:rsidR="00130E6A" w:rsidRDefault="0060485B" w:rsidP="0060485B">
      <w:pPr>
        <w:rPr>
          <w:lang w:val="en-US"/>
        </w:rPr>
      </w:pPr>
      <w:r w:rsidRPr="0060485B">
        <w:rPr>
          <w:lang w:val="en-US"/>
        </w:rPr>
        <w:t>In turn, the gap in GDP per capita between regions near and far a Functional Urban Area (FUA) of more than 250 thousand inhabitants was 1.045 in 2020 and increased by 0.026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68F250FA" w:rsidR="00993AE2" w:rsidRDefault="00D743D1" w:rsidP="00993AE2">
      <w:r>
        <w:rPr>
          <w:noProof/>
        </w:rPr>
        <w:drawing>
          <wp:inline distT="0" distB="0" distL="0" distR="0" wp14:anchorId="33196B13" wp14:editId="4F79D2FC">
            <wp:extent cx="5731510" cy="3176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627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10B019BE" w14:textId="30F3CEAD" w:rsidR="00130E6A" w:rsidRPr="00130E6A" w:rsidRDefault="00130E6A" w:rsidP="00130E6A">
      <w:pPr>
        <w:pStyle w:val="Heading2"/>
      </w:pPr>
      <w:r w:rsidRPr="00130E6A">
        <w:lastRenderedPageBreak/>
        <w:t>Recent policy developments</w:t>
      </w:r>
    </w:p>
    <w:p w14:paraId="4ED840AD" w14:textId="0050917C" w:rsidR="00130E6A" w:rsidRPr="00130E6A" w:rsidRDefault="00106C6F" w:rsidP="00442B3C">
      <w:r w:rsidRPr="00106C6F">
        <w:t>November 2021, Japanese PM Kishida set forth</w:t>
      </w:r>
      <w:r>
        <w:t xml:space="preserve"> “</w:t>
      </w:r>
      <w:r w:rsidRPr="00106C6F">
        <w:t xml:space="preserve">The Vision for a Digital Garden City Nation”, which aims to solve rural issues and improve rural attractiveness while utilizing strength of each region through digital technologies, and to realize a society where everyone can live conveniently and comfortably wherever they live in Japan. Under this vision, it is expected that the use of digital technology solves rural issues such as population decline, declining birth-rate, and aging population, and hollowing out of regional industries for example by promoting remote work and relocation to rural areas, establishing satellite </w:t>
      </w:r>
      <w:proofErr w:type="gramStart"/>
      <w:r w:rsidRPr="00106C6F">
        <w:t>offices</w:t>
      </w:r>
      <w:proofErr w:type="gramEnd"/>
      <w:r w:rsidRPr="00106C6F">
        <w:t xml:space="preserve"> and implementing remote medicine, distance education, automated driving and drones. December 2022, the Japanese Government formulated the comprehensive strategy to realize this vision and will make a concerted effort to support the local governments in implementing measures to achieve their respective regional visions</w:t>
      </w:r>
      <w:r w:rsidR="00442B3C">
        <w:t>.</w:t>
      </w:r>
    </w:p>
    <w:p w14:paraId="3499F09A" w14:textId="77777777" w:rsidR="00130E6A" w:rsidRPr="00130E6A" w:rsidRDefault="00130E6A" w:rsidP="00130E6A"/>
    <w:sectPr w:rsidR="00130E6A" w:rsidRPr="00130E6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A88C" w14:textId="77777777" w:rsidR="004E2635" w:rsidRDefault="004E2635" w:rsidP="00B0261A">
      <w:r>
        <w:separator/>
      </w:r>
    </w:p>
  </w:endnote>
  <w:endnote w:type="continuationSeparator" w:id="0">
    <w:p w14:paraId="35B6ABA8" w14:textId="77777777" w:rsidR="004E2635" w:rsidRDefault="004E2635"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5E1E" w14:textId="77777777" w:rsidR="004E2635" w:rsidRDefault="004E2635" w:rsidP="00B0261A">
      <w:r>
        <w:separator/>
      </w:r>
    </w:p>
  </w:footnote>
  <w:footnote w:type="continuationSeparator" w:id="0">
    <w:p w14:paraId="0445D7E7" w14:textId="77777777" w:rsidR="004E2635" w:rsidRDefault="004E2635"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C6F"/>
    <w:rsid w:val="00106D54"/>
    <w:rsid w:val="00130E6A"/>
    <w:rsid w:val="001F15FE"/>
    <w:rsid w:val="0022593F"/>
    <w:rsid w:val="002D46F5"/>
    <w:rsid w:val="002F53E2"/>
    <w:rsid w:val="00363D4B"/>
    <w:rsid w:val="003E7326"/>
    <w:rsid w:val="00415A0D"/>
    <w:rsid w:val="0042788E"/>
    <w:rsid w:val="00427B70"/>
    <w:rsid w:val="00440A61"/>
    <w:rsid w:val="00442B3C"/>
    <w:rsid w:val="004E2635"/>
    <w:rsid w:val="0060485B"/>
    <w:rsid w:val="00611E09"/>
    <w:rsid w:val="00616A18"/>
    <w:rsid w:val="006B4ECA"/>
    <w:rsid w:val="006C7C5E"/>
    <w:rsid w:val="00763432"/>
    <w:rsid w:val="007C6BE8"/>
    <w:rsid w:val="007D4DD7"/>
    <w:rsid w:val="0080379C"/>
    <w:rsid w:val="00810830"/>
    <w:rsid w:val="00821B89"/>
    <w:rsid w:val="008E48C7"/>
    <w:rsid w:val="0090630C"/>
    <w:rsid w:val="00953666"/>
    <w:rsid w:val="009728D5"/>
    <w:rsid w:val="00993AE2"/>
    <w:rsid w:val="009B7678"/>
    <w:rsid w:val="009C0325"/>
    <w:rsid w:val="009F3217"/>
    <w:rsid w:val="00A31747"/>
    <w:rsid w:val="00AE02D0"/>
    <w:rsid w:val="00B0261A"/>
    <w:rsid w:val="00BB2C8C"/>
    <w:rsid w:val="00C46A24"/>
    <w:rsid w:val="00CD7538"/>
    <w:rsid w:val="00D02557"/>
    <w:rsid w:val="00D743D1"/>
    <w:rsid w:val="00DD7B45"/>
    <w:rsid w:val="00E00B59"/>
    <w:rsid w:val="00E1409A"/>
    <w:rsid w:val="00E35041"/>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5705406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 w:id="20459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857</Words>
  <Characters>5035</Characters>
  <Application>Microsoft Office Word</Application>
  <DocSecurity>0</DocSecurity>
  <Lines>119</Lines>
  <Paragraphs>62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2023-11-07T15:03:00Z</dcterms:created>
  <dcterms:modified xsi:type="dcterms:W3CDTF">2023-11-07T17:03:00Z</dcterms:modified>
</cp:coreProperties>
</file>