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C0AB" w14:textId="1AAF80CF" w:rsidR="00B0261A" w:rsidRDefault="004471E2" w:rsidP="00B0261A">
      <w:pPr>
        <w:pStyle w:val="Heading1"/>
      </w:pPr>
      <w:r>
        <w:t>LUXEMBOURG</w:t>
      </w:r>
    </w:p>
    <w:p w14:paraId="6E7FE47C" w14:textId="3B6D661A" w:rsidR="00B0261A" w:rsidRDefault="00B0261A" w:rsidP="00B0261A"/>
    <w:p w14:paraId="6EF2D36D" w14:textId="5C7975C2" w:rsidR="00B0261A" w:rsidRDefault="00B0261A" w:rsidP="00B026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CF7DCB" wp14:editId="7F0BC6E0">
                <wp:simplePos x="0" y="0"/>
                <wp:positionH relativeFrom="column">
                  <wp:posOffset>19050</wp:posOffset>
                </wp:positionH>
                <wp:positionV relativeFrom="paragraph">
                  <wp:posOffset>1125855</wp:posOffset>
                </wp:positionV>
                <wp:extent cx="57150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FA349" w14:textId="72F08951" w:rsidR="00B0261A" w:rsidRPr="00130E6A" w:rsidRDefault="00B0261A" w:rsidP="00130E6A">
                            <w:pPr>
                              <w:pStyle w:val="Heading2"/>
                            </w:pPr>
                            <w:r w:rsidRPr="00130E6A">
                              <w:t>Territorial definitions</w:t>
                            </w:r>
                          </w:p>
                          <w:p w14:paraId="2AADAC17" w14:textId="02B48ADB" w:rsidR="00B0261A" w:rsidRDefault="00B0261A" w:rsidP="00B0261A">
                            <w:r>
                              <w:t xml:space="preserve">The data in this note reflect different sub-national geographic levels in OECD countries. In particular, </w:t>
                            </w:r>
                            <w:r w:rsidRPr="00130E6A">
                              <w:rPr>
                                <w:b/>
                                <w:bCs/>
                              </w:rPr>
                              <w:t>regions</w:t>
                            </w:r>
                            <w:r>
                              <w:t xml:space="preserve"> are classified on two territorial levels reflecting the administrative organisation of countries: large regions (TL2) and small regions (TL3). In Canada, TL2 corresponds to the provinces and territories.</w:t>
                            </w:r>
                          </w:p>
                          <w:p w14:paraId="65F12241" w14:textId="19E9BCEC" w:rsidR="00B0261A" w:rsidRDefault="00B0261A" w:rsidP="00B0261A">
                            <w:r>
                              <w:t>Small regions are classified according to their access to metropolitan areas (</w:t>
                            </w:r>
                            <w:proofErr w:type="spellStart"/>
                            <w:r>
                              <w:t>Fadic</w:t>
                            </w:r>
                            <w:proofErr w:type="spellEnd"/>
                            <w:r>
                              <w:t xml:space="preserve"> et al. 2019). The typology classifies small (TL3) regions into metropolitan and non-metropolitan regions according to the following criteria:</w:t>
                            </w:r>
                          </w:p>
                          <w:p w14:paraId="6EBBF9FE" w14:textId="1E9985F3" w:rsidR="00B0261A" w:rsidRDefault="00B0261A" w:rsidP="00B02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B0261A">
                              <w:rPr>
                                <w:b/>
                                <w:bCs/>
                              </w:rPr>
                              <w:t>Metropolitan regions</w:t>
                            </w:r>
                            <w:r>
                              <w:t xml:space="preserve">, if more than half of the population live in a FUA. Metropolitan regions are further classified into </w:t>
                            </w:r>
                            <w:r w:rsidRPr="00130E6A">
                              <w:rPr>
                                <w:b/>
                                <w:bCs/>
                              </w:rPr>
                              <w:t>metropolitan large</w:t>
                            </w:r>
                            <w:r>
                              <w:t xml:space="preserve">, if more than half of the population live in a (large) FUA of at least 1.5 million inhabitants; and </w:t>
                            </w:r>
                            <w:r w:rsidRPr="00130E6A">
                              <w:rPr>
                                <w:b/>
                                <w:bCs/>
                              </w:rPr>
                              <w:t>metropolitan midsize</w:t>
                            </w:r>
                            <w:r>
                              <w:t>, if more than half of the population live in a (midsize) FUA of at 250 000 to 1.5 million inhabitants.</w:t>
                            </w:r>
                          </w:p>
                          <w:p w14:paraId="3C727212" w14:textId="77777777" w:rsidR="00B0261A" w:rsidRDefault="00B0261A" w:rsidP="00B026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130E6A">
                              <w:rPr>
                                <w:b/>
                                <w:bCs/>
                              </w:rPr>
                              <w:t>Non-metropolitan regions</w:t>
                            </w:r>
                            <w:r>
                              <w:t xml:space="preserve">, if less than half of the population live in a midsize/large FUA. These regions are further classified according to their level of access to FUAs of different sizes: </w:t>
                            </w:r>
                            <w:r w:rsidRPr="00130E6A">
                              <w:rPr>
                                <w:b/>
                                <w:bCs/>
                              </w:rPr>
                              <w:t>near a midsize/large FUA</w:t>
                            </w:r>
                            <w:r>
                              <w:t xml:space="preserve"> if more than half of the population live within a 60-minute drive from a midsize/large FUA (of more than 250 000 inhabitants) or if the TL3 region contains more than 80% of the area of a midsize/large FUA; </w:t>
                            </w:r>
                            <w:r w:rsidRPr="00130E6A">
                              <w:rPr>
                                <w:b/>
                                <w:bCs/>
                              </w:rPr>
                              <w:t>near a small FUA</w:t>
                            </w:r>
                            <w:r>
                              <w:t xml:space="preserve"> if the region does not have access to a midsize/large FUA and at least half of its population have access to a small FUA (i.e. between 50 000 and 250 000 inhabitants) within a 60-minute drive, or contains 80% of the area of a small FUA; and </w:t>
                            </w:r>
                            <w:r w:rsidRPr="00130E6A">
                              <w:rPr>
                                <w:b/>
                                <w:bCs/>
                              </w:rPr>
                              <w:t>remote</w:t>
                            </w:r>
                            <w:r>
                              <w:t>, otherwise.</w:t>
                            </w:r>
                          </w:p>
                          <w:p w14:paraId="29390C75" w14:textId="6149B4BE" w:rsidR="00B0261A" w:rsidRPr="00B0261A" w:rsidRDefault="00B0261A" w:rsidP="00B0261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Disclaimer: </w:t>
                            </w:r>
                            <w:hyperlink r:id="rId7" w:history="1">
                              <w:r w:rsidRPr="00130E6A">
                                <w:rPr>
                                  <w:rStyle w:val="Hyperlink"/>
                                </w:rPr>
                                <w:t>https://oecdcode.org/disclaimers/territories.html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CF7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88.65pt;width:45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" fillcolor="#eeece1" strokecolor="#4472c4 [3204]">
                <v:textbox style="mso-fit-shape-to-text:t">
                  <w:txbxContent>
                    <w:p w14:paraId="633FA349" w14:textId="72F08951" w:rsidR="00B0261A" w:rsidRPr="00130E6A" w:rsidRDefault="00B0261A" w:rsidP="00130E6A">
                      <w:pPr>
                        <w:pStyle w:val="Heading2"/>
                      </w:pPr>
                      <w:r w:rsidRPr="00130E6A">
                        <w:t>Territorial definitions</w:t>
                      </w:r>
                    </w:p>
                    <w:p w14:paraId="2AADAC17" w14:textId="02B48ADB" w:rsidR="00B0261A" w:rsidRDefault="00B0261A" w:rsidP="00B0261A">
                      <w:r>
                        <w:t xml:space="preserve">The data in this note reflect different sub-national geographic levels in OECD countries. In particular, </w:t>
                      </w:r>
                      <w:r w:rsidRPr="00130E6A">
                        <w:rPr>
                          <w:b/>
                          <w:bCs/>
                        </w:rPr>
                        <w:t>regions</w:t>
                      </w:r>
                      <w:r>
                        <w:t xml:space="preserve"> are classified on two territorial levels reflecting the administrative organisation of countries: large regions (TL2) and small regions (TL3). In Canada, TL2 corresponds to the provinces and territories.</w:t>
                      </w:r>
                    </w:p>
                    <w:p w14:paraId="65F12241" w14:textId="19E9BCEC" w:rsidR="00B0261A" w:rsidRDefault="00B0261A" w:rsidP="00B0261A">
                      <w:r>
                        <w:t>Small regions are classified according to their access to metropolitan areas (</w:t>
                      </w:r>
                      <w:proofErr w:type="spellStart"/>
                      <w:r>
                        <w:t>Fadic</w:t>
                      </w:r>
                      <w:proofErr w:type="spellEnd"/>
                      <w:r>
                        <w:t xml:space="preserve"> et al. 2019). The typology classifies small (TL3) regions into metropolitan and non-metropolitan regions according to the following criteria:</w:t>
                      </w:r>
                    </w:p>
                    <w:p w14:paraId="6EBBF9FE" w14:textId="1E9985F3" w:rsidR="00B0261A" w:rsidRDefault="00B0261A" w:rsidP="00B0261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B0261A">
                        <w:rPr>
                          <w:b/>
                          <w:bCs/>
                        </w:rPr>
                        <w:t>Metropolitan regions</w:t>
                      </w:r>
                      <w:r>
                        <w:t xml:space="preserve">, if more than half of the population live in a FUA. Metropolitan regions are further classified into </w:t>
                      </w:r>
                      <w:r w:rsidRPr="00130E6A">
                        <w:rPr>
                          <w:b/>
                          <w:bCs/>
                        </w:rPr>
                        <w:t>metropolitan large</w:t>
                      </w:r>
                      <w:r>
                        <w:t xml:space="preserve">, if more than half of the population live in a (large) FUA of at least 1.5 million inhabitants; and </w:t>
                      </w:r>
                      <w:r w:rsidRPr="00130E6A">
                        <w:rPr>
                          <w:b/>
                          <w:bCs/>
                        </w:rPr>
                        <w:t>metropolitan midsize</w:t>
                      </w:r>
                      <w:r>
                        <w:t>, if more than half of the population live in a (midsize) FUA of at 250 000 to 1.5 million inhabitants.</w:t>
                      </w:r>
                    </w:p>
                    <w:p w14:paraId="3C727212" w14:textId="77777777" w:rsidR="00B0261A" w:rsidRDefault="00B0261A" w:rsidP="00B0261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130E6A">
                        <w:rPr>
                          <w:b/>
                          <w:bCs/>
                        </w:rPr>
                        <w:t>Non-metropolitan regions</w:t>
                      </w:r>
                      <w:r>
                        <w:t xml:space="preserve">, if less than half of the population live in a midsize/large FUA. These regions are further classified according to their level of access to FUAs of different sizes: </w:t>
                      </w:r>
                      <w:r w:rsidRPr="00130E6A">
                        <w:rPr>
                          <w:b/>
                          <w:bCs/>
                        </w:rPr>
                        <w:t>near a midsize/large FUA</w:t>
                      </w:r>
                      <w:r>
                        <w:t xml:space="preserve"> if more than half of the population live within a 60-minute drive from a midsize/large FUA (of more than 250 000 inhabitants) or if the TL3 region contains more than 80% of the area of a midsize/large FUA; </w:t>
                      </w:r>
                      <w:r w:rsidRPr="00130E6A">
                        <w:rPr>
                          <w:b/>
                          <w:bCs/>
                        </w:rPr>
                        <w:t>near a small FUA</w:t>
                      </w:r>
                      <w:r>
                        <w:t xml:space="preserve"> if the region does not have access to a midsize/large FUA and at least half of its population have access to a small FUA (i.e. between 50 000 and 250 000 inhabitants) within a 60-minute drive, or contains 80% of the area of a small FUA; and </w:t>
                      </w:r>
                      <w:r w:rsidRPr="00130E6A">
                        <w:rPr>
                          <w:b/>
                          <w:bCs/>
                        </w:rPr>
                        <w:t>remote</w:t>
                      </w:r>
                      <w:r>
                        <w:t>, otherwise.</w:t>
                      </w:r>
                    </w:p>
                    <w:p w14:paraId="29390C75" w14:textId="6149B4BE" w:rsidR="00B0261A" w:rsidRPr="00B0261A" w:rsidRDefault="00B0261A" w:rsidP="00B0261A">
                      <w:pPr>
                        <w:rPr>
                          <w:lang w:val="en-US"/>
                        </w:rPr>
                      </w:pPr>
                      <w:r>
                        <w:t xml:space="preserve">Disclaimer: </w:t>
                      </w:r>
                      <w:hyperlink r:id="rId8" w:history="1">
                        <w:r w:rsidRPr="00130E6A">
                          <w:rPr>
                            <w:rStyle w:val="Hyperlink"/>
                          </w:rPr>
                          <w:t>https://oecdcode.org/disclaimers/territories.html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B0261A">
        <w:t xml:space="preserve">The </w:t>
      </w:r>
      <w:hyperlink r:id="rId9" w:history="1">
        <w:r w:rsidRPr="00B0261A">
          <w:rPr>
            <w:rStyle w:val="Hyperlink"/>
          </w:rPr>
          <w:t>OECD Regional Outlook</w:t>
        </w:r>
      </w:hyperlink>
      <w:r w:rsidRPr="00B0261A">
        <w:t xml:space="preserve"> reviews recent trends, policy developments, and prospects across OECD regions, including the underlying causes driving regional inequalities in performance and well-being. The report offers evidence, guidance and policy recommendations on how to improve competitiveness and productivity, promote inclusive growth, accelerate the net-zero transition and raise well-being standards through effective regional development policy and multi-level governance.</w:t>
      </w:r>
    </w:p>
    <w:p w14:paraId="5AE7E725" w14:textId="63A7D369" w:rsidR="00130E6A" w:rsidRDefault="00130E6A">
      <w:pPr>
        <w:spacing w:line="259" w:lineRule="auto"/>
        <w:jc w:val="left"/>
      </w:pPr>
      <w:r>
        <w:br w:type="page"/>
      </w:r>
    </w:p>
    <w:p w14:paraId="5FA2DF31" w14:textId="77777777" w:rsidR="00616A18" w:rsidRPr="0090630C" w:rsidRDefault="00616A18" w:rsidP="00616A18">
      <w:pPr>
        <w:pStyle w:val="Title2"/>
        <w:rPr>
          <w:rFonts w:ascii="Arial" w:hAnsi="Arial" w:cs="Arial"/>
        </w:rPr>
      </w:pPr>
      <w:r w:rsidRPr="0090630C">
        <w:rPr>
          <w:rFonts w:ascii="Arial" w:hAnsi="Arial" w:cs="Arial"/>
        </w:rPr>
        <w:lastRenderedPageBreak/>
        <w:t>Overview</w:t>
      </w:r>
    </w:p>
    <w:tbl>
      <w:tblPr>
        <w:tblStyle w:val="OECD"/>
        <w:tblW w:w="4574" w:type="pct"/>
        <w:tblLook w:val="0420" w:firstRow="1" w:lastRow="0" w:firstColumn="0" w:lastColumn="0" w:noHBand="0" w:noVBand="1"/>
      </w:tblPr>
      <w:tblGrid>
        <w:gridCol w:w="2890"/>
        <w:gridCol w:w="5367"/>
      </w:tblGrid>
      <w:tr w:rsidR="004471E2" w:rsidRPr="004471E2" w14:paraId="237F8CCA" w14:textId="77777777" w:rsidTr="007A2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1750" w:type="pct"/>
          </w:tcPr>
          <w:p w14:paraId="7E4AA381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 xml:space="preserve">Population </w:t>
            </w:r>
            <w:r w:rsidRPr="004471E2">
              <w:rPr>
                <w:i/>
                <w:iCs/>
                <w:sz w:val="20"/>
              </w:rPr>
              <w:t>(specify date)</w:t>
            </w:r>
            <w:r w:rsidRPr="004471E2">
              <w:rPr>
                <w:sz w:val="20"/>
              </w:rPr>
              <w:t xml:space="preserve"> and territory </w:t>
            </w:r>
          </w:p>
        </w:tc>
        <w:tc>
          <w:tcPr>
            <w:tcW w:w="3250" w:type="pct"/>
          </w:tcPr>
          <w:p w14:paraId="106F93A3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rFonts w:cs="Arial"/>
                <w:sz w:val="20"/>
              </w:rPr>
              <w:t>645.397 inhabitants (as of 1 January 2022)</w:t>
            </w:r>
            <w:r w:rsidRPr="004471E2">
              <w:rPr>
                <w:rStyle w:val="FootnoteReference"/>
                <w:rFonts w:ascii="Arial Narrow" w:hAnsi="Arial Narrow" w:cs="Arial"/>
                <w:sz w:val="20"/>
              </w:rPr>
              <w:footnoteReference w:id="1"/>
            </w:r>
            <w:r w:rsidRPr="004471E2">
              <w:rPr>
                <w:rFonts w:cs="Arial"/>
                <w:sz w:val="20"/>
              </w:rPr>
              <w:t>,  2.586 km</w:t>
            </w:r>
            <w:r w:rsidRPr="004471E2">
              <w:rPr>
                <w:rFonts w:cs="Arial"/>
                <w:sz w:val="20"/>
                <w:vertAlign w:val="superscript"/>
              </w:rPr>
              <w:t>2</w:t>
            </w:r>
          </w:p>
        </w:tc>
      </w:tr>
      <w:tr w:rsidR="004471E2" w:rsidRPr="004471E2" w14:paraId="2CD577EC" w14:textId="77777777" w:rsidTr="007A27E8">
        <w:trPr>
          <w:trHeight w:val="238"/>
        </w:trPr>
        <w:tc>
          <w:tcPr>
            <w:tcW w:w="1750" w:type="pct"/>
          </w:tcPr>
          <w:p w14:paraId="6F48DA2D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 xml:space="preserve">Administrative structure </w:t>
            </w:r>
            <w:r w:rsidRPr="004471E2">
              <w:rPr>
                <w:rFonts w:cs="Arial"/>
                <w:i/>
                <w:iCs/>
                <w:sz w:val="20"/>
              </w:rPr>
              <w:t>(unitary/federal)</w:t>
            </w:r>
          </w:p>
        </w:tc>
        <w:tc>
          <w:tcPr>
            <w:tcW w:w="3250" w:type="pct"/>
          </w:tcPr>
          <w:p w14:paraId="58E6E469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 xml:space="preserve">Unitary </w:t>
            </w:r>
          </w:p>
        </w:tc>
      </w:tr>
      <w:tr w:rsidR="004471E2" w:rsidRPr="004471E2" w14:paraId="014B733E" w14:textId="77777777" w:rsidTr="007A27E8">
        <w:trPr>
          <w:trHeight w:val="238"/>
        </w:trPr>
        <w:tc>
          <w:tcPr>
            <w:tcW w:w="1750" w:type="pct"/>
          </w:tcPr>
          <w:p w14:paraId="1466622B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right"/>
              <w:rPr>
                <w:sz w:val="20"/>
              </w:rPr>
            </w:pPr>
            <w:r w:rsidRPr="004471E2">
              <w:rPr>
                <w:sz w:val="20"/>
              </w:rPr>
              <w:t xml:space="preserve">Regional or state-level governments </w:t>
            </w:r>
            <w:r w:rsidRPr="004471E2">
              <w:rPr>
                <w:i/>
                <w:iCs/>
                <w:sz w:val="20"/>
              </w:rPr>
              <w:t>(number)</w:t>
            </w:r>
          </w:p>
        </w:tc>
        <w:tc>
          <w:tcPr>
            <w:tcW w:w="3250" w:type="pct"/>
          </w:tcPr>
          <w:p w14:paraId="36D0BF66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-</w:t>
            </w:r>
          </w:p>
        </w:tc>
      </w:tr>
      <w:tr w:rsidR="004471E2" w:rsidRPr="004471E2" w14:paraId="3FC6CA0C" w14:textId="77777777" w:rsidTr="007A27E8">
        <w:trPr>
          <w:trHeight w:val="238"/>
        </w:trPr>
        <w:tc>
          <w:tcPr>
            <w:tcW w:w="1750" w:type="pct"/>
          </w:tcPr>
          <w:p w14:paraId="4690B411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right"/>
              <w:rPr>
                <w:sz w:val="20"/>
              </w:rPr>
            </w:pPr>
            <w:r w:rsidRPr="004471E2">
              <w:rPr>
                <w:sz w:val="20"/>
              </w:rPr>
              <w:t xml:space="preserve">Intermediate-level governments </w:t>
            </w:r>
            <w:r w:rsidRPr="004471E2">
              <w:rPr>
                <w:i/>
                <w:iCs/>
                <w:sz w:val="20"/>
              </w:rPr>
              <w:t>(number)</w:t>
            </w:r>
          </w:p>
        </w:tc>
        <w:tc>
          <w:tcPr>
            <w:tcW w:w="3250" w:type="pct"/>
          </w:tcPr>
          <w:p w14:paraId="3858BFE7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 xml:space="preserve">- </w:t>
            </w:r>
          </w:p>
        </w:tc>
      </w:tr>
      <w:tr w:rsidR="004471E2" w:rsidRPr="004471E2" w14:paraId="7663342B" w14:textId="77777777" w:rsidTr="007A27E8">
        <w:trPr>
          <w:trHeight w:val="238"/>
        </w:trPr>
        <w:tc>
          <w:tcPr>
            <w:tcW w:w="1750" w:type="pct"/>
          </w:tcPr>
          <w:p w14:paraId="484212FD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right"/>
              <w:rPr>
                <w:sz w:val="20"/>
              </w:rPr>
            </w:pPr>
            <w:r w:rsidRPr="004471E2">
              <w:rPr>
                <w:sz w:val="20"/>
              </w:rPr>
              <w:t xml:space="preserve">Municipal-level governments </w:t>
            </w:r>
            <w:r w:rsidRPr="004471E2">
              <w:rPr>
                <w:i/>
                <w:iCs/>
                <w:sz w:val="20"/>
              </w:rPr>
              <w:t>(number)</w:t>
            </w:r>
          </w:p>
        </w:tc>
        <w:tc>
          <w:tcPr>
            <w:tcW w:w="3250" w:type="pct"/>
          </w:tcPr>
          <w:p w14:paraId="29DF4B94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102 municipalities (</w:t>
            </w:r>
            <w:r w:rsidRPr="004471E2">
              <w:rPr>
                <w:rFonts w:cs="Arial"/>
                <w:i/>
                <w:sz w:val="20"/>
                <w:szCs w:val="20"/>
              </w:rPr>
              <w:t>communes</w:t>
            </w:r>
            <w:r w:rsidRPr="004471E2">
              <w:rPr>
                <w:rFonts w:cs="Arial"/>
                <w:sz w:val="20"/>
                <w:szCs w:val="20"/>
              </w:rPr>
              <w:t>) (state of play 16/03/2023), [100 municipalities from 01/09/2023 onwards due to two municipal mergers]</w:t>
            </w:r>
          </w:p>
        </w:tc>
      </w:tr>
      <w:tr w:rsidR="004471E2" w:rsidRPr="004471E2" w14:paraId="517C1742" w14:textId="77777777" w:rsidTr="007A27E8">
        <w:trPr>
          <w:trHeight w:val="238"/>
        </w:trPr>
        <w:tc>
          <w:tcPr>
            <w:tcW w:w="1750" w:type="pct"/>
          </w:tcPr>
          <w:p w14:paraId="56D559CB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Share of subnational government in total expenditure/revenues (2021)</w:t>
            </w:r>
          </w:p>
        </w:tc>
        <w:tc>
          <w:tcPr>
            <w:tcW w:w="3250" w:type="pct"/>
          </w:tcPr>
          <w:p w14:paraId="51E2AA78" w14:textId="77777777" w:rsidR="004471E2" w:rsidRPr="004471E2" w:rsidRDefault="004471E2" w:rsidP="004471E2">
            <w:pPr>
              <w:spacing w:after="0" w:line="240" w:lineRule="auto"/>
              <w:jc w:val="left"/>
              <w:rPr>
                <w:rFonts w:ascii="Arial Narrow" w:hAnsi="Arial Narrow"/>
              </w:rPr>
            </w:pPr>
            <w:r w:rsidRPr="004471E2">
              <w:rPr>
                <w:rFonts w:ascii="Arial Narrow" w:hAnsi="Arial Narrow"/>
              </w:rPr>
              <w:t>11.0% of total expenditure</w:t>
            </w:r>
          </w:p>
          <w:p w14:paraId="7FB2A2BE" w14:textId="77777777" w:rsidR="004471E2" w:rsidRPr="004471E2" w:rsidRDefault="004471E2" w:rsidP="004471E2">
            <w:pPr>
              <w:spacing w:after="0" w:line="240" w:lineRule="auto"/>
              <w:jc w:val="left"/>
              <w:rPr>
                <w:rFonts w:ascii="Arial Narrow" w:hAnsi="Arial Narrow"/>
              </w:rPr>
            </w:pPr>
            <w:r w:rsidRPr="004471E2">
              <w:rPr>
                <w:rFonts w:ascii="Arial Narrow" w:hAnsi="Arial Narrow"/>
              </w:rPr>
              <w:t>10.9% of total revenues</w:t>
            </w:r>
          </w:p>
          <w:p w14:paraId="031A5B79" w14:textId="77777777" w:rsidR="004471E2" w:rsidRPr="004471E2" w:rsidRDefault="004471E2" w:rsidP="004471E2">
            <w:pPr>
              <w:spacing w:after="0" w:line="240" w:lineRule="auto"/>
              <w:jc w:val="left"/>
              <w:rPr>
                <w:rFonts w:ascii="Arial Narrow" w:hAnsi="Arial Narrow"/>
              </w:rPr>
            </w:pPr>
          </w:p>
          <w:p w14:paraId="2533DB98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color w:val="auto"/>
                <w:sz w:val="20"/>
                <w:szCs w:val="20"/>
                <w:highlight w:val="yellow"/>
              </w:rPr>
            </w:pPr>
            <w:r w:rsidRPr="004471E2">
              <w:rPr>
                <w:sz w:val="20"/>
                <w:szCs w:val="20"/>
              </w:rPr>
              <w:t xml:space="preserve">[Source: </w:t>
            </w:r>
            <w:hyperlink r:id="rId10" w:history="1">
              <w:r w:rsidRPr="004471E2">
                <w:rPr>
                  <w:rStyle w:val="Hyperlink"/>
                  <w:sz w:val="20"/>
                  <w:szCs w:val="20"/>
                </w:rPr>
                <w:t>Subnational governments in OECD countries: key data, 2023 edition</w:t>
              </w:r>
            </w:hyperlink>
            <w:r w:rsidRPr="004471E2">
              <w:rPr>
                <w:sz w:val="20"/>
                <w:szCs w:val="20"/>
              </w:rPr>
              <w:t>]</w:t>
            </w:r>
          </w:p>
        </w:tc>
      </w:tr>
      <w:tr w:rsidR="004471E2" w:rsidRPr="004471E2" w14:paraId="71FB4B0E" w14:textId="77777777" w:rsidTr="007A27E8">
        <w:trPr>
          <w:trHeight w:val="238"/>
        </w:trPr>
        <w:tc>
          <w:tcPr>
            <w:tcW w:w="1750" w:type="pct"/>
          </w:tcPr>
          <w:p w14:paraId="209522EF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Key regional development challenges</w:t>
            </w:r>
          </w:p>
        </w:tc>
        <w:tc>
          <w:tcPr>
            <w:tcW w:w="3250" w:type="pct"/>
          </w:tcPr>
          <w:p w14:paraId="1469EA24" w14:textId="77777777" w:rsidR="004471E2" w:rsidRPr="004471E2" w:rsidRDefault="004471E2" w:rsidP="004471E2">
            <w:pPr>
              <w:pStyle w:val="TableCell"/>
              <w:numPr>
                <w:ilvl w:val="0"/>
                <w:numId w:val="22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Reducing territorial disparities, for example in terms of public service provision</w:t>
            </w:r>
          </w:p>
          <w:p w14:paraId="3E482D36" w14:textId="77777777" w:rsidR="004471E2" w:rsidRPr="004471E2" w:rsidRDefault="004471E2" w:rsidP="004471E2">
            <w:pPr>
              <w:pStyle w:val="TableCell"/>
              <w:numPr>
                <w:ilvl w:val="0"/>
                <w:numId w:val="22"/>
              </w:numPr>
              <w:spacing w:before="0" w:after="0" w:line="240" w:lineRule="auto"/>
              <w:ind w:left="170" w:hanging="170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Encouraging a joint and coordinated development in functional urban and rural areas</w:t>
            </w:r>
          </w:p>
        </w:tc>
      </w:tr>
      <w:tr w:rsidR="004471E2" w:rsidRPr="004471E2" w14:paraId="07FE86FB" w14:textId="77777777" w:rsidTr="007A27E8">
        <w:trPr>
          <w:trHeight w:val="238"/>
        </w:trPr>
        <w:tc>
          <w:tcPr>
            <w:tcW w:w="1750" w:type="pct"/>
          </w:tcPr>
          <w:p w14:paraId="507B3B24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Objectives of regional policy</w:t>
            </w:r>
          </w:p>
        </w:tc>
        <w:tc>
          <w:tcPr>
            <w:tcW w:w="3250" w:type="pct"/>
          </w:tcPr>
          <w:p w14:paraId="2298B304" w14:textId="77777777" w:rsidR="004471E2" w:rsidRPr="004471E2" w:rsidRDefault="004471E2" w:rsidP="004471E2">
            <w:pPr>
              <w:pStyle w:val="TableCell"/>
              <w:numPr>
                <w:ilvl w:val="0"/>
                <w:numId w:val="22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Provide optimal living conditions for the entire population through the promotion and sustainable development of all parts of the national territory</w:t>
            </w:r>
          </w:p>
          <w:p w14:paraId="5718593F" w14:textId="77777777" w:rsidR="004471E2" w:rsidRPr="004471E2" w:rsidRDefault="004471E2" w:rsidP="004471E2">
            <w:pPr>
              <w:pStyle w:val="TableCell"/>
              <w:numPr>
                <w:ilvl w:val="0"/>
                <w:numId w:val="22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Coordinate sector policies at the intermunicipal level with a territorial impact</w:t>
            </w:r>
          </w:p>
          <w:p w14:paraId="5C24B9F3" w14:textId="77777777" w:rsidR="004471E2" w:rsidRPr="004471E2" w:rsidRDefault="004471E2" w:rsidP="004471E2">
            <w:pPr>
              <w:pStyle w:val="TableCell"/>
              <w:numPr>
                <w:ilvl w:val="0"/>
                <w:numId w:val="22"/>
              </w:numPr>
              <w:spacing w:before="0" w:after="0" w:line="240" w:lineRule="auto"/>
              <w:ind w:left="170" w:hanging="170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Encourage municipalities to develop joint strategies</w:t>
            </w:r>
          </w:p>
        </w:tc>
      </w:tr>
      <w:tr w:rsidR="004471E2" w:rsidRPr="004078EF" w14:paraId="6AA4FEB2" w14:textId="77777777" w:rsidTr="007A27E8">
        <w:trPr>
          <w:trHeight w:val="238"/>
        </w:trPr>
        <w:tc>
          <w:tcPr>
            <w:tcW w:w="1750" w:type="pct"/>
          </w:tcPr>
          <w:p w14:paraId="4A8D0DA5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Legal/institutional framework for regional policy</w:t>
            </w:r>
          </w:p>
        </w:tc>
        <w:tc>
          <w:tcPr>
            <w:tcW w:w="3250" w:type="pct"/>
          </w:tcPr>
          <w:p w14:paraId="20515134" w14:textId="77777777" w:rsidR="004471E2" w:rsidRPr="004471E2" w:rsidRDefault="004471E2" w:rsidP="004471E2">
            <w:pPr>
              <w:pStyle w:val="TableCell"/>
              <w:numPr>
                <w:ilvl w:val="0"/>
                <w:numId w:val="22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  <w:lang w:val="fr-FR"/>
              </w:rPr>
            </w:pPr>
            <w:proofErr w:type="spellStart"/>
            <w:r w:rsidRPr="004471E2">
              <w:rPr>
                <w:rFonts w:cs="Arial"/>
                <w:sz w:val="20"/>
                <w:szCs w:val="20"/>
                <w:lang w:val="fr-FR"/>
              </w:rPr>
              <w:t>Modified</w:t>
            </w:r>
            <w:proofErr w:type="spellEnd"/>
            <w:r w:rsidRPr="004471E2">
              <w:rPr>
                <w:rFonts w:cs="Arial"/>
                <w:sz w:val="20"/>
                <w:szCs w:val="20"/>
                <w:lang w:val="fr-FR"/>
              </w:rPr>
              <w:t xml:space="preserve"> Law of 17 April 2018 </w:t>
            </w:r>
            <w:proofErr w:type="spellStart"/>
            <w:r w:rsidRPr="004471E2">
              <w:rPr>
                <w:rFonts w:cs="Arial"/>
                <w:sz w:val="20"/>
                <w:szCs w:val="20"/>
                <w:lang w:val="fr-FR"/>
              </w:rPr>
              <w:t>concerning</w:t>
            </w:r>
            <w:proofErr w:type="spellEnd"/>
            <w:r w:rsidRPr="004471E2">
              <w:rPr>
                <w:rFonts w:cs="Arial"/>
                <w:sz w:val="20"/>
                <w:szCs w:val="20"/>
                <w:lang w:val="fr-FR"/>
              </w:rPr>
              <w:t xml:space="preserve"> Spatial Planning (</w:t>
            </w:r>
            <w:r w:rsidRPr="004471E2">
              <w:rPr>
                <w:rFonts w:cs="Arial"/>
                <w:i/>
                <w:sz w:val="20"/>
                <w:szCs w:val="20"/>
                <w:lang w:val="fr-FR"/>
              </w:rPr>
              <w:t>Loi modifiée du 17 avril 2018 concernant l’aménagement du territoire, Loi AT</w:t>
            </w:r>
            <w:r w:rsidRPr="004471E2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</w:tr>
      <w:tr w:rsidR="004471E2" w:rsidRPr="004471E2" w14:paraId="03D650F8" w14:textId="77777777" w:rsidTr="007A27E8">
        <w:trPr>
          <w:trHeight w:val="238"/>
        </w:trPr>
        <w:tc>
          <w:tcPr>
            <w:tcW w:w="1750" w:type="pct"/>
          </w:tcPr>
          <w:p w14:paraId="56CBE574" w14:textId="77777777" w:rsidR="004471E2" w:rsidRPr="004471E2" w:rsidRDefault="004471E2" w:rsidP="004471E2">
            <w:pPr>
              <w:pStyle w:val="TableRow"/>
              <w:spacing w:before="0" w:after="0" w:line="240" w:lineRule="auto"/>
              <w:rPr>
                <w:sz w:val="20"/>
              </w:rPr>
            </w:pPr>
            <w:r w:rsidRPr="004471E2">
              <w:rPr>
                <w:sz w:val="20"/>
              </w:rPr>
              <w:t>Budget allocated to regional development (i.e., amount) and fiscal equalisation mechanisms between jurisdictions (if any)</w:t>
            </w:r>
          </w:p>
        </w:tc>
        <w:tc>
          <w:tcPr>
            <w:tcW w:w="3250" w:type="pct"/>
          </w:tcPr>
          <w:p w14:paraId="672E7778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4471E2">
              <w:rPr>
                <w:sz w:val="20"/>
                <w:szCs w:val="20"/>
              </w:rPr>
              <w:t>Budget allocated to regional development 2022:</w:t>
            </w:r>
          </w:p>
          <w:p w14:paraId="7CAA18BF" w14:textId="77777777" w:rsidR="004471E2" w:rsidRPr="004471E2" w:rsidRDefault="004471E2" w:rsidP="004471E2">
            <w:pPr>
              <w:pStyle w:val="TableCell"/>
              <w:numPr>
                <w:ilvl w:val="0"/>
                <w:numId w:val="22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Nature parks: 2.104.500 €</w:t>
            </w:r>
          </w:p>
          <w:p w14:paraId="248455A5" w14:textId="77777777" w:rsidR="004471E2" w:rsidRPr="004471E2" w:rsidRDefault="004471E2" w:rsidP="004471E2">
            <w:pPr>
              <w:pStyle w:val="TableCell"/>
              <w:numPr>
                <w:ilvl w:val="0"/>
                <w:numId w:val="22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Conventions of territorial cooperation: 645.000 €</w:t>
            </w:r>
          </w:p>
        </w:tc>
      </w:tr>
      <w:tr w:rsidR="004471E2" w:rsidRPr="004471E2" w14:paraId="6CF40295" w14:textId="77777777" w:rsidTr="007A27E8">
        <w:trPr>
          <w:trHeight w:val="238"/>
        </w:trPr>
        <w:tc>
          <w:tcPr>
            <w:tcW w:w="1750" w:type="pct"/>
          </w:tcPr>
          <w:p w14:paraId="4FECEC25" w14:textId="77777777" w:rsidR="004471E2" w:rsidRPr="004471E2" w:rsidRDefault="004471E2" w:rsidP="004471E2">
            <w:pPr>
              <w:pStyle w:val="TableRow"/>
              <w:spacing w:before="0" w:after="0" w:line="240" w:lineRule="auto"/>
              <w:rPr>
                <w:sz w:val="20"/>
              </w:rPr>
            </w:pPr>
            <w:r w:rsidRPr="004471E2">
              <w:rPr>
                <w:sz w:val="20"/>
              </w:rPr>
              <w:t>National regional development policy framework</w:t>
            </w:r>
          </w:p>
        </w:tc>
        <w:tc>
          <w:tcPr>
            <w:tcW w:w="3250" w:type="pct"/>
          </w:tcPr>
          <w:p w14:paraId="4F2C2E2B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Master Programme for Spatial Planning of 2003 [new version to be adopted in 2023] (</w:t>
            </w:r>
            <w:r w:rsidRPr="004471E2">
              <w:rPr>
                <w:rFonts w:cs="Arial"/>
                <w:i/>
                <w:sz w:val="20"/>
                <w:szCs w:val="20"/>
              </w:rPr>
              <w:t xml:space="preserve">Programme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directeur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d’aménagement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du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territoire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>,</w:t>
            </w:r>
            <w:r w:rsidRPr="004471E2">
              <w:rPr>
                <w:rFonts w:cs="Arial"/>
                <w:sz w:val="20"/>
                <w:szCs w:val="20"/>
              </w:rPr>
              <w:t xml:space="preserve"> </w:t>
            </w:r>
            <w:r w:rsidRPr="004471E2">
              <w:rPr>
                <w:rFonts w:cs="Arial"/>
                <w:i/>
                <w:sz w:val="20"/>
                <w:szCs w:val="20"/>
              </w:rPr>
              <w:t>PDAT</w:t>
            </w:r>
            <w:r w:rsidRPr="004471E2">
              <w:rPr>
                <w:rFonts w:cs="Arial"/>
                <w:sz w:val="20"/>
                <w:szCs w:val="20"/>
              </w:rPr>
              <w:t>)</w:t>
            </w:r>
          </w:p>
        </w:tc>
      </w:tr>
      <w:tr w:rsidR="004471E2" w:rsidRPr="004078EF" w14:paraId="0B930276" w14:textId="77777777" w:rsidTr="007A27E8">
        <w:trPr>
          <w:trHeight w:val="238"/>
        </w:trPr>
        <w:tc>
          <w:tcPr>
            <w:tcW w:w="1750" w:type="pct"/>
          </w:tcPr>
          <w:p w14:paraId="6813FB99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Urban policy framework</w:t>
            </w:r>
          </w:p>
        </w:tc>
        <w:tc>
          <w:tcPr>
            <w:tcW w:w="3250" w:type="pct"/>
          </w:tcPr>
          <w:p w14:paraId="61A804F5" w14:textId="77777777" w:rsidR="004471E2" w:rsidRPr="004471E2" w:rsidRDefault="004471E2" w:rsidP="004471E2">
            <w:pPr>
              <w:pStyle w:val="TableCell"/>
              <w:numPr>
                <w:ilvl w:val="0"/>
                <w:numId w:val="28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Master Programme for Spatial Planning of 2003 [new version to be adopted in 2023] (</w:t>
            </w:r>
            <w:r w:rsidRPr="004471E2">
              <w:rPr>
                <w:rFonts w:cs="Arial"/>
                <w:i/>
                <w:sz w:val="20"/>
                <w:szCs w:val="20"/>
              </w:rPr>
              <w:t xml:space="preserve">Programme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directeur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d’aménagement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du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territoire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>,</w:t>
            </w:r>
            <w:r w:rsidRPr="004471E2">
              <w:rPr>
                <w:rFonts w:cs="Arial"/>
                <w:sz w:val="20"/>
                <w:szCs w:val="20"/>
              </w:rPr>
              <w:t xml:space="preserve"> </w:t>
            </w:r>
            <w:r w:rsidRPr="004471E2">
              <w:rPr>
                <w:rFonts w:cs="Arial"/>
                <w:i/>
                <w:sz w:val="20"/>
                <w:szCs w:val="20"/>
              </w:rPr>
              <w:t>PDAT</w:t>
            </w:r>
            <w:r w:rsidRPr="004471E2">
              <w:rPr>
                <w:rFonts w:cs="Arial"/>
                <w:sz w:val="20"/>
                <w:szCs w:val="20"/>
              </w:rPr>
              <w:t>)</w:t>
            </w:r>
          </w:p>
          <w:p w14:paraId="05D305D2" w14:textId="77777777" w:rsidR="004471E2" w:rsidRPr="004471E2" w:rsidRDefault="004471E2" w:rsidP="004471E2">
            <w:pPr>
              <w:pStyle w:val="TableCell"/>
              <w:numPr>
                <w:ilvl w:val="0"/>
                <w:numId w:val="28"/>
              </w:numPr>
              <w:spacing w:before="0" w:after="0" w:line="240" w:lineRule="auto"/>
              <w:ind w:left="170" w:hanging="170"/>
              <w:jc w:val="left"/>
              <w:rPr>
                <w:sz w:val="20"/>
                <w:szCs w:val="20"/>
                <w:lang w:val="fr-FR"/>
              </w:rPr>
            </w:pPr>
            <w:r w:rsidRPr="004471E2">
              <w:rPr>
                <w:rFonts w:cs="Arial"/>
                <w:sz w:val="20"/>
                <w:szCs w:val="20"/>
                <w:lang w:val="fr-FR"/>
              </w:rPr>
              <w:t xml:space="preserve">National Urban Policy Information Unit convention and </w:t>
            </w:r>
            <w:proofErr w:type="spellStart"/>
            <w:r w:rsidRPr="004471E2">
              <w:rPr>
                <w:rFonts w:cs="Arial"/>
                <w:sz w:val="20"/>
                <w:szCs w:val="20"/>
                <w:lang w:val="fr-FR"/>
              </w:rPr>
              <w:t>annual</w:t>
            </w:r>
            <w:proofErr w:type="spellEnd"/>
            <w:r w:rsidRPr="004471E2">
              <w:rPr>
                <w:rFonts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471E2">
              <w:rPr>
                <w:rFonts w:cs="Arial"/>
                <w:sz w:val="20"/>
                <w:szCs w:val="20"/>
                <w:lang w:val="fr-FR"/>
              </w:rPr>
              <w:t>work</w:t>
            </w:r>
            <w:proofErr w:type="spellEnd"/>
            <w:r w:rsidRPr="004471E2">
              <w:rPr>
                <w:rFonts w:cs="Arial"/>
                <w:sz w:val="20"/>
                <w:szCs w:val="20"/>
                <w:lang w:val="fr-FR"/>
              </w:rPr>
              <w:t xml:space="preserve"> programmes (</w:t>
            </w:r>
            <w:r w:rsidRPr="004471E2">
              <w:rPr>
                <w:rFonts w:cs="Arial"/>
                <w:i/>
                <w:sz w:val="20"/>
                <w:szCs w:val="20"/>
                <w:lang w:val="fr-FR"/>
              </w:rPr>
              <w:t>Cellule nationale d’Information pour la Politique Urbaine, CIPU</w:t>
            </w:r>
            <w:r w:rsidRPr="004471E2">
              <w:rPr>
                <w:rFonts w:cs="Arial"/>
                <w:sz w:val="20"/>
                <w:szCs w:val="20"/>
                <w:lang w:val="fr-FR"/>
              </w:rPr>
              <w:t>)</w:t>
            </w:r>
          </w:p>
        </w:tc>
      </w:tr>
      <w:tr w:rsidR="004471E2" w:rsidRPr="004471E2" w14:paraId="094776C3" w14:textId="77777777" w:rsidTr="007A27E8">
        <w:trPr>
          <w:trHeight w:val="238"/>
        </w:trPr>
        <w:tc>
          <w:tcPr>
            <w:tcW w:w="1750" w:type="pct"/>
          </w:tcPr>
          <w:p w14:paraId="21D2330C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Rural policy framework</w:t>
            </w:r>
          </w:p>
        </w:tc>
        <w:tc>
          <w:tcPr>
            <w:tcW w:w="3250" w:type="pct"/>
          </w:tcPr>
          <w:p w14:paraId="17FD2675" w14:textId="77777777" w:rsidR="004471E2" w:rsidRPr="004471E2" w:rsidRDefault="004471E2" w:rsidP="004471E2">
            <w:pPr>
              <w:pStyle w:val="TableCell"/>
              <w:numPr>
                <w:ilvl w:val="0"/>
                <w:numId w:val="27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Master Programme for Spatial Planning of 2003 [new version to be adopted in 2023] (</w:t>
            </w:r>
            <w:r w:rsidRPr="004471E2">
              <w:rPr>
                <w:rFonts w:cs="Arial"/>
                <w:i/>
                <w:sz w:val="20"/>
                <w:szCs w:val="20"/>
              </w:rPr>
              <w:t xml:space="preserve">Programme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directeur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d’aménagement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du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territoire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>,</w:t>
            </w:r>
            <w:r w:rsidRPr="004471E2">
              <w:rPr>
                <w:rFonts w:cs="Arial"/>
                <w:sz w:val="20"/>
                <w:szCs w:val="20"/>
              </w:rPr>
              <w:t xml:space="preserve"> </w:t>
            </w:r>
            <w:r w:rsidRPr="004471E2">
              <w:rPr>
                <w:rFonts w:cs="Arial"/>
                <w:i/>
                <w:sz w:val="20"/>
                <w:szCs w:val="20"/>
              </w:rPr>
              <w:t>PDAT</w:t>
            </w:r>
            <w:r w:rsidRPr="004471E2">
              <w:rPr>
                <w:rFonts w:cs="Arial"/>
                <w:sz w:val="20"/>
                <w:szCs w:val="20"/>
              </w:rPr>
              <w:t>)</w:t>
            </w:r>
          </w:p>
          <w:p w14:paraId="65B91AD6" w14:textId="77777777" w:rsidR="004471E2" w:rsidRPr="004471E2" w:rsidRDefault="004471E2" w:rsidP="004471E2">
            <w:pPr>
              <w:pStyle w:val="TableCell"/>
              <w:numPr>
                <w:ilvl w:val="0"/>
                <w:numId w:val="27"/>
              </w:numPr>
              <w:spacing w:before="0" w:after="0" w:line="240" w:lineRule="auto"/>
              <w:ind w:left="170" w:hanging="170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National Strategic Plan for the Common Agricultural Policy 2023-2027</w:t>
            </w:r>
          </w:p>
        </w:tc>
      </w:tr>
      <w:tr w:rsidR="004471E2" w:rsidRPr="004471E2" w14:paraId="082ADE2C" w14:textId="77777777" w:rsidTr="007A27E8">
        <w:trPr>
          <w:trHeight w:val="238"/>
        </w:trPr>
        <w:tc>
          <w:tcPr>
            <w:tcW w:w="1750" w:type="pct"/>
          </w:tcPr>
          <w:p w14:paraId="15A3C35A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Major regional policy tools (e.g., funds, plans, policy initiatives, institutional agreements, etc.)</w:t>
            </w:r>
          </w:p>
        </w:tc>
        <w:tc>
          <w:tcPr>
            <w:tcW w:w="3250" w:type="pct"/>
          </w:tcPr>
          <w:p w14:paraId="468A0320" w14:textId="77777777" w:rsidR="004471E2" w:rsidRPr="004471E2" w:rsidRDefault="004471E2" w:rsidP="004471E2">
            <w:pPr>
              <w:pStyle w:val="TableCell"/>
              <w:numPr>
                <w:ilvl w:val="0"/>
                <w:numId w:val="26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Conventions of territorial cooperation between the State and municipalities (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Syndicat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Nordstad</w:t>
            </w:r>
            <w:proofErr w:type="spellEnd"/>
            <w:r w:rsidRPr="004471E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Syndicat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PRO-SUD,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Syndicat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Réidener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Kanton</w:t>
            </w:r>
            <w:r w:rsidRPr="004471E2">
              <w:rPr>
                <w:rFonts w:cs="Arial"/>
                <w:sz w:val="20"/>
                <w:szCs w:val="20"/>
              </w:rPr>
              <w:t>)</w:t>
            </w:r>
          </w:p>
          <w:p w14:paraId="37A6BBA4" w14:textId="77777777" w:rsidR="004471E2" w:rsidRPr="004471E2" w:rsidRDefault="004471E2" w:rsidP="004471E2">
            <w:pPr>
              <w:pStyle w:val="TableCell"/>
              <w:numPr>
                <w:ilvl w:val="0"/>
                <w:numId w:val="26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  <w:lang w:val="fr-FR"/>
              </w:rPr>
            </w:pPr>
            <w:proofErr w:type="spellStart"/>
            <w:r w:rsidRPr="004471E2">
              <w:rPr>
                <w:rFonts w:cs="Arial"/>
                <w:sz w:val="20"/>
                <w:szCs w:val="20"/>
                <w:lang w:val="fr-FR"/>
              </w:rPr>
              <w:t>Regional</w:t>
            </w:r>
            <w:proofErr w:type="spellEnd"/>
            <w:r w:rsidRPr="004471E2">
              <w:rPr>
                <w:rFonts w:cs="Arial"/>
                <w:sz w:val="20"/>
                <w:szCs w:val="20"/>
                <w:lang w:val="fr-FR"/>
              </w:rPr>
              <w:t xml:space="preserve"> forum (</w:t>
            </w:r>
            <w:r w:rsidRPr="004471E2">
              <w:rPr>
                <w:rFonts w:cs="Arial"/>
                <w:i/>
                <w:sz w:val="20"/>
                <w:szCs w:val="20"/>
                <w:lang w:val="fr-FR"/>
              </w:rPr>
              <w:t>Forum régional Centre</w:t>
            </w:r>
            <w:r w:rsidRPr="004471E2">
              <w:rPr>
                <w:rFonts w:cs="Arial"/>
                <w:sz w:val="20"/>
                <w:szCs w:val="20"/>
                <w:lang w:val="fr-FR"/>
              </w:rPr>
              <w:t>)</w:t>
            </w:r>
          </w:p>
          <w:p w14:paraId="12795454" w14:textId="77777777" w:rsidR="004471E2" w:rsidRPr="004471E2" w:rsidRDefault="004471E2" w:rsidP="004471E2">
            <w:pPr>
              <w:pStyle w:val="TableCell"/>
              <w:numPr>
                <w:ilvl w:val="0"/>
                <w:numId w:val="26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  <w:lang w:val="fr-FR"/>
              </w:rPr>
            </w:pPr>
            <w:r w:rsidRPr="004471E2">
              <w:rPr>
                <w:rFonts w:cs="Arial"/>
                <w:sz w:val="20"/>
                <w:szCs w:val="20"/>
                <w:lang w:val="fr-FR"/>
              </w:rPr>
              <w:t xml:space="preserve">Nature </w:t>
            </w:r>
            <w:proofErr w:type="spellStart"/>
            <w:r w:rsidRPr="004471E2">
              <w:rPr>
                <w:rFonts w:cs="Arial"/>
                <w:sz w:val="20"/>
                <w:szCs w:val="20"/>
                <w:lang w:val="fr-FR"/>
              </w:rPr>
              <w:t>parks</w:t>
            </w:r>
            <w:proofErr w:type="spellEnd"/>
            <w:r w:rsidRPr="004471E2">
              <w:rPr>
                <w:rFonts w:cs="Arial"/>
                <w:sz w:val="20"/>
                <w:szCs w:val="20"/>
                <w:lang w:val="fr-FR"/>
              </w:rPr>
              <w:t xml:space="preserve"> (</w:t>
            </w:r>
            <w:r w:rsidRPr="004471E2">
              <w:rPr>
                <w:rFonts w:cs="Arial"/>
                <w:i/>
                <w:sz w:val="20"/>
                <w:szCs w:val="20"/>
                <w:lang w:val="fr-FR"/>
              </w:rPr>
              <w:t>Haute-Sûre</w:t>
            </w:r>
            <w:r w:rsidRPr="004471E2">
              <w:rPr>
                <w:rFonts w:cs="Arial"/>
                <w:sz w:val="20"/>
                <w:szCs w:val="20"/>
                <w:lang w:val="fr-FR"/>
              </w:rPr>
              <w:t xml:space="preserve">, </w:t>
            </w:r>
            <w:r w:rsidRPr="004471E2">
              <w:rPr>
                <w:rFonts w:cs="Arial"/>
                <w:i/>
                <w:sz w:val="20"/>
                <w:szCs w:val="20"/>
                <w:lang w:val="fr-FR"/>
              </w:rPr>
              <w:t>Our</w:t>
            </w:r>
            <w:r w:rsidRPr="004471E2">
              <w:rPr>
                <w:rFonts w:cs="Arial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  <w:lang w:val="fr-FR"/>
              </w:rPr>
              <w:t>Mëllerdal</w:t>
            </w:r>
            <w:r w:rsidRPr="004471E2">
              <w:rPr>
                <w:rFonts w:cs="Arial"/>
                <w:sz w:val="20"/>
                <w:szCs w:val="20"/>
                <w:lang w:val="fr-FR"/>
              </w:rPr>
              <w:t>l</w:t>
            </w:r>
            <w:proofErr w:type="spellEnd"/>
            <w:r w:rsidRPr="004471E2">
              <w:rPr>
                <w:rFonts w:cs="Arial"/>
                <w:sz w:val="20"/>
                <w:szCs w:val="20"/>
                <w:lang w:val="fr-FR"/>
              </w:rPr>
              <w:t>)</w:t>
            </w:r>
          </w:p>
          <w:p w14:paraId="53A4D482" w14:textId="77777777" w:rsidR="004471E2" w:rsidRPr="004471E2" w:rsidRDefault="004471E2" w:rsidP="004471E2">
            <w:pPr>
              <w:pStyle w:val="TableCell"/>
              <w:numPr>
                <w:ilvl w:val="0"/>
                <w:numId w:val="26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 xml:space="preserve">Territorial visions for the three urban agglomeration areas </w:t>
            </w:r>
            <w:r w:rsidRPr="004471E2">
              <w:rPr>
                <w:rFonts w:cs="Arial"/>
                <w:sz w:val="20"/>
                <w:szCs w:val="20"/>
              </w:rPr>
              <w:lastRenderedPageBreak/>
              <w:t>(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Nordstad</w:t>
            </w:r>
            <w:proofErr w:type="spellEnd"/>
            <w:r w:rsidRPr="004471E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région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Sud</w:t>
            </w:r>
            <w:r w:rsidRPr="004471E2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Agglo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>-Centre</w:t>
            </w:r>
            <w:r w:rsidRPr="004471E2">
              <w:rPr>
                <w:rFonts w:cs="Arial"/>
                <w:sz w:val="20"/>
                <w:szCs w:val="20"/>
              </w:rPr>
              <w:t xml:space="preserve">) and the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Réidener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Kanton</w:t>
            </w:r>
            <w:r w:rsidRPr="004471E2">
              <w:rPr>
                <w:rFonts w:cs="Arial"/>
                <w:sz w:val="20"/>
                <w:szCs w:val="20"/>
              </w:rPr>
              <w:t xml:space="preserve"> rural area</w:t>
            </w:r>
          </w:p>
          <w:p w14:paraId="75796FB1" w14:textId="77777777" w:rsidR="004471E2" w:rsidRPr="004471E2" w:rsidRDefault="004471E2" w:rsidP="004471E2">
            <w:pPr>
              <w:pStyle w:val="TableCell"/>
              <w:numPr>
                <w:ilvl w:val="0"/>
                <w:numId w:val="26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4471E2">
              <w:rPr>
                <w:rFonts w:cs="Arial"/>
                <w:sz w:val="20"/>
                <w:szCs w:val="20"/>
              </w:rPr>
              <w:t>Minett</w:t>
            </w:r>
            <w:proofErr w:type="spellEnd"/>
            <w:r w:rsidRPr="004471E2">
              <w:rPr>
                <w:rFonts w:cs="Arial"/>
                <w:sz w:val="20"/>
                <w:szCs w:val="20"/>
              </w:rPr>
              <w:t xml:space="preserve"> UNESCO Biosphere (UNESCO Man and the Biosphere Programme)</w:t>
            </w:r>
          </w:p>
          <w:p w14:paraId="4EBECBCA" w14:textId="77777777" w:rsidR="004471E2" w:rsidRPr="004471E2" w:rsidRDefault="004471E2" w:rsidP="004471E2">
            <w:pPr>
              <w:pStyle w:val="TableCell"/>
              <w:numPr>
                <w:ilvl w:val="0"/>
                <w:numId w:val="26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Monitoring system for the nature parks</w:t>
            </w:r>
          </w:p>
          <w:p w14:paraId="089CF335" w14:textId="77777777" w:rsidR="004471E2" w:rsidRPr="004471E2" w:rsidRDefault="004471E2" w:rsidP="004471E2">
            <w:pPr>
              <w:pStyle w:val="TableCell"/>
              <w:numPr>
                <w:ilvl w:val="0"/>
                <w:numId w:val="26"/>
              </w:numPr>
              <w:spacing w:before="0" w:after="0" w:line="240" w:lineRule="auto"/>
              <w:ind w:left="170" w:hanging="170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Regional climate change adaptation strategies</w:t>
            </w:r>
          </w:p>
        </w:tc>
      </w:tr>
      <w:tr w:rsidR="004471E2" w:rsidRPr="004471E2" w14:paraId="415A398D" w14:textId="77777777" w:rsidTr="007A27E8">
        <w:trPr>
          <w:trHeight w:val="238"/>
        </w:trPr>
        <w:tc>
          <w:tcPr>
            <w:tcW w:w="1750" w:type="pct"/>
          </w:tcPr>
          <w:p w14:paraId="6F99EE03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lastRenderedPageBreak/>
              <w:t xml:space="preserve">Policy co-ordination tools at national level </w:t>
            </w:r>
          </w:p>
        </w:tc>
        <w:tc>
          <w:tcPr>
            <w:tcW w:w="3250" w:type="pct"/>
          </w:tcPr>
          <w:p w14:paraId="7F4CD37C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Department of Spatial Planning, Ministry of Energy and Spatial Planning</w:t>
            </w:r>
          </w:p>
        </w:tc>
      </w:tr>
      <w:tr w:rsidR="004471E2" w:rsidRPr="004471E2" w14:paraId="05EB45F2" w14:textId="77777777" w:rsidTr="007A27E8">
        <w:trPr>
          <w:trHeight w:val="238"/>
        </w:trPr>
        <w:tc>
          <w:tcPr>
            <w:tcW w:w="1750" w:type="pct"/>
          </w:tcPr>
          <w:p w14:paraId="3D5EB9A7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Multi-level governance mechanisms between national and subnational levels (e.g., institutional agreements, Committees, etc.)</w:t>
            </w:r>
          </w:p>
        </w:tc>
        <w:tc>
          <w:tcPr>
            <w:tcW w:w="3250" w:type="pct"/>
          </w:tcPr>
          <w:p w14:paraId="760516ED" w14:textId="77777777" w:rsidR="004471E2" w:rsidRPr="004471E2" w:rsidRDefault="004471E2" w:rsidP="004471E2">
            <w:pPr>
              <w:pStyle w:val="TableCell"/>
              <w:numPr>
                <w:ilvl w:val="0"/>
                <w:numId w:val="24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Conventions of territorial cooperation between the State and municipalities (</w:t>
            </w:r>
            <w:r w:rsidRPr="004471E2">
              <w:rPr>
                <w:rFonts w:cs="Arial"/>
                <w:i/>
                <w:sz w:val="20"/>
                <w:szCs w:val="20"/>
              </w:rPr>
              <w:t>Conventions de cooperation territorial Etat-communes</w:t>
            </w:r>
            <w:r w:rsidRPr="004471E2">
              <w:rPr>
                <w:rFonts w:cs="Arial"/>
                <w:sz w:val="20"/>
                <w:szCs w:val="20"/>
              </w:rPr>
              <w:t>)</w:t>
            </w:r>
          </w:p>
          <w:p w14:paraId="3C4D8B71" w14:textId="77777777" w:rsidR="004471E2" w:rsidRPr="004471E2" w:rsidRDefault="004471E2" w:rsidP="004471E2">
            <w:pPr>
              <w:pStyle w:val="TableCell"/>
              <w:numPr>
                <w:ilvl w:val="0"/>
                <w:numId w:val="24"/>
              </w:numPr>
              <w:spacing w:before="0" w:after="0" w:line="240" w:lineRule="auto"/>
              <w:ind w:left="170" w:hanging="170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Nature parks (</w:t>
            </w:r>
            <w:r w:rsidRPr="004471E2">
              <w:rPr>
                <w:rFonts w:cs="Arial"/>
                <w:i/>
                <w:sz w:val="20"/>
                <w:szCs w:val="20"/>
              </w:rPr>
              <w:t xml:space="preserve">Parcs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naturels</w:t>
            </w:r>
            <w:proofErr w:type="spellEnd"/>
            <w:r w:rsidRPr="004471E2">
              <w:rPr>
                <w:rFonts w:cs="Arial"/>
                <w:sz w:val="20"/>
                <w:szCs w:val="20"/>
              </w:rPr>
              <w:t>)</w:t>
            </w:r>
          </w:p>
        </w:tc>
      </w:tr>
      <w:tr w:rsidR="004471E2" w:rsidRPr="004471E2" w14:paraId="4180DC3F" w14:textId="77777777" w:rsidTr="007A27E8">
        <w:trPr>
          <w:trHeight w:val="238"/>
        </w:trPr>
        <w:tc>
          <w:tcPr>
            <w:tcW w:w="1750" w:type="pct"/>
          </w:tcPr>
          <w:p w14:paraId="2DE70ADD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 xml:space="preserve">Policy co-ordination tools at regional level </w:t>
            </w:r>
          </w:p>
        </w:tc>
        <w:tc>
          <w:tcPr>
            <w:tcW w:w="3250" w:type="pct"/>
          </w:tcPr>
          <w:p w14:paraId="139891BC" w14:textId="77777777" w:rsidR="004471E2" w:rsidRPr="004471E2" w:rsidRDefault="004471E2" w:rsidP="004471E2">
            <w:pPr>
              <w:pStyle w:val="TableCell"/>
              <w:numPr>
                <w:ilvl w:val="0"/>
                <w:numId w:val="25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Integrated regional strategies and territorial visions</w:t>
            </w:r>
          </w:p>
          <w:p w14:paraId="5F1B9DC8" w14:textId="77777777" w:rsidR="004471E2" w:rsidRPr="004471E2" w:rsidRDefault="004471E2" w:rsidP="004471E2">
            <w:pPr>
              <w:pStyle w:val="TableCell"/>
              <w:numPr>
                <w:ilvl w:val="0"/>
                <w:numId w:val="25"/>
              </w:numPr>
              <w:spacing w:before="0" w:after="0" w:line="240" w:lineRule="auto"/>
              <w:ind w:left="170" w:hanging="170"/>
              <w:jc w:val="left"/>
              <w:rPr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Intermunicipal syndicates</w:t>
            </w:r>
          </w:p>
        </w:tc>
      </w:tr>
      <w:tr w:rsidR="004471E2" w:rsidRPr="004471E2" w14:paraId="47D4DF1C" w14:textId="77777777" w:rsidTr="007A27E8">
        <w:trPr>
          <w:trHeight w:val="238"/>
        </w:trPr>
        <w:tc>
          <w:tcPr>
            <w:tcW w:w="1750" w:type="pct"/>
          </w:tcPr>
          <w:p w14:paraId="078E2785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Evaluation and monitoring tools</w:t>
            </w:r>
          </w:p>
        </w:tc>
        <w:tc>
          <w:tcPr>
            <w:tcW w:w="3250" w:type="pct"/>
          </w:tcPr>
          <w:p w14:paraId="738EC97E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4471E2">
              <w:rPr>
                <w:sz w:val="20"/>
                <w:szCs w:val="20"/>
              </w:rPr>
              <w:t>Regional systems of evaluation and monitoring (e.g. nature parks)</w:t>
            </w:r>
          </w:p>
        </w:tc>
      </w:tr>
      <w:tr w:rsidR="004471E2" w:rsidRPr="004471E2" w14:paraId="2569D94C" w14:textId="77777777" w:rsidTr="007A27E8">
        <w:trPr>
          <w:trHeight w:val="238"/>
        </w:trPr>
        <w:tc>
          <w:tcPr>
            <w:tcW w:w="1750" w:type="pct"/>
          </w:tcPr>
          <w:p w14:paraId="4C800439" w14:textId="77777777" w:rsidR="004471E2" w:rsidRPr="004471E2" w:rsidRDefault="004471E2" w:rsidP="004471E2">
            <w:pPr>
              <w:pStyle w:val="TableRow"/>
              <w:spacing w:before="0" w:after="0" w:line="240" w:lineRule="auto"/>
              <w:jc w:val="left"/>
              <w:rPr>
                <w:sz w:val="20"/>
              </w:rPr>
            </w:pPr>
            <w:r w:rsidRPr="004471E2">
              <w:rPr>
                <w:sz w:val="20"/>
              </w:rPr>
              <w:t>Future orientations of regional policy</w:t>
            </w:r>
          </w:p>
        </w:tc>
        <w:tc>
          <w:tcPr>
            <w:tcW w:w="3250" w:type="pct"/>
          </w:tcPr>
          <w:p w14:paraId="662ECA62" w14:textId="77777777" w:rsidR="004471E2" w:rsidRPr="004471E2" w:rsidRDefault="004471E2" w:rsidP="004471E2">
            <w:pPr>
              <w:pStyle w:val="TableCell"/>
              <w:numPr>
                <w:ilvl w:val="0"/>
                <w:numId w:val="23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Implementation of the territorial visions for the three urban agglomeration areas</w:t>
            </w:r>
          </w:p>
          <w:p w14:paraId="2C16FCFA" w14:textId="77777777" w:rsidR="004471E2" w:rsidRPr="004471E2" w:rsidRDefault="004471E2" w:rsidP="004471E2">
            <w:pPr>
              <w:pStyle w:val="TableCell"/>
              <w:numPr>
                <w:ilvl w:val="0"/>
                <w:numId w:val="23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 xml:space="preserve">Development and implementation of a territorial vision for the </w:t>
            </w:r>
            <w:proofErr w:type="spellStart"/>
            <w:r w:rsidRPr="004471E2">
              <w:rPr>
                <w:rFonts w:cs="Arial"/>
                <w:i/>
                <w:sz w:val="20"/>
                <w:szCs w:val="20"/>
              </w:rPr>
              <w:t>Réidener</w:t>
            </w:r>
            <w:proofErr w:type="spellEnd"/>
            <w:r w:rsidRPr="004471E2">
              <w:rPr>
                <w:rFonts w:cs="Arial"/>
                <w:i/>
                <w:sz w:val="20"/>
                <w:szCs w:val="20"/>
              </w:rPr>
              <w:t xml:space="preserve"> Kanton</w:t>
            </w:r>
            <w:r w:rsidRPr="004471E2">
              <w:rPr>
                <w:rFonts w:cs="Arial"/>
                <w:sz w:val="20"/>
                <w:szCs w:val="20"/>
              </w:rPr>
              <w:t xml:space="preserve"> rural area</w:t>
            </w:r>
          </w:p>
          <w:p w14:paraId="08F3C177" w14:textId="77777777" w:rsidR="004471E2" w:rsidRPr="004471E2" w:rsidRDefault="004471E2" w:rsidP="004471E2">
            <w:pPr>
              <w:pStyle w:val="TableCell"/>
              <w:numPr>
                <w:ilvl w:val="0"/>
                <w:numId w:val="23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>Revision of the territorial analysis for the Nature parks and development of new ten-year work programmes</w:t>
            </w:r>
          </w:p>
          <w:p w14:paraId="0A51A004" w14:textId="77777777" w:rsidR="004471E2" w:rsidRPr="004471E2" w:rsidRDefault="004471E2" w:rsidP="004471E2">
            <w:pPr>
              <w:pStyle w:val="TableCell"/>
              <w:numPr>
                <w:ilvl w:val="0"/>
                <w:numId w:val="23"/>
              </w:numPr>
              <w:spacing w:before="0" w:after="0" w:line="240" w:lineRule="auto"/>
              <w:ind w:left="170" w:hanging="170"/>
              <w:jc w:val="left"/>
              <w:rPr>
                <w:rFonts w:cs="Arial"/>
                <w:sz w:val="20"/>
                <w:szCs w:val="20"/>
              </w:rPr>
            </w:pPr>
            <w:r w:rsidRPr="004471E2">
              <w:rPr>
                <w:rFonts w:cs="Arial"/>
                <w:sz w:val="20"/>
                <w:szCs w:val="20"/>
              </w:rPr>
              <w:t xml:space="preserve">Development and implementation of strategies for six cross-border functional zones in the framework of the Interreg Grande </w:t>
            </w:r>
            <w:proofErr w:type="spellStart"/>
            <w:r w:rsidRPr="004471E2">
              <w:rPr>
                <w:rFonts w:cs="Arial"/>
                <w:sz w:val="20"/>
                <w:szCs w:val="20"/>
              </w:rPr>
              <w:t>Région</w:t>
            </w:r>
            <w:proofErr w:type="spellEnd"/>
            <w:r w:rsidRPr="004471E2">
              <w:rPr>
                <w:rFonts w:cs="Arial"/>
                <w:sz w:val="20"/>
                <w:szCs w:val="20"/>
              </w:rPr>
              <w:t xml:space="preserve"> cooperation programme</w:t>
            </w:r>
          </w:p>
          <w:p w14:paraId="78746C40" w14:textId="77777777" w:rsidR="004471E2" w:rsidRPr="004471E2" w:rsidRDefault="004471E2" w:rsidP="004471E2">
            <w:pPr>
              <w:pStyle w:val="TableCell"/>
              <w:spacing w:before="0" w:after="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14:paraId="38663CAF" w14:textId="32723336" w:rsidR="00B0261A" w:rsidRDefault="00B0261A" w:rsidP="00B0261A"/>
    <w:p w14:paraId="10B019BE" w14:textId="30F3CEAD" w:rsidR="00130E6A" w:rsidRPr="00130E6A" w:rsidRDefault="00130E6A" w:rsidP="00130E6A">
      <w:pPr>
        <w:pStyle w:val="Heading2"/>
      </w:pPr>
      <w:r w:rsidRPr="00130E6A">
        <w:t>Recent policy developments</w:t>
      </w:r>
    </w:p>
    <w:p w14:paraId="4ED840AD" w14:textId="2F7A9B02" w:rsidR="00130E6A" w:rsidRPr="00130E6A" w:rsidRDefault="0005310D" w:rsidP="00442B3C">
      <w:r w:rsidRPr="0005310D">
        <w:t>The Master Programme for Spatial Planning (PDAT), which defines an integrated strategy for the sector policies having a territorial impact and determines the general guidelines, priorities and measures of the government’s spatial planning policy, has been revised and is currently [state of play 16/03/2023] in the adoption phase. It sets priorities and defines lighthouse projects for regional development and cooperation in so-called “Action areas” (</w:t>
      </w:r>
      <w:proofErr w:type="spellStart"/>
      <w:r w:rsidRPr="0005310D">
        <w:t>Espaces</w:t>
      </w:r>
      <w:proofErr w:type="spellEnd"/>
      <w:r w:rsidRPr="0005310D">
        <w:t xml:space="preserve"> </w:t>
      </w:r>
      <w:proofErr w:type="spellStart"/>
      <w:r w:rsidRPr="0005310D">
        <w:t>d’action</w:t>
      </w:r>
      <w:proofErr w:type="spellEnd"/>
      <w:r w:rsidRPr="0005310D">
        <w:t>), which are functional areas that can be either urban or rural as well as either national or cross-border</w:t>
      </w:r>
      <w:r w:rsidR="00442B3C">
        <w:t>.</w:t>
      </w:r>
    </w:p>
    <w:p w14:paraId="3499F09A" w14:textId="77777777" w:rsidR="00130E6A" w:rsidRPr="00130E6A" w:rsidRDefault="00130E6A" w:rsidP="00130E6A"/>
    <w:sectPr w:rsidR="00130E6A" w:rsidRPr="00130E6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8C8D" w14:textId="77777777" w:rsidR="00137DF2" w:rsidRDefault="00137DF2" w:rsidP="00B0261A">
      <w:r>
        <w:separator/>
      </w:r>
    </w:p>
  </w:endnote>
  <w:endnote w:type="continuationSeparator" w:id="0">
    <w:p w14:paraId="7EFCAE90" w14:textId="77777777" w:rsidR="00137DF2" w:rsidRDefault="00137DF2" w:rsidP="00B0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E6A9" w14:textId="77777777" w:rsidR="00137DF2" w:rsidRDefault="00137DF2" w:rsidP="00B0261A">
      <w:r>
        <w:separator/>
      </w:r>
    </w:p>
  </w:footnote>
  <w:footnote w:type="continuationSeparator" w:id="0">
    <w:p w14:paraId="5B7E8A83" w14:textId="77777777" w:rsidR="00137DF2" w:rsidRDefault="00137DF2" w:rsidP="00B0261A">
      <w:r>
        <w:continuationSeparator/>
      </w:r>
    </w:p>
  </w:footnote>
  <w:footnote w:id="1">
    <w:p w14:paraId="68C210CC" w14:textId="77777777" w:rsidR="004471E2" w:rsidRPr="00A104A0" w:rsidRDefault="004471E2" w:rsidP="004471E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104A0">
          <w:rPr>
            <w:rStyle w:val="Hyperlink"/>
          </w:rPr>
          <w:t>STATEC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C441" w14:textId="1642F243" w:rsidR="00130E6A" w:rsidRDefault="00130E6A">
    <w:pPr>
      <w:pStyle w:val="Header"/>
      <w:jc w:val="right"/>
    </w:pPr>
    <w:r>
      <w:t>|</w:t>
    </w:r>
    <w:sdt>
      <w:sdtPr>
        <w:id w:val="-2784157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2910535" w14:textId="77777777" w:rsidR="00B0261A" w:rsidRDefault="00B0261A" w:rsidP="00B02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A2A"/>
    <w:multiLevelType w:val="hybridMultilevel"/>
    <w:tmpl w:val="9D10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5B4F"/>
    <w:multiLevelType w:val="hybridMultilevel"/>
    <w:tmpl w:val="59104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7F5A"/>
    <w:multiLevelType w:val="hybridMultilevel"/>
    <w:tmpl w:val="FDB8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260A1"/>
    <w:multiLevelType w:val="hybridMultilevel"/>
    <w:tmpl w:val="7A661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11EA"/>
    <w:multiLevelType w:val="hybridMultilevel"/>
    <w:tmpl w:val="FFFFFFFF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97735"/>
    <w:multiLevelType w:val="hybridMultilevel"/>
    <w:tmpl w:val="0354EC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000AB"/>
    <w:multiLevelType w:val="hybridMultilevel"/>
    <w:tmpl w:val="99CC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A7A3E"/>
    <w:multiLevelType w:val="hybridMultilevel"/>
    <w:tmpl w:val="F070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65BEA"/>
    <w:multiLevelType w:val="hybridMultilevel"/>
    <w:tmpl w:val="FFFFFFFF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42D31"/>
    <w:multiLevelType w:val="hybridMultilevel"/>
    <w:tmpl w:val="910C1400"/>
    <w:lvl w:ilvl="0" w:tplc="0552919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E07A6"/>
    <w:multiLevelType w:val="hybridMultilevel"/>
    <w:tmpl w:val="C70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42188"/>
    <w:multiLevelType w:val="hybridMultilevel"/>
    <w:tmpl w:val="FFFFFFFF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84352"/>
    <w:multiLevelType w:val="hybridMultilevel"/>
    <w:tmpl w:val="D074A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51856"/>
    <w:multiLevelType w:val="hybridMultilevel"/>
    <w:tmpl w:val="FFFFFFFF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07112"/>
    <w:multiLevelType w:val="hybridMultilevel"/>
    <w:tmpl w:val="37CACF74"/>
    <w:lvl w:ilvl="0" w:tplc="0813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5" w15:restartNumberingAfterBreak="0">
    <w:nsid w:val="3AF50439"/>
    <w:multiLevelType w:val="hybridMultilevel"/>
    <w:tmpl w:val="938284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2A8E0">
      <w:numFmt w:val="bullet"/>
      <w:lvlText w:val="•"/>
      <w:lvlJc w:val="left"/>
      <w:pPr>
        <w:ind w:left="1800" w:hanging="720"/>
      </w:pPr>
      <w:rPr>
        <w:rFonts w:ascii="Arial Narrow" w:eastAsiaTheme="minorHAnsi" w:hAnsi="Arial Narrow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035A0"/>
    <w:multiLevelType w:val="hybridMultilevel"/>
    <w:tmpl w:val="6D802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B6CEB"/>
    <w:multiLevelType w:val="hybridMultilevel"/>
    <w:tmpl w:val="805A7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B3438"/>
    <w:multiLevelType w:val="hybridMultilevel"/>
    <w:tmpl w:val="280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31131"/>
    <w:multiLevelType w:val="hybridMultilevel"/>
    <w:tmpl w:val="133C6A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4A1EE">
      <w:numFmt w:val="bullet"/>
      <w:lvlText w:val="-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F5601"/>
    <w:multiLevelType w:val="hybridMultilevel"/>
    <w:tmpl w:val="72DE3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A23AE"/>
    <w:multiLevelType w:val="hybridMultilevel"/>
    <w:tmpl w:val="027A7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45F6C"/>
    <w:multiLevelType w:val="hybridMultilevel"/>
    <w:tmpl w:val="F526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82C16"/>
    <w:multiLevelType w:val="hybridMultilevel"/>
    <w:tmpl w:val="295E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C559B"/>
    <w:multiLevelType w:val="hybridMultilevel"/>
    <w:tmpl w:val="D49E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63ED6"/>
    <w:multiLevelType w:val="hybridMultilevel"/>
    <w:tmpl w:val="36AE1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D3EB9"/>
    <w:multiLevelType w:val="hybridMultilevel"/>
    <w:tmpl w:val="1A940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8332C"/>
    <w:multiLevelType w:val="hybridMultilevel"/>
    <w:tmpl w:val="BF12C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765929">
    <w:abstractNumId w:val="22"/>
  </w:num>
  <w:num w:numId="2" w16cid:durableId="442264828">
    <w:abstractNumId w:val="9"/>
  </w:num>
  <w:num w:numId="3" w16cid:durableId="1036737201">
    <w:abstractNumId w:val="21"/>
  </w:num>
  <w:num w:numId="4" w16cid:durableId="2100321986">
    <w:abstractNumId w:val="16"/>
  </w:num>
  <w:num w:numId="5" w16cid:durableId="200703605">
    <w:abstractNumId w:val="17"/>
  </w:num>
  <w:num w:numId="6" w16cid:durableId="647786490">
    <w:abstractNumId w:val="25"/>
  </w:num>
  <w:num w:numId="7" w16cid:durableId="243229222">
    <w:abstractNumId w:val="26"/>
  </w:num>
  <w:num w:numId="8" w16cid:durableId="343627830">
    <w:abstractNumId w:val="27"/>
  </w:num>
  <w:num w:numId="9" w16cid:durableId="1178739638">
    <w:abstractNumId w:val="14"/>
  </w:num>
  <w:num w:numId="10" w16cid:durableId="1000810014">
    <w:abstractNumId w:val="15"/>
  </w:num>
  <w:num w:numId="11" w16cid:durableId="293869881">
    <w:abstractNumId w:val="12"/>
  </w:num>
  <w:num w:numId="12" w16cid:durableId="1633779472">
    <w:abstractNumId w:val="1"/>
  </w:num>
  <w:num w:numId="13" w16cid:durableId="1394887564">
    <w:abstractNumId w:val="20"/>
  </w:num>
  <w:num w:numId="14" w16cid:durableId="1989936522">
    <w:abstractNumId w:val="3"/>
  </w:num>
  <w:num w:numId="15" w16cid:durableId="828525225">
    <w:abstractNumId w:val="5"/>
  </w:num>
  <w:num w:numId="16" w16cid:durableId="91363023">
    <w:abstractNumId w:val="13"/>
  </w:num>
  <w:num w:numId="17" w16cid:durableId="1053239916">
    <w:abstractNumId w:val="8"/>
  </w:num>
  <w:num w:numId="18" w16cid:durableId="863639562">
    <w:abstractNumId w:val="4"/>
  </w:num>
  <w:num w:numId="19" w16cid:durableId="1803618516">
    <w:abstractNumId w:val="19"/>
  </w:num>
  <w:num w:numId="20" w16cid:durableId="1712918437">
    <w:abstractNumId w:val="11"/>
  </w:num>
  <w:num w:numId="21" w16cid:durableId="1776099911">
    <w:abstractNumId w:val="24"/>
  </w:num>
  <w:num w:numId="22" w16cid:durableId="750783322">
    <w:abstractNumId w:val="10"/>
  </w:num>
  <w:num w:numId="23" w16cid:durableId="621810860">
    <w:abstractNumId w:val="6"/>
  </w:num>
  <w:num w:numId="24" w16cid:durableId="1288658399">
    <w:abstractNumId w:val="23"/>
  </w:num>
  <w:num w:numId="25" w16cid:durableId="107745154">
    <w:abstractNumId w:val="2"/>
  </w:num>
  <w:num w:numId="26" w16cid:durableId="807163908">
    <w:abstractNumId w:val="0"/>
  </w:num>
  <w:num w:numId="27" w16cid:durableId="1575434287">
    <w:abstractNumId w:val="18"/>
  </w:num>
  <w:num w:numId="28" w16cid:durableId="603616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1A"/>
    <w:rsid w:val="00004FB8"/>
    <w:rsid w:val="0005310D"/>
    <w:rsid w:val="00106D54"/>
    <w:rsid w:val="00130E6A"/>
    <w:rsid w:val="00137DF2"/>
    <w:rsid w:val="001F15FE"/>
    <w:rsid w:val="0022593F"/>
    <w:rsid w:val="002932C5"/>
    <w:rsid w:val="002D46F5"/>
    <w:rsid w:val="002F53E2"/>
    <w:rsid w:val="00363D4B"/>
    <w:rsid w:val="004078EF"/>
    <w:rsid w:val="00415A0D"/>
    <w:rsid w:val="0042788E"/>
    <w:rsid w:val="00427B70"/>
    <w:rsid w:val="00440A61"/>
    <w:rsid w:val="00442B3C"/>
    <w:rsid w:val="004471E2"/>
    <w:rsid w:val="004E2635"/>
    <w:rsid w:val="004E3228"/>
    <w:rsid w:val="00616A18"/>
    <w:rsid w:val="006B4ECA"/>
    <w:rsid w:val="006C7C5E"/>
    <w:rsid w:val="00701518"/>
    <w:rsid w:val="0071794A"/>
    <w:rsid w:val="007651C5"/>
    <w:rsid w:val="007C6BE8"/>
    <w:rsid w:val="007D4DD7"/>
    <w:rsid w:val="007D63ED"/>
    <w:rsid w:val="0080379C"/>
    <w:rsid w:val="00810830"/>
    <w:rsid w:val="00821B89"/>
    <w:rsid w:val="008E48C7"/>
    <w:rsid w:val="0090630C"/>
    <w:rsid w:val="00953666"/>
    <w:rsid w:val="009728D5"/>
    <w:rsid w:val="00993AE2"/>
    <w:rsid w:val="009B7678"/>
    <w:rsid w:val="009C0325"/>
    <w:rsid w:val="009D01B2"/>
    <w:rsid w:val="009F3217"/>
    <w:rsid w:val="00A31747"/>
    <w:rsid w:val="00B0261A"/>
    <w:rsid w:val="00C46A24"/>
    <w:rsid w:val="00CC11A1"/>
    <w:rsid w:val="00D02557"/>
    <w:rsid w:val="00D354B7"/>
    <w:rsid w:val="00DD7B45"/>
    <w:rsid w:val="00E00B59"/>
    <w:rsid w:val="00E1409A"/>
    <w:rsid w:val="00E35041"/>
    <w:rsid w:val="00EE7700"/>
    <w:rsid w:val="00EF5E68"/>
    <w:rsid w:val="00EF66F6"/>
    <w:rsid w:val="00F341DB"/>
    <w:rsid w:val="00F37D0C"/>
    <w:rsid w:val="00F61089"/>
    <w:rsid w:val="00F66C99"/>
    <w:rsid w:val="00FA40FC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9299"/>
  <w15:chartTrackingRefBased/>
  <w15:docId w15:val="{70AB1E4F-1CC7-43B2-BF70-58E1D334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1A"/>
    <w:pPr>
      <w:spacing w:line="276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B0261A"/>
    <w:pPr>
      <w:outlineLvl w:val="0"/>
    </w:pPr>
    <w:rPr>
      <w:rFonts w:ascii="Arial Narrow" w:eastAsia="MS Mincho" w:hAnsi="Arial Narrow"/>
      <w:b/>
      <w:bCs/>
      <w:color w:val="4E81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E6A"/>
    <w:pPr>
      <w:spacing w:before="240"/>
      <w:outlineLvl w:val="1"/>
    </w:pPr>
    <w:rPr>
      <w:b/>
      <w:bCs/>
      <w:color w:val="4E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261A"/>
    <w:rPr>
      <w:rFonts w:ascii="Arial Narrow" w:eastAsia="MS Mincho" w:hAnsi="Arial Narrow" w:cstheme="majorBidi"/>
      <w:b/>
      <w:bCs/>
      <w:color w:val="4E81BD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2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1A"/>
  </w:style>
  <w:style w:type="paragraph" w:styleId="Footer">
    <w:name w:val="footer"/>
    <w:basedOn w:val="Normal"/>
    <w:link w:val="FooterChar"/>
    <w:uiPriority w:val="99"/>
    <w:unhideWhenUsed/>
    <w:rsid w:val="00B02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1A"/>
  </w:style>
  <w:style w:type="character" w:styleId="Hyperlink">
    <w:name w:val="Hyperlink"/>
    <w:basedOn w:val="DefaultParagraphFont"/>
    <w:uiPriority w:val="99"/>
    <w:unhideWhenUsed/>
    <w:rsid w:val="00B02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6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2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0E6A"/>
    <w:rPr>
      <w:rFonts w:ascii="Arial" w:hAnsi="Arial" w:cs="Arial"/>
      <w:b/>
      <w:bCs/>
      <w:color w:val="4E81BD"/>
      <w:lang w:val="en-GB"/>
    </w:rPr>
  </w:style>
  <w:style w:type="paragraph" w:customStyle="1" w:styleId="Title2">
    <w:name w:val="Title 2"/>
    <w:next w:val="Normal"/>
    <w:uiPriority w:val="1"/>
    <w:qFormat/>
    <w:rsid w:val="00130E6A"/>
    <w:pPr>
      <w:keepNext/>
      <w:spacing w:before="360" w:after="240" w:line="320" w:lineRule="exact"/>
      <w:outlineLvl w:val="1"/>
    </w:pPr>
    <w:rPr>
      <w:rFonts w:eastAsiaTheme="majorEastAsia" w:cstheme="majorBidi"/>
      <w:b/>
      <w:color w:val="4472C4" w:themeColor="accent1"/>
      <w:sz w:val="24"/>
      <w:szCs w:val="26"/>
      <w:lang w:val="en-GB"/>
    </w:rPr>
  </w:style>
  <w:style w:type="paragraph" w:customStyle="1" w:styleId="TableCell">
    <w:name w:val="Table Cell"/>
    <w:basedOn w:val="Normal"/>
    <w:uiPriority w:val="9"/>
    <w:qFormat/>
    <w:rsid w:val="00130E6A"/>
    <w:pPr>
      <w:widowControl w:val="0"/>
      <w:spacing w:before="10" w:after="20" w:line="200" w:lineRule="exact"/>
      <w:jc w:val="right"/>
    </w:pPr>
    <w:rPr>
      <w:rFonts w:ascii="Arial Narrow" w:hAnsi="Arial Narrow" w:cstheme="minorBidi"/>
      <w:color w:val="000000" w:themeColor="text1"/>
      <w:sz w:val="17"/>
      <w:szCs w:val="22"/>
    </w:rPr>
  </w:style>
  <w:style w:type="paragraph" w:customStyle="1" w:styleId="TableRow">
    <w:name w:val="Table Row"/>
    <w:qFormat/>
    <w:rsid w:val="00130E6A"/>
    <w:pPr>
      <w:spacing w:before="10" w:after="20" w:line="200" w:lineRule="exact"/>
    </w:pPr>
    <w:rPr>
      <w:rFonts w:ascii="Arial Narrow" w:hAnsi="Arial Narrow"/>
      <w:color w:val="000000" w:themeColor="text1"/>
      <w:sz w:val="17"/>
      <w:lang w:val="en-GB"/>
    </w:rPr>
  </w:style>
  <w:style w:type="table" w:customStyle="1" w:styleId="OECD">
    <w:name w:val="OECD"/>
    <w:basedOn w:val="TableSimple1"/>
    <w:uiPriority w:val="99"/>
    <w:rsid w:val="00130E6A"/>
    <w:pPr>
      <w:spacing w:before="10" w:after="20" w:line="200" w:lineRule="exact"/>
    </w:pPr>
    <w:rPr>
      <w:rFonts w:ascii="Arial Narrow" w:hAnsi="Arial Narrow"/>
      <w:sz w:val="17"/>
      <w:szCs w:val="20"/>
      <w:lang w:eastAsia="en-GB"/>
    </w:rPr>
    <w:tblPr>
      <w:tblBorders>
        <w:top w:val="single" w:sz="12" w:space="0" w:color="4472C4" w:themeColor="accent1"/>
        <w:bottom w:val="single" w:sz="12" w:space="0" w:color="4472C4" w:themeColor="accent1"/>
        <w:insideH w:val="single" w:sz="6" w:space="0" w:color="BFBFBF" w:themeColor="background1" w:themeShade="BF"/>
        <w:insideV w:val="single" w:sz="6" w:space="0" w:color="BFBFBF" w:themeColor="background1" w:themeShade="BF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4472C4" w:themeColor="accen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paragraph" w:customStyle="1" w:styleId="Tablebullet">
    <w:name w:val="Table bullet"/>
    <w:basedOn w:val="Normal"/>
    <w:qFormat/>
    <w:rsid w:val="00130E6A"/>
    <w:pPr>
      <w:numPr>
        <w:numId w:val="2"/>
      </w:numPr>
      <w:spacing w:before="60" w:after="20" w:line="240" w:lineRule="auto"/>
      <w:jc w:val="left"/>
    </w:pPr>
    <w:rPr>
      <w:rFonts w:eastAsia="Times New Roman" w:cs="Times New Roman"/>
      <w:sz w:val="16"/>
      <w:lang w:val="en-AU" w:eastAsia="en-AU"/>
    </w:rPr>
  </w:style>
  <w:style w:type="paragraph" w:customStyle="1" w:styleId="TableTextCentred">
    <w:name w:val="Table Text Centred"/>
    <w:basedOn w:val="Normal"/>
    <w:rsid w:val="00130E6A"/>
    <w:pPr>
      <w:spacing w:before="20" w:after="20" w:line="240" w:lineRule="auto"/>
      <w:jc w:val="center"/>
    </w:pPr>
    <w:rPr>
      <w:rFonts w:eastAsia="Times New Roman" w:cs="Times New Roman"/>
      <w:sz w:val="16"/>
      <w:lang w:val="en-AU" w:eastAsia="en-AU"/>
    </w:rPr>
  </w:style>
  <w:style w:type="paragraph" w:customStyle="1" w:styleId="BoswellMediaHeader">
    <w:name w:val="BoswellMediaHeader"/>
    <w:rsid w:val="00130E6A"/>
    <w:pPr>
      <w:spacing w:after="0" w:line="240" w:lineRule="auto"/>
      <w:jc w:val="right"/>
    </w:pPr>
    <w:rPr>
      <w:rFonts w:ascii="Arial" w:eastAsia="Times New Roman" w:hAnsi="Arial" w:cs="Times New Roman"/>
      <w:noProof/>
      <w:sz w:val="23"/>
      <w:szCs w:val="20"/>
      <w:lang w:val="en-AU" w:eastAsia="en-AU"/>
    </w:rPr>
  </w:style>
  <w:style w:type="table" w:styleId="TableSimple1">
    <w:name w:val="Table Simple 1"/>
    <w:basedOn w:val="TableNormal"/>
    <w:uiPriority w:val="99"/>
    <w:semiHidden/>
    <w:unhideWhenUsed/>
    <w:rsid w:val="00130E6A"/>
    <w:pPr>
      <w:spacing w:line="276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Para">
    <w:name w:val="Para"/>
    <w:link w:val="ParaChar"/>
    <w:uiPriority w:val="4"/>
    <w:qFormat/>
    <w:rsid w:val="00130E6A"/>
    <w:pPr>
      <w:spacing w:before="120" w:after="120" w:line="260" w:lineRule="atLeast"/>
      <w:jc w:val="both"/>
    </w:pPr>
    <w:rPr>
      <w:color w:val="000000" w:themeColor="text1"/>
      <w:sz w:val="20"/>
      <w:lang w:val="en-GB"/>
    </w:rPr>
  </w:style>
  <w:style w:type="character" w:customStyle="1" w:styleId="ParaChar">
    <w:name w:val="Para Char"/>
    <w:basedOn w:val="DefaultParagraphFont"/>
    <w:link w:val="Para"/>
    <w:uiPriority w:val="4"/>
    <w:rsid w:val="00130E6A"/>
    <w:rPr>
      <w:color w:val="000000" w:themeColor="text1"/>
      <w:sz w:val="20"/>
      <w:lang w:val="en-GB"/>
    </w:rPr>
  </w:style>
  <w:style w:type="character" w:customStyle="1" w:styleId="hgkelc">
    <w:name w:val="hgkelc"/>
    <w:basedOn w:val="DefaultParagraphFont"/>
    <w:rsid w:val="00616A18"/>
  </w:style>
  <w:style w:type="paragraph" w:customStyle="1" w:styleId="Default">
    <w:name w:val="Default"/>
    <w:rsid w:val="00616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AT"/>
    </w:rPr>
  </w:style>
  <w:style w:type="paragraph" w:styleId="CommentText">
    <w:name w:val="annotation text"/>
    <w:basedOn w:val="Normal"/>
    <w:link w:val="CommentTextChar"/>
    <w:uiPriority w:val="99"/>
    <w:unhideWhenUsed/>
    <w:rsid w:val="00EF5E68"/>
    <w:pPr>
      <w:widowControl w:val="0"/>
      <w:spacing w:after="0" w:line="240" w:lineRule="auto"/>
    </w:pPr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E68"/>
    <w:rPr>
      <w:sz w:val="20"/>
      <w:szCs w:val="20"/>
      <w:lang w:val="en-GB"/>
    </w:rPr>
  </w:style>
  <w:style w:type="character" w:customStyle="1" w:styleId="normaltextrun">
    <w:name w:val="normaltextrun"/>
    <w:basedOn w:val="DefaultParagraphFont"/>
    <w:rsid w:val="00EF5E68"/>
  </w:style>
  <w:style w:type="character" w:customStyle="1" w:styleId="markedcontent">
    <w:name w:val="markedcontent"/>
    <w:basedOn w:val="DefaultParagraphFont"/>
    <w:rsid w:val="00EF5E68"/>
  </w:style>
  <w:style w:type="character" w:customStyle="1" w:styleId="highlight">
    <w:name w:val="highlight"/>
    <w:basedOn w:val="DefaultParagraphFont"/>
    <w:rsid w:val="00EF5E68"/>
  </w:style>
  <w:style w:type="paragraph" w:styleId="FootnoteText">
    <w:name w:val="footnote text"/>
    <w:link w:val="FootnoteTextChar"/>
    <w:uiPriority w:val="99"/>
    <w:semiHidden/>
    <w:unhideWhenUsed/>
    <w:rsid w:val="004471E2"/>
    <w:pPr>
      <w:spacing w:after="120" w:line="240" w:lineRule="exact"/>
      <w:jc w:val="both"/>
    </w:pPr>
    <w:rPr>
      <w:sz w:val="18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1E2"/>
    <w:rPr>
      <w:sz w:val="18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471E2"/>
    <w:rPr>
      <w:rFonts w:asciiTheme="minorHAnsi" w:hAnsiTheme="minorHAnsi"/>
      <w:sz w:val="2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cdcode.org/disclaimers/territori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ecdcode.org/disclaimers/territori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ts.oecd.org/Index.aspx?DataSetCode=SNG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ecd-ilibrary.org/urban-rural-and-regional-development/oecd-regional-outlook_2dafc8cf-e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tat.statec.lu/vis?fs%5b0%5d=Th%C3%A8mes%2C1%7CPopulation%20et%20emploi%23B%23%7CEtat%20de%20la%20population%23B1%23&amp;pg=0&amp;fc=Th%C3%A8mes&amp;df%5bds%5d=ds-release&amp;df%5bid%5d=DF_X021&amp;df%5bag%5d=LU1&amp;df%5bvs%5d=1.0&amp;pd=2015%2C2022&amp;dq=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4600</Characters>
  <Application>Microsoft Office Word</Application>
  <DocSecurity>0</DocSecurity>
  <Lines>135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OECD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 PACHECO Taina, CFE/EDS</dc:creator>
  <cp:keywords/>
  <dc:description/>
  <cp:lastModifiedBy>SOUZA PACHECO Taina, CFE/EDS</cp:lastModifiedBy>
  <cp:revision>6</cp:revision>
  <cp:lastPrinted>2023-11-06T10:10:00Z</cp:lastPrinted>
  <dcterms:created xsi:type="dcterms:W3CDTF">2023-11-07T15:26:00Z</dcterms:created>
  <dcterms:modified xsi:type="dcterms:W3CDTF">2023-11-07T17:05:00Z</dcterms:modified>
</cp:coreProperties>
</file>