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0DBA647D" w:rsidR="00B0261A" w:rsidRDefault="00CA3B05" w:rsidP="00B0261A">
      <w:pPr>
        <w:pStyle w:val="Heading1"/>
      </w:pPr>
      <w:r>
        <w:t>NORWAY</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9264"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(Fadic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 o:spid="_x0000_s1026" type="#_x0000_t202" style="position:absolute;left:0;text-align:left;margin-left:1.5pt;margin-top:88.65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(Fadic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guidance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5FA2DF31" w14:textId="77777777" w:rsidR="00616A18" w:rsidRPr="0090630C" w:rsidRDefault="00616A18" w:rsidP="00616A18">
      <w:pPr>
        <w:pStyle w:val="Title2"/>
        <w:rPr>
          <w:rFonts w:ascii="Arial" w:hAnsi="Arial" w:cs="Arial"/>
        </w:rPr>
      </w:pPr>
      <w:r w:rsidRPr="0090630C">
        <w:rPr>
          <w:rFonts w:ascii="Arial" w:hAnsi="Arial" w:cs="Arial"/>
        </w:rPr>
        <w:lastRenderedPageBreak/>
        <w:t>Overview</w:t>
      </w:r>
    </w:p>
    <w:tbl>
      <w:tblPr>
        <w:tblStyle w:val="OECD"/>
        <w:tblW w:w="4790" w:type="pct"/>
        <w:tblLook w:val="0420" w:firstRow="1" w:lastRow="0" w:firstColumn="0" w:lastColumn="0" w:noHBand="0" w:noVBand="1"/>
      </w:tblPr>
      <w:tblGrid>
        <w:gridCol w:w="2890"/>
        <w:gridCol w:w="5757"/>
      </w:tblGrid>
      <w:tr w:rsidR="00725995" w:rsidRPr="00725995" w14:paraId="1295E846" w14:textId="77777777" w:rsidTr="00725995">
        <w:trPr>
          <w:cnfStyle w:val="100000000000" w:firstRow="1" w:lastRow="0" w:firstColumn="0" w:lastColumn="0" w:oddVBand="0" w:evenVBand="0" w:oddHBand="0" w:evenHBand="0" w:firstRowFirstColumn="0" w:firstRowLastColumn="0" w:lastRowFirstColumn="0" w:lastRowLastColumn="0"/>
          <w:trHeight w:val="238"/>
        </w:trPr>
        <w:tc>
          <w:tcPr>
            <w:tcW w:w="1671" w:type="pct"/>
          </w:tcPr>
          <w:p w14:paraId="12A003EA" w14:textId="77777777" w:rsidR="00725995" w:rsidRPr="00725995" w:rsidRDefault="00725995" w:rsidP="00725995">
            <w:pPr>
              <w:pStyle w:val="TableRow"/>
              <w:spacing w:before="0" w:after="0" w:line="240" w:lineRule="auto"/>
              <w:jc w:val="left"/>
              <w:rPr>
                <w:sz w:val="20"/>
              </w:rPr>
            </w:pPr>
            <w:r w:rsidRPr="00725995">
              <w:rPr>
                <w:sz w:val="20"/>
              </w:rPr>
              <w:t xml:space="preserve">Population </w:t>
            </w:r>
            <w:r w:rsidRPr="00725995">
              <w:rPr>
                <w:i/>
                <w:iCs/>
                <w:sz w:val="20"/>
              </w:rPr>
              <w:t>(specify date)</w:t>
            </w:r>
            <w:r w:rsidRPr="00725995">
              <w:rPr>
                <w:sz w:val="20"/>
              </w:rPr>
              <w:t xml:space="preserve"> and territory </w:t>
            </w:r>
          </w:p>
        </w:tc>
        <w:tc>
          <w:tcPr>
            <w:tcW w:w="3329" w:type="pct"/>
          </w:tcPr>
          <w:p w14:paraId="1FC2E347" w14:textId="77777777" w:rsidR="00725995" w:rsidRPr="00725995" w:rsidRDefault="00725995" w:rsidP="00725995">
            <w:pPr>
              <w:pStyle w:val="TableRow"/>
              <w:spacing w:before="0" w:after="0" w:line="240" w:lineRule="auto"/>
              <w:jc w:val="left"/>
              <w:rPr>
                <w:sz w:val="20"/>
              </w:rPr>
            </w:pPr>
            <w:r w:rsidRPr="00725995">
              <w:rPr>
                <w:rFonts w:cs="Arial"/>
                <w:sz w:val="20"/>
              </w:rPr>
              <w:t xml:space="preserve">5 425 270 (as of January 1, 2022) 323 810 km2 </w:t>
            </w:r>
          </w:p>
        </w:tc>
      </w:tr>
      <w:tr w:rsidR="00725995" w:rsidRPr="00725995" w14:paraId="738FE14E" w14:textId="77777777" w:rsidTr="00725995">
        <w:trPr>
          <w:trHeight w:val="238"/>
        </w:trPr>
        <w:tc>
          <w:tcPr>
            <w:tcW w:w="1671" w:type="pct"/>
          </w:tcPr>
          <w:p w14:paraId="1BFC71DD" w14:textId="77777777" w:rsidR="00725995" w:rsidRPr="00725995" w:rsidRDefault="00725995" w:rsidP="00725995">
            <w:pPr>
              <w:pStyle w:val="TableRow"/>
              <w:spacing w:before="0" w:after="0" w:line="240" w:lineRule="auto"/>
              <w:jc w:val="left"/>
              <w:rPr>
                <w:sz w:val="20"/>
              </w:rPr>
            </w:pPr>
            <w:r w:rsidRPr="00725995">
              <w:rPr>
                <w:sz w:val="20"/>
              </w:rPr>
              <w:t xml:space="preserve">Administrative structure </w:t>
            </w:r>
            <w:r w:rsidRPr="00725995">
              <w:rPr>
                <w:rFonts w:cs="Arial"/>
                <w:i/>
                <w:iCs/>
                <w:sz w:val="20"/>
              </w:rPr>
              <w:t>(unitary/federal)</w:t>
            </w:r>
          </w:p>
        </w:tc>
        <w:tc>
          <w:tcPr>
            <w:tcW w:w="3329" w:type="pct"/>
          </w:tcPr>
          <w:p w14:paraId="3EA8FA1C" w14:textId="77777777" w:rsidR="00725995" w:rsidRPr="00725995" w:rsidRDefault="00725995" w:rsidP="00725995">
            <w:pPr>
              <w:pStyle w:val="TableCell"/>
              <w:spacing w:before="0" w:after="0" w:line="240" w:lineRule="auto"/>
              <w:jc w:val="left"/>
              <w:rPr>
                <w:sz w:val="20"/>
                <w:szCs w:val="20"/>
              </w:rPr>
            </w:pPr>
            <w:r w:rsidRPr="00725995">
              <w:rPr>
                <w:rFonts w:cs="Arial"/>
                <w:sz w:val="20"/>
                <w:szCs w:val="20"/>
              </w:rPr>
              <w:t>Unitary country</w:t>
            </w:r>
          </w:p>
        </w:tc>
      </w:tr>
      <w:tr w:rsidR="00725995" w:rsidRPr="00725995" w14:paraId="2F0B7266" w14:textId="77777777" w:rsidTr="00725995">
        <w:trPr>
          <w:trHeight w:val="238"/>
        </w:trPr>
        <w:tc>
          <w:tcPr>
            <w:tcW w:w="1671" w:type="pct"/>
          </w:tcPr>
          <w:p w14:paraId="71C36512" w14:textId="77777777" w:rsidR="00725995" w:rsidRPr="00725995" w:rsidRDefault="00725995" w:rsidP="00725995">
            <w:pPr>
              <w:pStyle w:val="TableRow"/>
              <w:spacing w:before="0" w:after="0" w:line="240" w:lineRule="auto"/>
              <w:jc w:val="right"/>
              <w:rPr>
                <w:sz w:val="20"/>
              </w:rPr>
            </w:pPr>
            <w:r w:rsidRPr="00725995">
              <w:rPr>
                <w:sz w:val="20"/>
              </w:rPr>
              <w:t xml:space="preserve">Regional or state-level governments </w:t>
            </w:r>
            <w:r w:rsidRPr="00725995">
              <w:rPr>
                <w:i/>
                <w:iCs/>
                <w:sz w:val="20"/>
              </w:rPr>
              <w:t>(number)</w:t>
            </w:r>
          </w:p>
        </w:tc>
        <w:tc>
          <w:tcPr>
            <w:tcW w:w="3329" w:type="pct"/>
          </w:tcPr>
          <w:p w14:paraId="70094791" w14:textId="77777777" w:rsidR="00725995" w:rsidRPr="00725995" w:rsidRDefault="00725995" w:rsidP="00725995">
            <w:pPr>
              <w:pStyle w:val="TableCell"/>
              <w:spacing w:before="0" w:after="0" w:line="240" w:lineRule="auto"/>
              <w:jc w:val="left"/>
              <w:rPr>
                <w:sz w:val="20"/>
                <w:szCs w:val="20"/>
              </w:rPr>
            </w:pPr>
            <w:r w:rsidRPr="00725995">
              <w:rPr>
                <w:rFonts w:cs="Arial"/>
                <w:sz w:val="20"/>
                <w:szCs w:val="20"/>
              </w:rPr>
              <w:t>11 Regions (</w:t>
            </w:r>
            <w:r w:rsidRPr="00725995">
              <w:rPr>
                <w:rFonts w:cs="Arial"/>
                <w:i/>
                <w:iCs/>
                <w:sz w:val="20"/>
                <w:szCs w:val="20"/>
              </w:rPr>
              <w:t>fylker</w:t>
            </w:r>
            <w:r w:rsidRPr="00725995">
              <w:rPr>
                <w:rFonts w:cs="Arial"/>
                <w:sz w:val="20"/>
                <w:szCs w:val="20"/>
              </w:rPr>
              <w:t>)</w:t>
            </w:r>
          </w:p>
        </w:tc>
      </w:tr>
      <w:tr w:rsidR="00725995" w:rsidRPr="00725995" w14:paraId="3B36962B" w14:textId="77777777" w:rsidTr="00725995">
        <w:trPr>
          <w:trHeight w:val="238"/>
        </w:trPr>
        <w:tc>
          <w:tcPr>
            <w:tcW w:w="1671" w:type="pct"/>
          </w:tcPr>
          <w:p w14:paraId="65307C1C" w14:textId="77777777" w:rsidR="00725995" w:rsidRPr="00725995" w:rsidRDefault="00725995" w:rsidP="00725995">
            <w:pPr>
              <w:pStyle w:val="TableRow"/>
              <w:spacing w:before="0" w:after="0" w:line="240" w:lineRule="auto"/>
              <w:jc w:val="right"/>
              <w:rPr>
                <w:sz w:val="20"/>
              </w:rPr>
            </w:pPr>
            <w:r w:rsidRPr="00725995">
              <w:rPr>
                <w:sz w:val="20"/>
              </w:rPr>
              <w:t xml:space="preserve">Intermediate-level governments </w:t>
            </w:r>
            <w:r w:rsidRPr="00725995">
              <w:rPr>
                <w:i/>
                <w:iCs/>
                <w:sz w:val="20"/>
              </w:rPr>
              <w:t>(number)</w:t>
            </w:r>
          </w:p>
        </w:tc>
        <w:tc>
          <w:tcPr>
            <w:tcW w:w="3329" w:type="pct"/>
          </w:tcPr>
          <w:p w14:paraId="10161BD6" w14:textId="77777777" w:rsidR="00725995" w:rsidRPr="00725995" w:rsidRDefault="00725995" w:rsidP="00725995">
            <w:pPr>
              <w:pStyle w:val="TableCell"/>
              <w:spacing w:before="0" w:after="0" w:line="240" w:lineRule="auto"/>
              <w:jc w:val="left"/>
              <w:rPr>
                <w:sz w:val="20"/>
                <w:szCs w:val="20"/>
              </w:rPr>
            </w:pPr>
          </w:p>
        </w:tc>
      </w:tr>
      <w:tr w:rsidR="00725995" w:rsidRPr="00725995" w14:paraId="41F205F7" w14:textId="77777777" w:rsidTr="00725995">
        <w:trPr>
          <w:trHeight w:val="238"/>
        </w:trPr>
        <w:tc>
          <w:tcPr>
            <w:tcW w:w="1671" w:type="pct"/>
          </w:tcPr>
          <w:p w14:paraId="382BB6A7" w14:textId="77777777" w:rsidR="00725995" w:rsidRPr="00725995" w:rsidRDefault="00725995" w:rsidP="00725995">
            <w:pPr>
              <w:pStyle w:val="TableRow"/>
              <w:spacing w:before="0" w:after="0" w:line="240" w:lineRule="auto"/>
              <w:jc w:val="right"/>
              <w:rPr>
                <w:sz w:val="20"/>
              </w:rPr>
            </w:pPr>
            <w:r w:rsidRPr="00725995">
              <w:rPr>
                <w:sz w:val="20"/>
              </w:rPr>
              <w:t xml:space="preserve">Municipal-level governments </w:t>
            </w:r>
            <w:r w:rsidRPr="00725995">
              <w:rPr>
                <w:i/>
                <w:iCs/>
                <w:sz w:val="20"/>
              </w:rPr>
              <w:t>(number)</w:t>
            </w:r>
          </w:p>
        </w:tc>
        <w:tc>
          <w:tcPr>
            <w:tcW w:w="3329" w:type="pct"/>
          </w:tcPr>
          <w:p w14:paraId="000B0601" w14:textId="77777777" w:rsidR="00725995" w:rsidRPr="00725995" w:rsidRDefault="00725995" w:rsidP="00725995">
            <w:pPr>
              <w:pStyle w:val="TableCell"/>
              <w:spacing w:before="0" w:after="0" w:line="240" w:lineRule="auto"/>
              <w:jc w:val="left"/>
              <w:rPr>
                <w:sz w:val="20"/>
                <w:szCs w:val="20"/>
              </w:rPr>
            </w:pPr>
            <w:r w:rsidRPr="00725995">
              <w:rPr>
                <w:rFonts w:cs="Arial"/>
                <w:sz w:val="20"/>
                <w:szCs w:val="20"/>
              </w:rPr>
              <w:t>356 Municipalities (</w:t>
            </w:r>
            <w:r w:rsidRPr="00725995">
              <w:rPr>
                <w:rFonts w:cs="Arial"/>
                <w:i/>
                <w:iCs/>
                <w:sz w:val="20"/>
                <w:szCs w:val="20"/>
              </w:rPr>
              <w:t>kommuner</w:t>
            </w:r>
            <w:r w:rsidRPr="00725995">
              <w:rPr>
                <w:rFonts w:cs="Arial"/>
                <w:sz w:val="20"/>
                <w:szCs w:val="20"/>
              </w:rPr>
              <w:t>)</w:t>
            </w:r>
          </w:p>
        </w:tc>
      </w:tr>
      <w:tr w:rsidR="00725995" w:rsidRPr="00725995" w14:paraId="617835AF" w14:textId="77777777" w:rsidTr="00725995">
        <w:trPr>
          <w:trHeight w:val="238"/>
        </w:trPr>
        <w:tc>
          <w:tcPr>
            <w:tcW w:w="1671" w:type="pct"/>
          </w:tcPr>
          <w:p w14:paraId="7CDBB802" w14:textId="77777777" w:rsidR="00725995" w:rsidRPr="00725995" w:rsidRDefault="00725995" w:rsidP="00725995">
            <w:pPr>
              <w:pStyle w:val="TableRow"/>
              <w:spacing w:before="0" w:after="0" w:line="240" w:lineRule="auto"/>
              <w:jc w:val="left"/>
              <w:rPr>
                <w:sz w:val="20"/>
              </w:rPr>
            </w:pPr>
            <w:r w:rsidRPr="00725995">
              <w:rPr>
                <w:sz w:val="20"/>
              </w:rPr>
              <w:t>Share of subnational government in total expenditure/revenues (2021)</w:t>
            </w:r>
          </w:p>
        </w:tc>
        <w:tc>
          <w:tcPr>
            <w:tcW w:w="3329" w:type="pct"/>
          </w:tcPr>
          <w:p w14:paraId="142F260E" w14:textId="77777777" w:rsidR="00725995" w:rsidRPr="00725995" w:rsidRDefault="00725995" w:rsidP="00725995">
            <w:pPr>
              <w:spacing w:after="0" w:line="240" w:lineRule="auto"/>
              <w:jc w:val="left"/>
              <w:rPr>
                <w:rFonts w:ascii="Arial Narrow" w:hAnsi="Arial Narrow"/>
              </w:rPr>
            </w:pPr>
            <w:r w:rsidRPr="00725995">
              <w:rPr>
                <w:rFonts w:ascii="Arial Narrow" w:hAnsi="Arial Narrow"/>
              </w:rPr>
              <w:t>33.0% of total expenditure</w:t>
            </w:r>
          </w:p>
          <w:p w14:paraId="6FD3AE57" w14:textId="77777777" w:rsidR="00725995" w:rsidRPr="00725995" w:rsidRDefault="00725995" w:rsidP="00725995">
            <w:pPr>
              <w:spacing w:after="0" w:line="240" w:lineRule="auto"/>
              <w:jc w:val="left"/>
              <w:rPr>
                <w:rFonts w:ascii="Arial Narrow" w:hAnsi="Arial Narrow"/>
              </w:rPr>
            </w:pPr>
            <w:r w:rsidRPr="00725995">
              <w:rPr>
                <w:rFonts w:ascii="Arial Narrow" w:hAnsi="Arial Narrow"/>
              </w:rPr>
              <w:t>27.7% of total revenues</w:t>
            </w:r>
          </w:p>
          <w:p w14:paraId="26D435D8" w14:textId="77777777" w:rsidR="00725995" w:rsidRPr="00725995" w:rsidRDefault="00725995" w:rsidP="00725995">
            <w:pPr>
              <w:spacing w:after="0" w:line="240" w:lineRule="auto"/>
              <w:jc w:val="left"/>
              <w:rPr>
                <w:rFonts w:ascii="Arial Narrow" w:hAnsi="Arial Narrow"/>
              </w:rPr>
            </w:pPr>
          </w:p>
          <w:p w14:paraId="36226B39" w14:textId="77777777" w:rsidR="00725995" w:rsidRPr="00725995" w:rsidRDefault="00725995" w:rsidP="00725995">
            <w:pPr>
              <w:pStyle w:val="TableCell"/>
              <w:spacing w:before="0" w:after="0" w:line="240" w:lineRule="auto"/>
              <w:jc w:val="left"/>
              <w:rPr>
                <w:color w:val="auto"/>
                <w:sz w:val="20"/>
                <w:szCs w:val="20"/>
              </w:rPr>
            </w:pPr>
            <w:r w:rsidRPr="00725995">
              <w:rPr>
                <w:sz w:val="20"/>
                <w:szCs w:val="20"/>
              </w:rPr>
              <w:t xml:space="preserve">[Source: </w:t>
            </w:r>
            <w:hyperlink r:id="rId10" w:history="1">
              <w:r w:rsidRPr="00725995">
                <w:rPr>
                  <w:rStyle w:val="Hyperlink"/>
                  <w:sz w:val="20"/>
                  <w:szCs w:val="20"/>
                </w:rPr>
                <w:t>Subnational governments in OECD countries: key data, 2023 edition</w:t>
              </w:r>
            </w:hyperlink>
            <w:r w:rsidRPr="00725995">
              <w:rPr>
                <w:sz w:val="20"/>
                <w:szCs w:val="20"/>
              </w:rPr>
              <w:t>]</w:t>
            </w:r>
          </w:p>
        </w:tc>
      </w:tr>
      <w:tr w:rsidR="00725995" w:rsidRPr="00725995" w14:paraId="0C89F7D4" w14:textId="77777777" w:rsidTr="00725995">
        <w:trPr>
          <w:trHeight w:val="238"/>
        </w:trPr>
        <w:tc>
          <w:tcPr>
            <w:tcW w:w="1671" w:type="pct"/>
          </w:tcPr>
          <w:p w14:paraId="5BB05B75" w14:textId="77777777" w:rsidR="00725995" w:rsidRPr="00725995" w:rsidRDefault="00725995" w:rsidP="00725995">
            <w:pPr>
              <w:pStyle w:val="TableRow"/>
              <w:spacing w:before="0" w:after="0" w:line="240" w:lineRule="auto"/>
              <w:jc w:val="left"/>
              <w:rPr>
                <w:sz w:val="20"/>
              </w:rPr>
            </w:pPr>
            <w:r w:rsidRPr="00725995">
              <w:rPr>
                <w:sz w:val="20"/>
              </w:rPr>
              <w:t>Key regional development challenges</w:t>
            </w:r>
          </w:p>
        </w:tc>
        <w:tc>
          <w:tcPr>
            <w:tcW w:w="3329" w:type="pct"/>
          </w:tcPr>
          <w:p w14:paraId="17B16C07" w14:textId="77777777" w:rsidR="00725995" w:rsidRPr="00725995" w:rsidRDefault="00725995" w:rsidP="00725995">
            <w:pPr>
              <w:pStyle w:val="TableCell"/>
              <w:spacing w:before="0" w:after="0" w:line="240" w:lineRule="auto"/>
              <w:jc w:val="left"/>
              <w:rPr>
                <w:sz w:val="20"/>
                <w:szCs w:val="20"/>
              </w:rPr>
            </w:pPr>
            <w:r w:rsidRPr="00725995">
              <w:rPr>
                <w:rFonts w:cs="Arial"/>
                <w:sz w:val="20"/>
                <w:szCs w:val="20"/>
              </w:rPr>
              <w:t>Norwegian regional issues are characterized by targeting areas with very low population density and limited accessibility to jobs and services. Regional disparities in income and unemployment are modest but labour and skills shortages and the age ratio in peripheral areas (‘distriktene’) have become pressing issues.</w:t>
            </w:r>
          </w:p>
        </w:tc>
      </w:tr>
      <w:tr w:rsidR="00725995" w:rsidRPr="00725995" w14:paraId="1D308458" w14:textId="77777777" w:rsidTr="00725995">
        <w:trPr>
          <w:trHeight w:val="238"/>
        </w:trPr>
        <w:tc>
          <w:tcPr>
            <w:tcW w:w="1671" w:type="pct"/>
          </w:tcPr>
          <w:p w14:paraId="23F524BC" w14:textId="77777777" w:rsidR="00725995" w:rsidRPr="00725995" w:rsidRDefault="00725995" w:rsidP="00725995">
            <w:pPr>
              <w:pStyle w:val="TableRow"/>
              <w:spacing w:before="0" w:after="0" w:line="240" w:lineRule="auto"/>
              <w:jc w:val="left"/>
              <w:rPr>
                <w:sz w:val="20"/>
              </w:rPr>
            </w:pPr>
            <w:r w:rsidRPr="00725995">
              <w:rPr>
                <w:sz w:val="20"/>
              </w:rPr>
              <w:t>Objectives of regional policy</w:t>
            </w:r>
          </w:p>
        </w:tc>
        <w:tc>
          <w:tcPr>
            <w:tcW w:w="3329" w:type="pct"/>
          </w:tcPr>
          <w:p w14:paraId="0E8EF3ED" w14:textId="77777777" w:rsidR="00725995" w:rsidRPr="00725995" w:rsidRDefault="00725995" w:rsidP="00725995">
            <w:pPr>
              <w:pStyle w:val="TableCell"/>
              <w:spacing w:before="0" w:after="0" w:line="240" w:lineRule="auto"/>
              <w:jc w:val="left"/>
              <w:rPr>
                <w:sz w:val="20"/>
                <w:szCs w:val="20"/>
              </w:rPr>
            </w:pPr>
            <w:r w:rsidRPr="00725995">
              <w:rPr>
                <w:rFonts w:cs="Arial"/>
                <w:sz w:val="20"/>
                <w:szCs w:val="20"/>
              </w:rPr>
              <w:t>The goal of regional and rural (‘distrikt’) policy is ‘that people can live a good life throughout Norway, all local communities have room for development and economic growth, and increase in the population in rural municipalities. Ensure that people have access to work, housing and good services nearby. Facilitate safe, sustainable and vibrant local communities throughout the country through decentralized solutions.</w:t>
            </w:r>
          </w:p>
        </w:tc>
      </w:tr>
      <w:tr w:rsidR="00725995" w:rsidRPr="00725995" w14:paraId="001FAC17" w14:textId="77777777" w:rsidTr="00725995">
        <w:trPr>
          <w:trHeight w:val="238"/>
        </w:trPr>
        <w:tc>
          <w:tcPr>
            <w:tcW w:w="1671" w:type="pct"/>
          </w:tcPr>
          <w:p w14:paraId="6951F51D" w14:textId="77777777" w:rsidR="00725995" w:rsidRPr="00725995" w:rsidRDefault="00725995" w:rsidP="00725995">
            <w:pPr>
              <w:pStyle w:val="TableRow"/>
              <w:spacing w:before="0" w:after="0" w:line="240" w:lineRule="auto"/>
              <w:jc w:val="left"/>
              <w:rPr>
                <w:sz w:val="20"/>
              </w:rPr>
            </w:pPr>
            <w:r w:rsidRPr="00725995">
              <w:rPr>
                <w:sz w:val="20"/>
              </w:rPr>
              <w:t>Legal/institutional framework for regional policy</w:t>
            </w:r>
          </w:p>
        </w:tc>
        <w:tc>
          <w:tcPr>
            <w:tcW w:w="3329" w:type="pct"/>
          </w:tcPr>
          <w:p w14:paraId="08354EE0" w14:textId="77777777" w:rsidR="00725995" w:rsidRPr="00725995" w:rsidRDefault="00725995" w:rsidP="00725995">
            <w:pPr>
              <w:pStyle w:val="TableCell"/>
              <w:spacing w:before="0" w:after="0" w:line="240" w:lineRule="auto"/>
              <w:jc w:val="left"/>
              <w:rPr>
                <w:sz w:val="20"/>
                <w:szCs w:val="20"/>
              </w:rPr>
            </w:pPr>
            <w:r w:rsidRPr="00725995">
              <w:rPr>
                <w:sz w:val="20"/>
                <w:szCs w:val="20"/>
              </w:rPr>
              <w:t>At the national level, the regional policy lead is the Department for Regional Development. Regional Policy Department has a coordinating role, working to ensure the priorities and measures of all sectors support regional development.</w:t>
            </w:r>
          </w:p>
        </w:tc>
      </w:tr>
      <w:tr w:rsidR="00725995" w:rsidRPr="00725995" w14:paraId="15DD11FE" w14:textId="77777777" w:rsidTr="00725995">
        <w:trPr>
          <w:trHeight w:val="238"/>
        </w:trPr>
        <w:tc>
          <w:tcPr>
            <w:tcW w:w="1671" w:type="pct"/>
          </w:tcPr>
          <w:p w14:paraId="5A19911F" w14:textId="77777777" w:rsidR="00725995" w:rsidRPr="00725995" w:rsidRDefault="00725995" w:rsidP="00725995">
            <w:pPr>
              <w:pStyle w:val="TableRow"/>
              <w:spacing w:before="0" w:after="0" w:line="240" w:lineRule="auto"/>
              <w:rPr>
                <w:sz w:val="20"/>
              </w:rPr>
            </w:pPr>
            <w:r w:rsidRPr="00725995">
              <w:rPr>
                <w:sz w:val="20"/>
              </w:rPr>
              <w:t>Budget allocated to regional development (i.e., amount) and fiscal equalisation mechanisms between jurisdictions (if any)</w:t>
            </w:r>
          </w:p>
        </w:tc>
        <w:tc>
          <w:tcPr>
            <w:tcW w:w="3329" w:type="pct"/>
          </w:tcPr>
          <w:p w14:paraId="21E136E5" w14:textId="77777777" w:rsidR="00725995" w:rsidRPr="00725995" w:rsidRDefault="00725995" w:rsidP="00725995">
            <w:pPr>
              <w:pStyle w:val="TableCell"/>
              <w:spacing w:before="0" w:after="0" w:line="240" w:lineRule="auto"/>
              <w:jc w:val="left"/>
              <w:rPr>
                <w:rFonts w:cs="Arial"/>
                <w:sz w:val="20"/>
                <w:szCs w:val="20"/>
              </w:rPr>
            </w:pPr>
            <w:r w:rsidRPr="00725995">
              <w:rPr>
                <w:rFonts w:cs="Arial"/>
                <w:sz w:val="20"/>
                <w:szCs w:val="20"/>
              </w:rPr>
              <w:t>Budget allocation to rural (‘distrikt’) and regional policy comprises:</w:t>
            </w:r>
          </w:p>
          <w:p w14:paraId="5803AEE1" w14:textId="77777777" w:rsidR="00725995" w:rsidRPr="00725995" w:rsidRDefault="00725995" w:rsidP="00725995">
            <w:pPr>
              <w:pStyle w:val="TableCell"/>
              <w:spacing w:before="0" w:after="0" w:line="240" w:lineRule="auto"/>
              <w:jc w:val="left"/>
              <w:rPr>
                <w:rFonts w:cs="Arial"/>
                <w:sz w:val="20"/>
                <w:szCs w:val="20"/>
              </w:rPr>
            </w:pPr>
            <w:r w:rsidRPr="00725995">
              <w:rPr>
                <w:rFonts w:cs="Arial"/>
                <w:sz w:val="20"/>
                <w:szCs w:val="20"/>
              </w:rPr>
              <w:t>- ‘narrow’ or targeted policies financed from the KDD with a budget in 2023 of NOK 1.3 billion</w:t>
            </w:r>
          </w:p>
          <w:p w14:paraId="2058D6B7" w14:textId="77777777" w:rsidR="00725995" w:rsidRPr="00725995" w:rsidRDefault="00725995" w:rsidP="00725995">
            <w:pPr>
              <w:pStyle w:val="TableCell"/>
              <w:spacing w:before="0" w:after="0" w:line="240" w:lineRule="auto"/>
              <w:jc w:val="left"/>
              <w:rPr>
                <w:rFonts w:cs="Arial"/>
                <w:sz w:val="20"/>
                <w:szCs w:val="20"/>
              </w:rPr>
            </w:pPr>
            <w:r w:rsidRPr="00725995">
              <w:rPr>
                <w:rFonts w:cs="Arial"/>
                <w:sz w:val="20"/>
                <w:szCs w:val="20"/>
              </w:rPr>
              <w:t>- ‘broad’ measures financed from other budget lines, including other ministries (c. NOK 57 billion in 2023)</w:t>
            </w:r>
          </w:p>
          <w:p w14:paraId="0B31F051" w14:textId="77777777" w:rsidR="00725995" w:rsidRPr="00725995" w:rsidRDefault="00725995" w:rsidP="00725995">
            <w:pPr>
              <w:pStyle w:val="TableCell"/>
              <w:spacing w:before="0" w:after="0" w:line="240" w:lineRule="auto"/>
              <w:jc w:val="left"/>
              <w:rPr>
                <w:sz w:val="20"/>
                <w:szCs w:val="20"/>
              </w:rPr>
            </w:pPr>
            <w:r w:rsidRPr="00725995">
              <w:rPr>
                <w:sz w:val="20"/>
                <w:szCs w:val="20"/>
              </w:rPr>
              <w:t>In addition, there are large income equalization mechanisms between regions and municipalities</w:t>
            </w:r>
          </w:p>
        </w:tc>
      </w:tr>
      <w:tr w:rsidR="00725995" w:rsidRPr="00725995" w14:paraId="5D66341F" w14:textId="77777777" w:rsidTr="00725995">
        <w:trPr>
          <w:trHeight w:val="238"/>
        </w:trPr>
        <w:tc>
          <w:tcPr>
            <w:tcW w:w="1671" w:type="pct"/>
          </w:tcPr>
          <w:p w14:paraId="5D080A73" w14:textId="77777777" w:rsidR="00725995" w:rsidRPr="00725995" w:rsidRDefault="00725995" w:rsidP="00725995">
            <w:pPr>
              <w:pStyle w:val="TableRow"/>
              <w:spacing w:before="0" w:after="0" w:line="240" w:lineRule="auto"/>
              <w:rPr>
                <w:sz w:val="20"/>
              </w:rPr>
            </w:pPr>
            <w:r w:rsidRPr="00725995">
              <w:rPr>
                <w:sz w:val="20"/>
              </w:rPr>
              <w:t>National regional development policy framework</w:t>
            </w:r>
          </w:p>
        </w:tc>
        <w:tc>
          <w:tcPr>
            <w:tcW w:w="3329" w:type="pct"/>
          </w:tcPr>
          <w:p w14:paraId="1885BB11" w14:textId="77777777" w:rsidR="00725995" w:rsidRPr="00725995" w:rsidRDefault="00725995" w:rsidP="00725995">
            <w:pPr>
              <w:pStyle w:val="TableCell"/>
              <w:spacing w:before="0" w:after="0" w:line="240" w:lineRule="auto"/>
              <w:jc w:val="left"/>
              <w:rPr>
                <w:sz w:val="20"/>
                <w:szCs w:val="20"/>
              </w:rPr>
            </w:pPr>
            <w:r w:rsidRPr="00725995">
              <w:rPr>
                <w:sz w:val="20"/>
                <w:szCs w:val="20"/>
              </w:rPr>
              <w:t>The 2023 White Paper -– Meld. St. 27 (2022-23) ‘A good life throughout Norway - district policy for the future”</w:t>
            </w:r>
          </w:p>
        </w:tc>
      </w:tr>
      <w:tr w:rsidR="00725995" w:rsidRPr="00725995" w14:paraId="36067BAA" w14:textId="77777777" w:rsidTr="00725995">
        <w:trPr>
          <w:trHeight w:val="238"/>
        </w:trPr>
        <w:tc>
          <w:tcPr>
            <w:tcW w:w="1671" w:type="pct"/>
          </w:tcPr>
          <w:p w14:paraId="34EA64E6" w14:textId="77777777" w:rsidR="00725995" w:rsidRPr="00725995" w:rsidRDefault="00725995" w:rsidP="00725995">
            <w:pPr>
              <w:pStyle w:val="TableRow"/>
              <w:spacing w:before="0" w:after="0" w:line="240" w:lineRule="auto"/>
              <w:jc w:val="left"/>
              <w:rPr>
                <w:sz w:val="20"/>
              </w:rPr>
            </w:pPr>
            <w:r w:rsidRPr="00725995">
              <w:rPr>
                <w:sz w:val="20"/>
              </w:rPr>
              <w:t>Urban policy framework</w:t>
            </w:r>
          </w:p>
        </w:tc>
        <w:tc>
          <w:tcPr>
            <w:tcW w:w="3329" w:type="pct"/>
          </w:tcPr>
          <w:p w14:paraId="1F2DAB04" w14:textId="77777777" w:rsidR="00725995" w:rsidRPr="00725995" w:rsidRDefault="00725995" w:rsidP="00725995">
            <w:pPr>
              <w:pStyle w:val="TableCell"/>
              <w:spacing w:before="0" w:after="0" w:line="240" w:lineRule="auto"/>
              <w:jc w:val="left"/>
              <w:rPr>
                <w:sz w:val="20"/>
                <w:szCs w:val="20"/>
              </w:rPr>
            </w:pPr>
            <w:r w:rsidRPr="00725995">
              <w:rPr>
                <w:sz w:val="20"/>
                <w:szCs w:val="20"/>
              </w:rPr>
              <w:t>The 2017 White Paper ‘Urban sustainability and rural strength’ and the 2023 White Paper Meld. St. 28 (2022–2023) Good urban communities with small inequalities</w:t>
            </w:r>
          </w:p>
        </w:tc>
      </w:tr>
      <w:tr w:rsidR="00725995" w:rsidRPr="00725995" w14:paraId="3A6311D5" w14:textId="77777777" w:rsidTr="00725995">
        <w:trPr>
          <w:trHeight w:val="238"/>
        </w:trPr>
        <w:tc>
          <w:tcPr>
            <w:tcW w:w="1671" w:type="pct"/>
          </w:tcPr>
          <w:p w14:paraId="31C2FFFA" w14:textId="77777777" w:rsidR="00725995" w:rsidRPr="00725995" w:rsidRDefault="00725995" w:rsidP="00725995">
            <w:pPr>
              <w:pStyle w:val="TableRow"/>
              <w:spacing w:before="0" w:after="0" w:line="240" w:lineRule="auto"/>
              <w:jc w:val="left"/>
              <w:rPr>
                <w:sz w:val="20"/>
              </w:rPr>
            </w:pPr>
            <w:r w:rsidRPr="00725995">
              <w:rPr>
                <w:sz w:val="20"/>
              </w:rPr>
              <w:t>Rural policy framework</w:t>
            </w:r>
          </w:p>
        </w:tc>
        <w:tc>
          <w:tcPr>
            <w:tcW w:w="3329" w:type="pct"/>
          </w:tcPr>
          <w:p w14:paraId="20E2DDC8" w14:textId="77777777" w:rsidR="00725995" w:rsidRPr="00725995" w:rsidRDefault="00725995" w:rsidP="00725995">
            <w:pPr>
              <w:pStyle w:val="TableCell"/>
              <w:spacing w:before="0" w:after="0" w:line="240" w:lineRule="auto"/>
              <w:jc w:val="left"/>
              <w:rPr>
                <w:sz w:val="20"/>
                <w:szCs w:val="20"/>
              </w:rPr>
            </w:pPr>
            <w:r w:rsidRPr="00725995">
              <w:rPr>
                <w:sz w:val="20"/>
                <w:szCs w:val="20"/>
              </w:rPr>
              <w:t>The 2023 White Paper – Meld. St. 27 (2022-23) ‘A good life throughout Norway - district policy for the future</w:t>
            </w:r>
          </w:p>
        </w:tc>
      </w:tr>
      <w:tr w:rsidR="00725995" w:rsidRPr="00725995" w14:paraId="3C74BC94" w14:textId="77777777" w:rsidTr="00725995">
        <w:trPr>
          <w:trHeight w:val="238"/>
        </w:trPr>
        <w:tc>
          <w:tcPr>
            <w:tcW w:w="1671" w:type="pct"/>
          </w:tcPr>
          <w:p w14:paraId="05AFD97F" w14:textId="77777777" w:rsidR="00725995" w:rsidRPr="00725995" w:rsidRDefault="00725995" w:rsidP="00725995">
            <w:pPr>
              <w:pStyle w:val="TableRow"/>
              <w:spacing w:before="0" w:after="0" w:line="240" w:lineRule="auto"/>
              <w:jc w:val="left"/>
              <w:rPr>
                <w:sz w:val="20"/>
              </w:rPr>
            </w:pPr>
            <w:r w:rsidRPr="00725995">
              <w:rPr>
                <w:sz w:val="20"/>
              </w:rPr>
              <w:t>Major regional policy tools (e.g., funds, plans, policy initiatives, institutional agreements, etc.)</w:t>
            </w:r>
          </w:p>
        </w:tc>
        <w:tc>
          <w:tcPr>
            <w:tcW w:w="3329" w:type="pct"/>
          </w:tcPr>
          <w:p w14:paraId="46378AB1" w14:textId="77777777" w:rsidR="00725995" w:rsidRPr="00725995" w:rsidRDefault="00725995" w:rsidP="00725995">
            <w:pPr>
              <w:pStyle w:val="TableCell"/>
              <w:spacing w:before="0" w:after="0" w:line="240" w:lineRule="auto"/>
              <w:jc w:val="left"/>
              <w:rPr>
                <w:sz w:val="20"/>
                <w:szCs w:val="20"/>
              </w:rPr>
            </w:pPr>
            <w:r w:rsidRPr="00725995">
              <w:rPr>
                <w:sz w:val="20"/>
                <w:szCs w:val="20"/>
              </w:rPr>
              <w:t xml:space="preserve">Funding for </w:t>
            </w:r>
            <w:r w:rsidRPr="00725995">
              <w:rPr>
                <w:b/>
                <w:bCs/>
                <w:sz w:val="20"/>
                <w:szCs w:val="20"/>
              </w:rPr>
              <w:t>‘</w:t>
            </w:r>
            <w:r w:rsidRPr="00725995">
              <w:rPr>
                <w:sz w:val="20"/>
                <w:szCs w:val="20"/>
              </w:rPr>
              <w:t xml:space="preserve">narrow’ regional policy (NOK 1.3 billion) to (i) Growing businesses, value creation and attractive labour markets in regions and districts; (ii) Regional development across national borders and in the High North; and (iii) Capacity building and basic services in the </w:t>
            </w:r>
            <w:r w:rsidRPr="00725995">
              <w:rPr>
                <w:rFonts w:cs="Arial"/>
                <w:sz w:val="20"/>
                <w:szCs w:val="20"/>
              </w:rPr>
              <w:t>peripheral areas (‘distriktene’).</w:t>
            </w:r>
          </w:p>
          <w:p w14:paraId="5BD092EC" w14:textId="77777777" w:rsidR="00725995" w:rsidRPr="00725995" w:rsidRDefault="00725995" w:rsidP="00725995">
            <w:pPr>
              <w:pStyle w:val="TableCell"/>
              <w:spacing w:before="0" w:after="0" w:line="240" w:lineRule="auto"/>
              <w:jc w:val="left"/>
              <w:rPr>
                <w:sz w:val="20"/>
                <w:szCs w:val="20"/>
              </w:rPr>
            </w:pPr>
            <w:r w:rsidRPr="00725995">
              <w:rPr>
                <w:sz w:val="20"/>
                <w:szCs w:val="20"/>
              </w:rPr>
              <w:t>Funding for ‘broad’ regional policy spend, amount to some NOK 57 billion comprises of</w:t>
            </w:r>
          </w:p>
          <w:p w14:paraId="6BA153C7" w14:textId="77777777" w:rsidR="00725995" w:rsidRPr="00725995" w:rsidRDefault="00725995" w:rsidP="00725995">
            <w:pPr>
              <w:pStyle w:val="TableCell"/>
              <w:spacing w:before="0" w:after="0" w:line="240" w:lineRule="auto"/>
              <w:jc w:val="left"/>
              <w:rPr>
                <w:sz w:val="20"/>
                <w:szCs w:val="20"/>
              </w:rPr>
            </w:pPr>
            <w:r w:rsidRPr="00725995">
              <w:rPr>
                <w:sz w:val="20"/>
                <w:szCs w:val="20"/>
              </w:rPr>
              <w:t xml:space="preserve">A. Measures and arrangements that are based on rural (‘distrikt’) policy goals or that favour </w:t>
            </w:r>
            <w:r w:rsidRPr="00725995">
              <w:rPr>
                <w:rFonts w:cs="Arial"/>
                <w:sz w:val="20"/>
                <w:szCs w:val="20"/>
              </w:rPr>
              <w:t xml:space="preserve">peripheral areas (‘distriktene’) </w:t>
            </w:r>
            <w:r w:rsidRPr="00725995">
              <w:rPr>
                <w:sz w:val="20"/>
                <w:szCs w:val="20"/>
              </w:rPr>
              <w:t>beyond simple compensation to achieve equal opportunities</w:t>
            </w:r>
          </w:p>
          <w:p w14:paraId="2717F6A6" w14:textId="77777777" w:rsidR="00725995" w:rsidRPr="00725995" w:rsidRDefault="00725995" w:rsidP="00725995">
            <w:pPr>
              <w:pStyle w:val="TableCell"/>
              <w:spacing w:before="0" w:after="0" w:line="240" w:lineRule="auto"/>
              <w:ind w:left="179"/>
              <w:jc w:val="left"/>
              <w:rPr>
                <w:sz w:val="20"/>
                <w:szCs w:val="20"/>
              </w:rPr>
            </w:pPr>
            <w:r w:rsidRPr="00725995">
              <w:rPr>
                <w:sz w:val="20"/>
                <w:szCs w:val="20"/>
              </w:rPr>
              <w:t>- the regionally-differentiated social security concession</w:t>
            </w:r>
          </w:p>
          <w:p w14:paraId="5D5E13CC" w14:textId="77777777" w:rsidR="00725995" w:rsidRPr="00725995" w:rsidRDefault="00725995" w:rsidP="00725995">
            <w:pPr>
              <w:pStyle w:val="TableCell"/>
              <w:spacing w:before="0" w:after="0" w:line="240" w:lineRule="auto"/>
              <w:ind w:left="179"/>
              <w:jc w:val="left"/>
              <w:rPr>
                <w:sz w:val="20"/>
                <w:szCs w:val="20"/>
              </w:rPr>
            </w:pPr>
            <w:r w:rsidRPr="00725995">
              <w:rPr>
                <w:sz w:val="20"/>
                <w:szCs w:val="20"/>
              </w:rPr>
              <w:t>- a package of (mainly tax) measures for the northern Troms and Finnmark ‘Action Zone’</w:t>
            </w:r>
          </w:p>
          <w:p w14:paraId="7D2A5C9C" w14:textId="77777777" w:rsidR="00725995" w:rsidRPr="00725995" w:rsidRDefault="00725995" w:rsidP="00725995">
            <w:pPr>
              <w:pStyle w:val="TableCell"/>
              <w:spacing w:before="0" w:after="0" w:line="240" w:lineRule="auto"/>
              <w:ind w:left="179"/>
              <w:jc w:val="both"/>
              <w:rPr>
                <w:sz w:val="20"/>
                <w:szCs w:val="20"/>
              </w:rPr>
            </w:pPr>
            <w:r w:rsidRPr="00725995">
              <w:rPr>
                <w:sz w:val="20"/>
                <w:szCs w:val="20"/>
              </w:rPr>
              <w:lastRenderedPageBreak/>
              <w:t xml:space="preserve">- special measures for northern Norway (including a VAT exemption on energy from renewables) and grants for municipalities in southern Norway? </w:t>
            </w:r>
          </w:p>
          <w:p w14:paraId="5D2FD544" w14:textId="77777777" w:rsidR="00725995" w:rsidRPr="00725995" w:rsidRDefault="00725995" w:rsidP="00725995">
            <w:pPr>
              <w:pStyle w:val="TableCell"/>
              <w:spacing w:before="0" w:after="0" w:line="240" w:lineRule="auto"/>
              <w:jc w:val="left"/>
              <w:rPr>
                <w:sz w:val="20"/>
                <w:szCs w:val="20"/>
              </w:rPr>
            </w:pPr>
            <w:r w:rsidRPr="00725995">
              <w:rPr>
                <w:sz w:val="20"/>
                <w:szCs w:val="20"/>
              </w:rPr>
              <w:t>B. Measures which aim to equalise or compensate between geographical areas and that are important for economic growth, employment or housing in rural areas. Category B comprises a range of sectoral measures including subsidies for land development, infrastructure, agriculture, cultural heritage and museums.</w:t>
            </w:r>
          </w:p>
          <w:p w14:paraId="0F1570A4" w14:textId="77777777" w:rsidR="00725995" w:rsidRPr="00725995" w:rsidRDefault="00725995" w:rsidP="00725995">
            <w:pPr>
              <w:pStyle w:val="TableCell"/>
              <w:spacing w:before="0" w:after="0" w:line="240" w:lineRule="auto"/>
              <w:jc w:val="left"/>
              <w:rPr>
                <w:sz w:val="20"/>
                <w:szCs w:val="20"/>
              </w:rPr>
            </w:pPr>
            <w:r w:rsidRPr="00725995">
              <w:rPr>
                <w:sz w:val="20"/>
                <w:szCs w:val="20"/>
              </w:rPr>
              <w:t>Area-based urban initiatives: The Government has cooperation agreements with Urban municipalities with major challenges in living conditions in parts of the Citiies.</w:t>
            </w:r>
          </w:p>
          <w:p w14:paraId="448EFC60" w14:textId="77777777" w:rsidR="00725995" w:rsidRPr="00725995" w:rsidRDefault="00725995" w:rsidP="00725995">
            <w:pPr>
              <w:pStyle w:val="TableCell"/>
              <w:spacing w:before="0" w:after="0" w:line="240" w:lineRule="auto"/>
              <w:jc w:val="left"/>
              <w:rPr>
                <w:sz w:val="20"/>
                <w:szCs w:val="20"/>
              </w:rPr>
            </w:pPr>
            <w:r w:rsidRPr="00725995">
              <w:rPr>
                <w:sz w:val="20"/>
                <w:szCs w:val="20"/>
              </w:rPr>
              <w:t>Policy guidelines on location of public sector jobs and public services (state)</w:t>
            </w:r>
          </w:p>
        </w:tc>
      </w:tr>
      <w:tr w:rsidR="00725995" w:rsidRPr="00725995" w14:paraId="61058352" w14:textId="77777777" w:rsidTr="00725995">
        <w:trPr>
          <w:trHeight w:val="238"/>
        </w:trPr>
        <w:tc>
          <w:tcPr>
            <w:tcW w:w="1671" w:type="pct"/>
          </w:tcPr>
          <w:p w14:paraId="65733B1A" w14:textId="77777777" w:rsidR="00725995" w:rsidRPr="00725995" w:rsidRDefault="00725995" w:rsidP="00725995">
            <w:pPr>
              <w:pStyle w:val="TableRow"/>
              <w:spacing w:before="0" w:after="0" w:line="240" w:lineRule="auto"/>
              <w:jc w:val="left"/>
              <w:rPr>
                <w:sz w:val="20"/>
              </w:rPr>
            </w:pPr>
            <w:r w:rsidRPr="00725995">
              <w:rPr>
                <w:sz w:val="20"/>
              </w:rPr>
              <w:lastRenderedPageBreak/>
              <w:t xml:space="preserve">Policy co-ordination tools at national level </w:t>
            </w:r>
          </w:p>
        </w:tc>
        <w:tc>
          <w:tcPr>
            <w:tcW w:w="3329" w:type="pct"/>
          </w:tcPr>
          <w:p w14:paraId="10AF3D46" w14:textId="77777777" w:rsidR="00725995" w:rsidRPr="00725995" w:rsidRDefault="00725995" w:rsidP="00725995">
            <w:pPr>
              <w:pStyle w:val="TableCell"/>
              <w:spacing w:before="0" w:after="0" w:line="240" w:lineRule="auto"/>
              <w:jc w:val="left"/>
              <w:rPr>
                <w:rFonts w:cs="Arial"/>
                <w:sz w:val="20"/>
                <w:szCs w:val="20"/>
              </w:rPr>
            </w:pPr>
            <w:r w:rsidRPr="00725995">
              <w:rPr>
                <w:rFonts w:cs="Arial"/>
                <w:sz w:val="20"/>
                <w:szCs w:val="20"/>
              </w:rPr>
              <w:t>Ministry of Local Government and Regional Development (KDD) Coordination between KDD and other ministries</w:t>
            </w:r>
          </w:p>
          <w:p w14:paraId="2DCE5E54" w14:textId="77777777" w:rsidR="00725995" w:rsidRPr="00725995" w:rsidRDefault="00725995" w:rsidP="00725995">
            <w:pPr>
              <w:pStyle w:val="TableCell"/>
              <w:spacing w:before="0" w:after="0" w:line="240" w:lineRule="auto"/>
              <w:jc w:val="left"/>
              <w:rPr>
                <w:sz w:val="20"/>
                <w:szCs w:val="20"/>
              </w:rPr>
            </w:pPr>
            <w:r w:rsidRPr="00725995">
              <w:rPr>
                <w:sz w:val="20"/>
                <w:szCs w:val="20"/>
              </w:rPr>
              <w:t>State Secretary committee on high north policy</w:t>
            </w:r>
          </w:p>
        </w:tc>
      </w:tr>
      <w:tr w:rsidR="00725995" w:rsidRPr="00725995" w14:paraId="584035D9" w14:textId="77777777" w:rsidTr="00725995">
        <w:trPr>
          <w:trHeight w:val="238"/>
        </w:trPr>
        <w:tc>
          <w:tcPr>
            <w:tcW w:w="1671" w:type="pct"/>
          </w:tcPr>
          <w:p w14:paraId="2B8BD395" w14:textId="77777777" w:rsidR="00725995" w:rsidRPr="00725995" w:rsidRDefault="00725995" w:rsidP="00725995">
            <w:pPr>
              <w:pStyle w:val="TableRow"/>
              <w:spacing w:before="0" w:after="0" w:line="240" w:lineRule="auto"/>
              <w:jc w:val="left"/>
              <w:rPr>
                <w:sz w:val="20"/>
              </w:rPr>
            </w:pPr>
            <w:r w:rsidRPr="00725995">
              <w:rPr>
                <w:sz w:val="20"/>
              </w:rPr>
              <w:t>Multi-level governance mechanisms between national and subnational levels (e.g., institutional agreements, Committees, etc.)</w:t>
            </w:r>
          </w:p>
        </w:tc>
        <w:tc>
          <w:tcPr>
            <w:tcW w:w="3329" w:type="pct"/>
          </w:tcPr>
          <w:p w14:paraId="2E40B919" w14:textId="77777777" w:rsidR="00725995" w:rsidRPr="00725995" w:rsidRDefault="00725995" w:rsidP="00725995">
            <w:pPr>
              <w:pStyle w:val="TableCell"/>
              <w:spacing w:before="0" w:after="0" w:line="240" w:lineRule="auto"/>
              <w:jc w:val="left"/>
              <w:rPr>
                <w:sz w:val="20"/>
                <w:szCs w:val="20"/>
              </w:rPr>
            </w:pPr>
            <w:r w:rsidRPr="00725995">
              <w:rPr>
                <w:sz w:val="20"/>
                <w:szCs w:val="20"/>
              </w:rPr>
              <w:t>National expectations regarding regional and municipal planning 2023–2027</w:t>
            </w:r>
          </w:p>
          <w:p w14:paraId="0409AFE1" w14:textId="77777777" w:rsidR="00725995" w:rsidRPr="00725995" w:rsidRDefault="00725995" w:rsidP="00725995">
            <w:pPr>
              <w:pStyle w:val="TableCell"/>
              <w:spacing w:before="0" w:after="0" w:line="240" w:lineRule="auto"/>
              <w:jc w:val="left"/>
              <w:rPr>
                <w:sz w:val="20"/>
                <w:szCs w:val="20"/>
              </w:rPr>
            </w:pPr>
            <w:r w:rsidRPr="00725995">
              <w:rPr>
                <w:sz w:val="20"/>
                <w:szCs w:val="20"/>
              </w:rPr>
              <w:t>A High North Regional Forum between National and regional governments and Sami parliament</w:t>
            </w:r>
          </w:p>
          <w:p w14:paraId="02ACFC45" w14:textId="77777777" w:rsidR="00725995" w:rsidRPr="00725995" w:rsidRDefault="00725995" w:rsidP="00725995">
            <w:pPr>
              <w:pStyle w:val="TableCell"/>
              <w:spacing w:before="0" w:after="0" w:line="240" w:lineRule="auto"/>
              <w:jc w:val="left"/>
              <w:rPr>
                <w:sz w:val="20"/>
                <w:szCs w:val="20"/>
              </w:rPr>
            </w:pPr>
            <w:r w:rsidRPr="00725995">
              <w:rPr>
                <w:sz w:val="20"/>
                <w:szCs w:val="20"/>
              </w:rPr>
              <w:t>City growth agreements (‘</w:t>
            </w:r>
            <w:r w:rsidRPr="00725995">
              <w:rPr>
                <w:i/>
                <w:iCs/>
                <w:sz w:val="20"/>
                <w:szCs w:val="20"/>
              </w:rPr>
              <w:t>byvekstavtaler"’</w:t>
            </w:r>
            <w:r w:rsidRPr="00725995">
              <w:rPr>
                <w:sz w:val="20"/>
                <w:szCs w:val="20"/>
              </w:rPr>
              <w:t>, on urban growth, land-use, transport and funding)</w:t>
            </w:r>
          </w:p>
          <w:p w14:paraId="41569904" w14:textId="77777777" w:rsidR="00725995" w:rsidRPr="00725995" w:rsidRDefault="00725995" w:rsidP="00725995">
            <w:pPr>
              <w:pStyle w:val="TableCell"/>
              <w:spacing w:before="0" w:after="0" w:line="240" w:lineRule="auto"/>
              <w:jc w:val="left"/>
              <w:rPr>
                <w:sz w:val="20"/>
                <w:szCs w:val="20"/>
              </w:rPr>
            </w:pPr>
            <w:r w:rsidRPr="00725995">
              <w:rPr>
                <w:sz w:val="20"/>
                <w:szCs w:val="20"/>
              </w:rPr>
              <w:t>Regional growth agreements (‘</w:t>
            </w:r>
            <w:r w:rsidRPr="00725995">
              <w:rPr>
                <w:i/>
                <w:iCs/>
                <w:sz w:val="20"/>
                <w:szCs w:val="20"/>
              </w:rPr>
              <w:t>regionvekstavtaler’</w:t>
            </w:r>
            <w:r w:rsidRPr="00725995">
              <w:rPr>
                <w:sz w:val="20"/>
                <w:szCs w:val="20"/>
              </w:rPr>
              <w:t>, under development)</w:t>
            </w:r>
          </w:p>
          <w:p w14:paraId="3238FFE7" w14:textId="77777777" w:rsidR="00725995" w:rsidRPr="00725995" w:rsidRDefault="00725995" w:rsidP="00725995">
            <w:pPr>
              <w:pStyle w:val="TableCell"/>
              <w:spacing w:before="0" w:after="0" w:line="240" w:lineRule="auto"/>
              <w:jc w:val="left"/>
              <w:rPr>
                <w:sz w:val="20"/>
                <w:szCs w:val="20"/>
              </w:rPr>
            </w:pPr>
            <w:r w:rsidRPr="00725995">
              <w:rPr>
                <w:sz w:val="20"/>
                <w:szCs w:val="20"/>
              </w:rPr>
              <w:t>Rural growth agreements (‘</w:t>
            </w:r>
            <w:r w:rsidRPr="00725995">
              <w:rPr>
                <w:i/>
                <w:iCs/>
                <w:sz w:val="20"/>
                <w:szCs w:val="20"/>
              </w:rPr>
              <w:t xml:space="preserve">bygdevekstavtaler’, </w:t>
            </w:r>
            <w:r w:rsidRPr="00725995">
              <w:rPr>
                <w:sz w:val="20"/>
                <w:szCs w:val="20"/>
              </w:rPr>
              <w:t>under development)</w:t>
            </w:r>
          </w:p>
          <w:p w14:paraId="4FBE1C68" w14:textId="77777777" w:rsidR="00725995" w:rsidRPr="00725995" w:rsidRDefault="00725995" w:rsidP="00725995">
            <w:pPr>
              <w:pStyle w:val="TableCell"/>
              <w:spacing w:before="0" w:after="0" w:line="240" w:lineRule="auto"/>
              <w:jc w:val="left"/>
              <w:rPr>
                <w:sz w:val="20"/>
                <w:szCs w:val="20"/>
              </w:rPr>
            </w:pPr>
            <w:r w:rsidRPr="00725995">
              <w:rPr>
                <w:sz w:val="20"/>
                <w:szCs w:val="20"/>
              </w:rPr>
              <w:t>Central government planning guidelines for coordinated land-use and transport planning (2014), new version on the way</w:t>
            </w:r>
          </w:p>
          <w:p w14:paraId="4B54934E" w14:textId="77777777" w:rsidR="00725995" w:rsidRPr="00725995" w:rsidRDefault="00725995" w:rsidP="00725995">
            <w:pPr>
              <w:pStyle w:val="TableCell"/>
              <w:spacing w:before="0" w:after="0" w:line="240" w:lineRule="auto"/>
              <w:jc w:val="left"/>
              <w:rPr>
                <w:sz w:val="20"/>
                <w:szCs w:val="20"/>
              </w:rPr>
            </w:pPr>
            <w:r w:rsidRPr="00725995">
              <w:rPr>
                <w:sz w:val="20"/>
                <w:szCs w:val="20"/>
              </w:rPr>
              <w:t>Central government planning guidelines for climate and energy planning and adaption (2018)</w:t>
            </w:r>
          </w:p>
          <w:p w14:paraId="06A3E2CB" w14:textId="77777777" w:rsidR="00725995" w:rsidRPr="00725995" w:rsidRDefault="00725995" w:rsidP="00725995">
            <w:pPr>
              <w:pStyle w:val="TableCell"/>
              <w:spacing w:before="0" w:after="0" w:line="240" w:lineRule="auto"/>
              <w:jc w:val="left"/>
              <w:rPr>
                <w:sz w:val="20"/>
                <w:szCs w:val="20"/>
              </w:rPr>
            </w:pPr>
            <w:r w:rsidRPr="00725995">
              <w:rPr>
                <w:sz w:val="20"/>
                <w:szCs w:val="20"/>
              </w:rPr>
              <w:t>Central government planning guidelines for differentiated management for the beach zone (2021)</w:t>
            </w:r>
          </w:p>
        </w:tc>
      </w:tr>
      <w:tr w:rsidR="00725995" w:rsidRPr="00725995" w14:paraId="5E9DE7EE" w14:textId="77777777" w:rsidTr="00725995">
        <w:trPr>
          <w:trHeight w:val="238"/>
        </w:trPr>
        <w:tc>
          <w:tcPr>
            <w:tcW w:w="1671" w:type="pct"/>
          </w:tcPr>
          <w:p w14:paraId="325EB733" w14:textId="77777777" w:rsidR="00725995" w:rsidRPr="00725995" w:rsidRDefault="00725995" w:rsidP="00725995">
            <w:pPr>
              <w:pStyle w:val="TableRow"/>
              <w:spacing w:before="0" w:after="0" w:line="240" w:lineRule="auto"/>
              <w:jc w:val="left"/>
              <w:rPr>
                <w:sz w:val="20"/>
              </w:rPr>
            </w:pPr>
            <w:r w:rsidRPr="00725995">
              <w:rPr>
                <w:sz w:val="20"/>
              </w:rPr>
              <w:t xml:space="preserve">Policy co-ordination tools at regional level </w:t>
            </w:r>
          </w:p>
        </w:tc>
        <w:tc>
          <w:tcPr>
            <w:tcW w:w="3329" w:type="pct"/>
          </w:tcPr>
          <w:p w14:paraId="76A6F28B" w14:textId="77777777" w:rsidR="00725995" w:rsidRPr="00725995" w:rsidRDefault="00725995" w:rsidP="00725995">
            <w:pPr>
              <w:pStyle w:val="TableCell"/>
              <w:spacing w:before="0" w:after="0" w:line="240" w:lineRule="auto"/>
              <w:jc w:val="left"/>
              <w:rPr>
                <w:rFonts w:cs="Arial"/>
                <w:sz w:val="20"/>
                <w:szCs w:val="20"/>
              </w:rPr>
            </w:pPr>
            <w:r w:rsidRPr="00725995">
              <w:rPr>
                <w:rFonts w:cs="Arial"/>
                <w:sz w:val="20"/>
                <w:szCs w:val="20"/>
              </w:rPr>
              <w:t>Regional plans</w:t>
            </w:r>
          </w:p>
          <w:p w14:paraId="7DB3C896" w14:textId="77777777" w:rsidR="00725995" w:rsidRPr="00725995" w:rsidRDefault="00725995" w:rsidP="00725995">
            <w:pPr>
              <w:pStyle w:val="TableCell"/>
              <w:spacing w:before="0" w:after="0" w:line="240" w:lineRule="auto"/>
              <w:jc w:val="left"/>
              <w:rPr>
                <w:rFonts w:cs="Arial"/>
                <w:sz w:val="20"/>
                <w:szCs w:val="20"/>
              </w:rPr>
            </w:pPr>
            <w:r w:rsidRPr="00725995">
              <w:rPr>
                <w:rFonts w:cs="Arial"/>
                <w:sz w:val="20"/>
                <w:szCs w:val="20"/>
              </w:rPr>
              <w:t xml:space="preserve">Regional partnerships </w:t>
            </w:r>
          </w:p>
          <w:p w14:paraId="752319B3" w14:textId="77777777" w:rsidR="00725995" w:rsidRPr="00725995" w:rsidRDefault="00725995" w:rsidP="00725995">
            <w:pPr>
              <w:pStyle w:val="TableCell"/>
              <w:spacing w:before="0" w:after="0" w:line="240" w:lineRule="auto"/>
              <w:jc w:val="left"/>
              <w:rPr>
                <w:sz w:val="20"/>
                <w:szCs w:val="20"/>
              </w:rPr>
            </w:pPr>
            <w:r w:rsidRPr="00725995">
              <w:rPr>
                <w:rFonts w:cs="Arial"/>
                <w:sz w:val="20"/>
                <w:szCs w:val="20"/>
              </w:rPr>
              <w:t>Regional forums for planning</w:t>
            </w:r>
          </w:p>
        </w:tc>
      </w:tr>
      <w:tr w:rsidR="00725995" w:rsidRPr="00725995" w14:paraId="00C5E728" w14:textId="77777777" w:rsidTr="00725995">
        <w:trPr>
          <w:trHeight w:val="238"/>
        </w:trPr>
        <w:tc>
          <w:tcPr>
            <w:tcW w:w="1671" w:type="pct"/>
          </w:tcPr>
          <w:p w14:paraId="6AD771B2" w14:textId="77777777" w:rsidR="00725995" w:rsidRPr="00725995" w:rsidRDefault="00725995" w:rsidP="00725995">
            <w:pPr>
              <w:pStyle w:val="TableRow"/>
              <w:spacing w:before="0" w:after="0" w:line="240" w:lineRule="auto"/>
              <w:jc w:val="left"/>
              <w:rPr>
                <w:sz w:val="20"/>
              </w:rPr>
            </w:pPr>
            <w:r w:rsidRPr="00725995">
              <w:rPr>
                <w:sz w:val="20"/>
              </w:rPr>
              <w:t>Evaluation and monitoring tools</w:t>
            </w:r>
          </w:p>
        </w:tc>
        <w:tc>
          <w:tcPr>
            <w:tcW w:w="3329" w:type="pct"/>
          </w:tcPr>
          <w:p w14:paraId="6631AA81" w14:textId="77777777" w:rsidR="00725995" w:rsidRPr="00725995" w:rsidRDefault="00725995" w:rsidP="00725995">
            <w:pPr>
              <w:pStyle w:val="TableCell"/>
              <w:spacing w:before="0" w:after="0" w:line="240" w:lineRule="auto"/>
              <w:jc w:val="left"/>
              <w:rPr>
                <w:rFonts w:cs="Arial"/>
                <w:sz w:val="20"/>
                <w:szCs w:val="20"/>
              </w:rPr>
            </w:pPr>
            <w:r w:rsidRPr="00725995">
              <w:rPr>
                <w:rFonts w:cs="Arial"/>
                <w:sz w:val="20"/>
                <w:szCs w:val="20"/>
              </w:rPr>
              <w:t>Instrument specific evaluation at national and regional level</w:t>
            </w:r>
          </w:p>
          <w:p w14:paraId="1A6705FC" w14:textId="77777777" w:rsidR="00725995" w:rsidRPr="00725995" w:rsidRDefault="00725995" w:rsidP="00725995">
            <w:pPr>
              <w:pStyle w:val="TableCell"/>
              <w:spacing w:before="0" w:after="0" w:line="240" w:lineRule="auto"/>
              <w:jc w:val="left"/>
              <w:rPr>
                <w:sz w:val="20"/>
                <w:szCs w:val="20"/>
              </w:rPr>
            </w:pPr>
            <w:r w:rsidRPr="00725995">
              <w:rPr>
                <w:sz w:val="20"/>
                <w:szCs w:val="20"/>
              </w:rPr>
              <w:t>Biannual monitoring of regional development (</w:t>
            </w:r>
            <w:hyperlink r:id="rId11">
              <w:r w:rsidRPr="00725995">
                <w:rPr>
                  <w:rStyle w:val="Hyperlink"/>
                  <w:sz w:val="20"/>
                  <w:szCs w:val="20"/>
                </w:rPr>
                <w:t>Regionale utviklingstrekk 2021 - regjeringen.no</w:t>
              </w:r>
            </w:hyperlink>
            <w:r w:rsidRPr="00725995">
              <w:rPr>
                <w:sz w:val="20"/>
                <w:szCs w:val="20"/>
              </w:rPr>
              <w:t>), new version on the way.</w:t>
            </w:r>
          </w:p>
          <w:p w14:paraId="7D5D5655" w14:textId="77777777" w:rsidR="00725995" w:rsidRPr="00725995" w:rsidRDefault="00725995" w:rsidP="00725995">
            <w:pPr>
              <w:pStyle w:val="TableCell"/>
              <w:spacing w:before="0" w:after="0" w:line="240" w:lineRule="auto"/>
              <w:jc w:val="left"/>
              <w:rPr>
                <w:sz w:val="20"/>
                <w:szCs w:val="20"/>
              </w:rPr>
            </w:pPr>
          </w:p>
        </w:tc>
      </w:tr>
      <w:tr w:rsidR="00725995" w:rsidRPr="00725995" w14:paraId="2AC36F0D" w14:textId="77777777" w:rsidTr="00725995">
        <w:trPr>
          <w:trHeight w:val="238"/>
        </w:trPr>
        <w:tc>
          <w:tcPr>
            <w:tcW w:w="1671" w:type="pct"/>
          </w:tcPr>
          <w:p w14:paraId="434188C7" w14:textId="77777777" w:rsidR="00725995" w:rsidRPr="00725995" w:rsidRDefault="00725995" w:rsidP="00725995">
            <w:pPr>
              <w:pStyle w:val="TableRow"/>
              <w:spacing w:before="0" w:after="0" w:line="240" w:lineRule="auto"/>
              <w:jc w:val="left"/>
              <w:rPr>
                <w:sz w:val="20"/>
              </w:rPr>
            </w:pPr>
            <w:r w:rsidRPr="00725995">
              <w:rPr>
                <w:sz w:val="20"/>
              </w:rPr>
              <w:t>Future orientations of regional policy</w:t>
            </w:r>
          </w:p>
        </w:tc>
        <w:tc>
          <w:tcPr>
            <w:tcW w:w="3329" w:type="pct"/>
          </w:tcPr>
          <w:p w14:paraId="44290A51" w14:textId="77777777" w:rsidR="00725995" w:rsidRPr="00725995" w:rsidRDefault="00725995" w:rsidP="00725995">
            <w:pPr>
              <w:pStyle w:val="TableRow"/>
              <w:spacing w:before="0" w:after="0" w:line="240" w:lineRule="auto"/>
              <w:jc w:val="left"/>
              <w:rPr>
                <w:rFonts w:cs="Arial"/>
                <w:sz w:val="20"/>
              </w:rPr>
            </w:pPr>
            <w:r w:rsidRPr="00725995">
              <w:rPr>
                <w:rFonts w:cs="Arial"/>
                <w:sz w:val="20"/>
              </w:rPr>
              <w:t>The 2023 White Paper Meld. St. 28 (2022–2023) Good urban communities with small inequalities (see below)</w:t>
            </w:r>
          </w:p>
          <w:p w14:paraId="757DAA6D" w14:textId="77777777" w:rsidR="00725995" w:rsidRPr="00725995" w:rsidRDefault="00725995" w:rsidP="00725995">
            <w:pPr>
              <w:pStyle w:val="TableRow"/>
              <w:spacing w:before="0" w:after="0" w:line="240" w:lineRule="auto"/>
              <w:jc w:val="left"/>
              <w:rPr>
                <w:rFonts w:cs="Arial"/>
                <w:sz w:val="20"/>
              </w:rPr>
            </w:pPr>
            <w:r w:rsidRPr="00725995">
              <w:rPr>
                <w:rFonts w:cs="Arial"/>
                <w:sz w:val="20"/>
              </w:rPr>
              <w:t xml:space="preserve">A new white paper on living conditions in cities and city regions is </w:t>
            </w:r>
            <w:r w:rsidRPr="00725995">
              <w:rPr>
                <w:sz w:val="20"/>
              </w:rPr>
              <w:t>expected</w:t>
            </w:r>
            <w:r w:rsidRPr="00725995">
              <w:rPr>
                <w:rFonts w:cs="Arial"/>
                <w:sz w:val="20"/>
              </w:rPr>
              <w:t xml:space="preserve"> in 2023</w:t>
            </w:r>
          </w:p>
          <w:p w14:paraId="7100121A" w14:textId="77777777" w:rsidR="00725995" w:rsidRPr="00725995" w:rsidRDefault="00725995" w:rsidP="00725995">
            <w:pPr>
              <w:pStyle w:val="TableRow"/>
              <w:spacing w:before="0" w:after="0" w:line="240" w:lineRule="auto"/>
              <w:jc w:val="left"/>
              <w:rPr>
                <w:sz w:val="20"/>
              </w:rPr>
            </w:pPr>
            <w:r w:rsidRPr="00725995">
              <w:rPr>
                <w:sz w:val="20"/>
              </w:rPr>
              <w:t>A new White Paper on Housing is expected in 2024</w:t>
            </w:r>
          </w:p>
        </w:tc>
      </w:tr>
    </w:tbl>
    <w:p w14:paraId="38663CAF" w14:textId="32723336" w:rsidR="00B0261A" w:rsidRDefault="00B0261A" w:rsidP="00B0261A"/>
    <w:p w14:paraId="62236D71" w14:textId="042A6531" w:rsidR="00EF66F6" w:rsidRDefault="00EF66F6" w:rsidP="00B0261A"/>
    <w:p w14:paraId="66961841" w14:textId="77777777" w:rsidR="00FA40FC" w:rsidRDefault="00FA40FC">
      <w:pPr>
        <w:spacing w:line="259" w:lineRule="auto"/>
        <w:jc w:val="left"/>
        <w:rPr>
          <w:b/>
          <w:bCs/>
          <w:color w:val="4E81BD"/>
          <w:sz w:val="22"/>
          <w:szCs w:val="22"/>
        </w:rPr>
      </w:pPr>
      <w:r>
        <w:br w:type="page"/>
      </w:r>
    </w:p>
    <w:p w14:paraId="144C8B28" w14:textId="40610F55" w:rsidR="00130E6A" w:rsidRDefault="00130E6A" w:rsidP="00130E6A">
      <w:pPr>
        <w:pStyle w:val="Heading2"/>
      </w:pPr>
      <w:r>
        <w:lastRenderedPageBreak/>
        <w:t xml:space="preserve">Regional Inequality Trends </w:t>
      </w:r>
    </w:p>
    <w:p w14:paraId="0C05723E" w14:textId="77777777" w:rsidR="004D02DA" w:rsidRPr="004D02DA" w:rsidRDefault="004D02DA" w:rsidP="004D02DA">
      <w:pPr>
        <w:rPr>
          <w:lang w:val="en-US"/>
        </w:rPr>
      </w:pPr>
      <w:r w:rsidRPr="004D02DA">
        <w:rPr>
          <w:lang w:val="en-US"/>
        </w:rPr>
        <w:t>Norway experienced a decline in the Theil index of GDP per capita over 2000-2020. Inequality reached its maximum in 2000. The figures are normalized, with values in the year 2000 set to 1.</w:t>
      </w:r>
    </w:p>
    <w:p w14:paraId="65446115" w14:textId="39CF926E" w:rsidR="00130E6A" w:rsidRPr="00FA40FC" w:rsidRDefault="004D02DA" w:rsidP="004D02DA">
      <w:pPr>
        <w:rPr>
          <w:lang w:val="en-US"/>
        </w:rPr>
      </w:pPr>
      <w:r w:rsidRPr="004D02DA">
        <w:rPr>
          <w:lang w:val="en-US"/>
        </w:rPr>
        <w:t>The Top 20%/Mean ratio was 0.076 lower in 2020 compared to 2000, indicating decreased polarisation. The Bottom 20%/Mean ratio was 0.006 lower in the same period, indicating bottom divergence</w:t>
      </w:r>
      <w:r w:rsidR="00FA40FC" w:rsidRPr="00FA40FC">
        <w:rPr>
          <w:lang w:val="en-US"/>
        </w:rPr>
        <w:t>.</w:t>
      </w:r>
    </w:p>
    <w:p w14:paraId="2D663EB5" w14:textId="57992769" w:rsidR="00130E6A" w:rsidRPr="00130E6A" w:rsidRDefault="00130E6A" w:rsidP="00130E6A">
      <w:pPr>
        <w:jc w:val="left"/>
        <w:rPr>
          <w:b/>
          <w:bCs/>
          <w:color w:val="4E81BD"/>
        </w:rPr>
      </w:pPr>
      <w:r w:rsidRPr="00130E6A">
        <w:rPr>
          <w:b/>
          <w:bCs/>
          <w:color w:val="4E81BD"/>
        </w:rPr>
        <w:t>Figure 1. Trends in GDP per capita inequality indicators, TL</w:t>
      </w:r>
      <w:r w:rsidR="00D02557">
        <w:rPr>
          <w:b/>
          <w:bCs/>
          <w:color w:val="4E81BD"/>
        </w:rPr>
        <w:t>3</w:t>
      </w:r>
      <w:r w:rsidRPr="00130E6A">
        <w:rPr>
          <w:b/>
          <w:bCs/>
          <w:color w:val="4E81BD"/>
        </w:rPr>
        <w:t xml:space="preserve"> OECD regions</w:t>
      </w:r>
    </w:p>
    <w:p w14:paraId="48F9AF6B" w14:textId="2383A7B2" w:rsidR="00130E6A" w:rsidRDefault="004D02DA" w:rsidP="00130E6A">
      <w:pPr>
        <w:jc w:val="center"/>
      </w:pPr>
      <w:r>
        <w:rPr>
          <w:noProof/>
        </w:rPr>
        <w:drawing>
          <wp:inline distT="0" distB="0" distL="0" distR="0" wp14:anchorId="0CC526A4" wp14:editId="049A024F">
            <wp:extent cx="5731510" cy="30460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46095"/>
                    </a:xfrm>
                    <a:prstGeom prst="rect">
                      <a:avLst/>
                    </a:prstGeom>
                  </pic:spPr>
                </pic:pic>
              </a:graphicData>
            </a:graphic>
          </wp:inline>
        </w:drawing>
      </w:r>
    </w:p>
    <w:p w14:paraId="563AFBB3" w14:textId="34A2C757" w:rsidR="00130E6A" w:rsidRPr="00130E6A" w:rsidRDefault="00130E6A" w:rsidP="00130E6A">
      <w:pPr>
        <w:spacing w:after="0"/>
        <w:rPr>
          <w:sz w:val="16"/>
          <w:szCs w:val="16"/>
        </w:rPr>
      </w:pPr>
      <w:r w:rsidRPr="00130E6A">
        <w:rPr>
          <w:b/>
          <w:bCs/>
          <w:sz w:val="16"/>
          <w:szCs w:val="16"/>
        </w:rPr>
        <w:t>Note</w:t>
      </w:r>
      <w:r w:rsidRPr="00130E6A">
        <w:rPr>
          <w:sz w:val="16"/>
          <w:szCs w:val="16"/>
        </w:rPr>
        <w:t xml:space="preserve">: </w:t>
      </w:r>
      <w:r w:rsidR="00993AE2" w:rsidRPr="00993AE2">
        <w:rPr>
          <w:sz w:val="16"/>
          <w:szCs w:val="16"/>
        </w:rPr>
        <w:t>Top/bottom calculated as population equivalent (top/bottom regions with at least 20% of the population). The interpretation of top/bottom 20% GDP per capita is that 20% of the population in the country holds 20% of the value. Top 20%/Mean calculated as mean GDP per capita in top 20% regions over mean TL3 GDP per capita in a given year. Bottom 20%/Mean calculated as mean TL3 GDP per capita in bottom 20% regions over mean TL3 GDP per capita in a given year. To improve data consistency, input series are aggregated when TL3 regions are part of the same FUA. To improve time series, TL3 missing values have been estimated based on the evolution at higher geographic level.</w:t>
      </w:r>
    </w:p>
    <w:p w14:paraId="403CBC98" w14:textId="7BFC5D81" w:rsidR="00130E6A" w:rsidRDefault="00130E6A" w:rsidP="00130E6A">
      <w:pPr>
        <w:rPr>
          <w:sz w:val="16"/>
          <w:szCs w:val="16"/>
        </w:rPr>
      </w:pPr>
      <w:r w:rsidRPr="00130E6A">
        <w:rPr>
          <w:b/>
          <w:bCs/>
          <w:sz w:val="16"/>
          <w:szCs w:val="16"/>
        </w:rPr>
        <w:t>Source</w:t>
      </w:r>
      <w:r w:rsidRPr="00130E6A">
        <w:rPr>
          <w:sz w:val="16"/>
          <w:szCs w:val="16"/>
        </w:rPr>
        <w:t>: OECD Regional Database (2022).</w:t>
      </w:r>
    </w:p>
    <w:p w14:paraId="1D7DBE5B" w14:textId="77777777" w:rsidR="00EF66F6" w:rsidRDefault="00EF66F6">
      <w:pPr>
        <w:spacing w:line="259" w:lineRule="auto"/>
        <w:jc w:val="left"/>
      </w:pPr>
      <w:r>
        <w:br w:type="page"/>
      </w:r>
    </w:p>
    <w:p w14:paraId="57A1D181" w14:textId="77777777" w:rsidR="004D02DA" w:rsidRPr="004D02DA" w:rsidRDefault="004D02DA" w:rsidP="004D02DA">
      <w:pPr>
        <w:rPr>
          <w:lang w:val="en-US"/>
        </w:rPr>
      </w:pPr>
      <w:r w:rsidRPr="004D02DA">
        <w:rPr>
          <w:lang w:val="en-US"/>
        </w:rPr>
        <w:lastRenderedPageBreak/>
        <w:t>There is no data for the gap in GDP per capita between large metropolitan and non-large metropolitan regions for 2000 and 2020.</w:t>
      </w:r>
    </w:p>
    <w:p w14:paraId="7505EC05" w14:textId="77777777" w:rsidR="004D02DA" w:rsidRPr="004D02DA" w:rsidRDefault="004D02DA" w:rsidP="004D02DA">
      <w:pPr>
        <w:rPr>
          <w:lang w:val="en-US"/>
        </w:rPr>
      </w:pPr>
      <w:r w:rsidRPr="004D02DA">
        <w:rPr>
          <w:lang w:val="en-US"/>
        </w:rPr>
        <w:t>Meanwhile, in 2020, the gap in GDP per capita between metropolitan and non-metropolitan regions was 1.325. For reference, the same value for OECD was 1.325. This gap decreased by 0.151 percentage points since 2000.</w:t>
      </w:r>
    </w:p>
    <w:p w14:paraId="4DF87DC8" w14:textId="4CFEAE1E" w:rsidR="00130E6A" w:rsidRDefault="004D02DA" w:rsidP="004D02DA">
      <w:pPr>
        <w:rPr>
          <w:lang w:val="en-US"/>
        </w:rPr>
      </w:pPr>
      <w:r w:rsidRPr="004D02DA">
        <w:rPr>
          <w:lang w:val="en-US"/>
        </w:rPr>
        <w:t>In turn, the gap in GDP per capita between regions near and far a Functional Urban Area (FUA) of more than 250 thousand inhabitants was 1.325 in 2020 and decreased by 0.151 percentage points since 2000</w:t>
      </w:r>
      <w:r w:rsidR="00993AE2" w:rsidRPr="00993AE2">
        <w:rPr>
          <w:lang w:val="en-US"/>
        </w:rPr>
        <w:t>.</w:t>
      </w:r>
    </w:p>
    <w:p w14:paraId="5D185E54" w14:textId="075EF6BC" w:rsidR="00993AE2" w:rsidRPr="00EF66F6" w:rsidRDefault="00993AE2" w:rsidP="00993AE2">
      <w:pPr>
        <w:jc w:val="left"/>
        <w:rPr>
          <w:b/>
          <w:bCs/>
          <w:color w:val="4E81BD"/>
        </w:rPr>
      </w:pPr>
      <w:r w:rsidRPr="00EF66F6">
        <w:rPr>
          <w:b/>
          <w:bCs/>
          <w:color w:val="4E81BD"/>
        </w:rPr>
        <w:t xml:space="preserve">Figure 2. </w:t>
      </w:r>
      <w:r>
        <w:rPr>
          <w:b/>
          <w:bCs/>
          <w:color w:val="4E81BD"/>
        </w:rPr>
        <w:t xml:space="preserve">GDP per capita </w:t>
      </w:r>
      <w:r w:rsidR="00440A61">
        <w:rPr>
          <w:b/>
          <w:bCs/>
          <w:color w:val="4E81BD"/>
        </w:rPr>
        <w:t>gap by type of region compared to the OECD average</w:t>
      </w:r>
    </w:p>
    <w:p w14:paraId="0AE7B1A2" w14:textId="7CAD4D86" w:rsidR="00993AE2" w:rsidRDefault="00F53F5C" w:rsidP="00993AE2">
      <w:r>
        <w:rPr>
          <w:noProof/>
        </w:rPr>
        <w:drawing>
          <wp:inline distT="0" distB="0" distL="0" distR="0" wp14:anchorId="1F83FE73" wp14:editId="73D2C5F3">
            <wp:extent cx="5731510" cy="31984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98495"/>
                    </a:xfrm>
                    <a:prstGeom prst="rect">
                      <a:avLst/>
                    </a:prstGeom>
                  </pic:spPr>
                </pic:pic>
              </a:graphicData>
            </a:graphic>
          </wp:inline>
        </w:drawing>
      </w:r>
    </w:p>
    <w:p w14:paraId="2F5A33AB" w14:textId="77777777" w:rsidR="00440A61" w:rsidRDefault="00993AE2" w:rsidP="00440A61">
      <w:pPr>
        <w:spacing w:after="0"/>
        <w:rPr>
          <w:sz w:val="16"/>
          <w:szCs w:val="16"/>
        </w:rPr>
      </w:pPr>
      <w:r w:rsidRPr="00EF66F6">
        <w:rPr>
          <w:b/>
          <w:bCs/>
          <w:sz w:val="16"/>
          <w:szCs w:val="16"/>
        </w:rPr>
        <w:t>Note</w:t>
      </w:r>
      <w:r w:rsidRPr="00EF66F6">
        <w:rPr>
          <w:sz w:val="16"/>
          <w:szCs w:val="16"/>
        </w:rPr>
        <w:t xml:space="preserve">: </w:t>
      </w:r>
      <w:r w:rsidR="00440A61" w:rsidRPr="00440A61">
        <w:rPr>
          <w:sz w:val="16"/>
          <w:szCs w:val="16"/>
        </w:rPr>
        <w:t>Far from a FUA&gt;250K includes regions near/with a small FUA and remote regions. OECD mean gap based on 1 586 TL3 regions in 27 countries with available data (no TL3 data for Australia, Canada, Chile, Colombia, Costa Rica, Iceland, Ireland, Israel, Mexico, Luxembourg and Switzerland).</w:t>
      </w:r>
    </w:p>
    <w:p w14:paraId="20AE5987" w14:textId="708EBF9F" w:rsidR="00993AE2" w:rsidRDefault="00993AE2" w:rsidP="00440A61">
      <w:pPr>
        <w:spacing w:after="0"/>
        <w:rPr>
          <w:sz w:val="16"/>
          <w:szCs w:val="16"/>
        </w:rPr>
      </w:pPr>
      <w:r w:rsidRPr="00EF66F6">
        <w:rPr>
          <w:b/>
          <w:bCs/>
          <w:sz w:val="16"/>
          <w:szCs w:val="16"/>
        </w:rPr>
        <w:t>Source</w:t>
      </w:r>
      <w:r w:rsidRPr="00EF66F6">
        <w:rPr>
          <w:sz w:val="16"/>
          <w:szCs w:val="16"/>
        </w:rPr>
        <w:t>: OECD Regional Database (2022).</w:t>
      </w:r>
    </w:p>
    <w:p w14:paraId="23B56D66" w14:textId="02329529" w:rsidR="00993AE2" w:rsidRDefault="00993AE2" w:rsidP="00993AE2">
      <w:pPr>
        <w:rPr>
          <w:lang w:val="en-US"/>
        </w:rPr>
      </w:pPr>
    </w:p>
    <w:p w14:paraId="6990F4B9" w14:textId="79094B33" w:rsidR="00993AE2" w:rsidRDefault="00993AE2" w:rsidP="00993AE2">
      <w:pPr>
        <w:rPr>
          <w:lang w:val="en-US"/>
        </w:rPr>
      </w:pPr>
    </w:p>
    <w:p w14:paraId="6834B3A9" w14:textId="77777777" w:rsidR="00363D4B" w:rsidRDefault="00363D4B">
      <w:pPr>
        <w:spacing w:line="259" w:lineRule="auto"/>
        <w:jc w:val="left"/>
        <w:rPr>
          <w:lang w:val="en-US"/>
        </w:rPr>
      </w:pPr>
      <w:r>
        <w:rPr>
          <w:lang w:val="en-US"/>
        </w:rPr>
        <w:br w:type="page"/>
      </w:r>
    </w:p>
    <w:p w14:paraId="7496ED3E" w14:textId="52565215" w:rsidR="00993AE2" w:rsidRPr="00993AE2" w:rsidRDefault="008A67A3" w:rsidP="00993AE2">
      <w:pPr>
        <w:rPr>
          <w:lang w:val="en-US"/>
        </w:rPr>
      </w:pPr>
      <w:r w:rsidRPr="008A67A3">
        <w:rPr>
          <w:lang w:val="en-US"/>
        </w:rPr>
        <w:lastRenderedPageBreak/>
        <w:t>In Norway, the gap between the upper and the lower half of regions in terms of labour productivity decreased between 2008 and 2019. Over this period labour productivity in the upper half of regions grew roughly by 18%, 7 percentage points less than in the lower half of regions. During 2020, the gap widened again. Nevertheless, more years of data are necessary to determine the long-term impact of the COVID-19 pandemic on labour productivity gaps in regions</w:t>
      </w:r>
      <w:r w:rsidR="00363D4B">
        <w:rPr>
          <w:lang w:val="en-US"/>
        </w:rPr>
        <w:t>.</w:t>
      </w:r>
    </w:p>
    <w:p w14:paraId="775704A2" w14:textId="68402F7F" w:rsidR="00130E6A" w:rsidRPr="00EF66F6" w:rsidRDefault="00130E6A" w:rsidP="00EF66F6">
      <w:pPr>
        <w:jc w:val="left"/>
        <w:rPr>
          <w:b/>
          <w:bCs/>
          <w:color w:val="4E81BD"/>
        </w:rPr>
      </w:pPr>
      <w:r w:rsidRPr="00EF66F6">
        <w:rPr>
          <w:b/>
          <w:bCs/>
          <w:color w:val="4E81BD"/>
        </w:rPr>
        <w:t xml:space="preserve">Figure </w:t>
      </w:r>
      <w:r w:rsidR="00363D4B">
        <w:rPr>
          <w:b/>
          <w:bCs/>
          <w:color w:val="4E81BD"/>
        </w:rPr>
        <w:t>3</w:t>
      </w:r>
      <w:r w:rsidRPr="00EF66F6">
        <w:rPr>
          <w:b/>
          <w:bCs/>
          <w:color w:val="4E81BD"/>
        </w:rPr>
        <w:t xml:space="preserve">. </w:t>
      </w:r>
      <w:r w:rsidR="00EF66F6" w:rsidRPr="00EF66F6">
        <w:rPr>
          <w:b/>
          <w:bCs/>
          <w:color w:val="4E81BD"/>
        </w:rPr>
        <w:t>Evolution of labour productivity, TL</w:t>
      </w:r>
      <w:r w:rsidR="002F53E2">
        <w:rPr>
          <w:b/>
          <w:bCs/>
          <w:color w:val="4E81BD"/>
        </w:rPr>
        <w:t>3</w:t>
      </w:r>
      <w:r w:rsidR="00EF66F6" w:rsidRPr="00EF66F6">
        <w:rPr>
          <w:b/>
          <w:bCs/>
          <w:color w:val="4E81BD"/>
        </w:rPr>
        <w:t xml:space="preserve"> OECD regions</w:t>
      </w:r>
    </w:p>
    <w:p w14:paraId="5D2D7421" w14:textId="133507D4" w:rsidR="00130E6A" w:rsidRDefault="008A67A3" w:rsidP="00130E6A">
      <w:r>
        <w:rPr>
          <w:noProof/>
        </w:rPr>
        <w:drawing>
          <wp:inline distT="0" distB="0" distL="0" distR="0" wp14:anchorId="7479FF4B" wp14:editId="28461C1E">
            <wp:extent cx="5731510" cy="30854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85465"/>
                    </a:xfrm>
                    <a:prstGeom prst="rect">
                      <a:avLst/>
                    </a:prstGeom>
                  </pic:spPr>
                </pic:pic>
              </a:graphicData>
            </a:graphic>
          </wp:inline>
        </w:drawing>
      </w:r>
    </w:p>
    <w:p w14:paraId="605E66E9"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Labour productivity in each group is equal to the sum of Gross Value Added, expressed in USD at constant prices and PPP (base year 2015) within the group, divided by the sum of total employment in regions within the group. Regions are small (TL3) regions, except for Australia, Canada, Chile, Colombia, Ireland, Mexico, Norway, Switzerland, Türkiye and the United States where they are large (TL2) regions due to data availability.</w:t>
      </w:r>
    </w:p>
    <w:p w14:paraId="48AE86CE" w14:textId="18754FEC" w:rsidR="00EF66F6" w:rsidRDefault="00EF66F6" w:rsidP="00EF66F6">
      <w:pPr>
        <w:rPr>
          <w:sz w:val="16"/>
          <w:szCs w:val="16"/>
        </w:rPr>
      </w:pPr>
      <w:r w:rsidRPr="00EF66F6">
        <w:rPr>
          <w:b/>
          <w:bCs/>
          <w:sz w:val="16"/>
          <w:szCs w:val="16"/>
        </w:rPr>
        <w:t>Source</w:t>
      </w:r>
      <w:r w:rsidRPr="00EF66F6">
        <w:rPr>
          <w:sz w:val="16"/>
          <w:szCs w:val="16"/>
        </w:rPr>
        <w:t>: OECD Regional Database (2022).</w:t>
      </w:r>
    </w:p>
    <w:p w14:paraId="08F2D579" w14:textId="77777777" w:rsidR="00EF66F6" w:rsidRDefault="00EF66F6">
      <w:pPr>
        <w:spacing w:line="259" w:lineRule="auto"/>
        <w:jc w:val="left"/>
      </w:pPr>
      <w:r>
        <w:br w:type="page"/>
      </w:r>
    </w:p>
    <w:p w14:paraId="6787C1E3" w14:textId="17371112" w:rsidR="00EF66F6" w:rsidRDefault="008A67A3" w:rsidP="00EF66F6">
      <w:r w:rsidRPr="008A67A3">
        <w:lastRenderedPageBreak/>
        <w:t>Regions where the economic activity shifts towards tradable activities, such as industry and tradable services, tend to grow faster in terms of labour productivity. In Norway, between 2008 and 2020, the share of workers in the industrial sector went down in all regions but more so in regions that used to be in the upper half of the labour productivity distribution. Hence, the evolution of employment shares in the industrial sector reduced the labour productivity gap between regions. At the same time, the share of workers in the tradable services sector went up in all regions, approximately by the same amount</w:t>
      </w:r>
      <w:r w:rsidR="00F61089" w:rsidRPr="00F61089">
        <w:t>.</w:t>
      </w:r>
    </w:p>
    <w:p w14:paraId="40550EF5" w14:textId="7BD1DC50" w:rsidR="00EF66F6" w:rsidRPr="00EF66F6" w:rsidRDefault="00EF66F6" w:rsidP="00EF66F6">
      <w:pPr>
        <w:jc w:val="left"/>
        <w:rPr>
          <w:b/>
          <w:bCs/>
          <w:color w:val="4E81BD"/>
        </w:rPr>
      </w:pPr>
      <w:r w:rsidRPr="00EF66F6">
        <w:rPr>
          <w:b/>
          <w:bCs/>
          <w:color w:val="4E81BD"/>
        </w:rPr>
        <w:t xml:space="preserve">Figure </w:t>
      </w:r>
      <w:r w:rsidR="00F61089">
        <w:rPr>
          <w:b/>
          <w:bCs/>
          <w:color w:val="4E81BD"/>
        </w:rPr>
        <w:t>4</w:t>
      </w:r>
      <w:r w:rsidRPr="00EF66F6">
        <w:rPr>
          <w:b/>
          <w:bCs/>
          <w:color w:val="4E81BD"/>
        </w:rPr>
        <w:t>. Share of workers in most productive (tradable) sectors, TL</w:t>
      </w:r>
      <w:r w:rsidR="00EE7700">
        <w:rPr>
          <w:b/>
          <w:bCs/>
          <w:color w:val="4E81BD"/>
        </w:rPr>
        <w:t>3</w:t>
      </w:r>
      <w:r w:rsidRPr="00EF66F6">
        <w:rPr>
          <w:b/>
          <w:bCs/>
          <w:color w:val="4E81BD"/>
        </w:rPr>
        <w:t xml:space="preserve"> OE</w:t>
      </w:r>
      <w:r w:rsidR="00EE7700">
        <w:rPr>
          <w:b/>
          <w:bCs/>
          <w:color w:val="4E81BD"/>
        </w:rPr>
        <w:t>CD</w:t>
      </w:r>
      <w:r w:rsidRPr="00EF66F6">
        <w:rPr>
          <w:b/>
          <w:bCs/>
          <w:color w:val="4E81BD"/>
        </w:rPr>
        <w:t xml:space="preserve"> regions</w:t>
      </w:r>
    </w:p>
    <w:p w14:paraId="3707850B" w14:textId="0B486D46" w:rsidR="00EF66F6" w:rsidRDefault="002523AC" w:rsidP="00EF66F6">
      <w:r>
        <w:rPr>
          <w:noProof/>
        </w:rPr>
        <w:drawing>
          <wp:inline distT="0" distB="0" distL="0" distR="0" wp14:anchorId="7494BDB0" wp14:editId="2F7153DD">
            <wp:extent cx="5731510" cy="25336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33650"/>
                    </a:xfrm>
                    <a:prstGeom prst="rect">
                      <a:avLst/>
                    </a:prstGeom>
                  </pic:spPr>
                </pic:pic>
              </a:graphicData>
            </a:graphic>
          </wp:inline>
        </w:drawing>
      </w:r>
    </w:p>
    <w:p w14:paraId="66A7A82D"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The share of workers in a given sector for a group of regions is defined as the sum of employment in that sector within the group divided by the sum of total employment within the group. Regions are small (TL3) regions, except for Australia, Canada, Chile, Ireland, Mexico, Norway, Switzerland, Türkiye and the United States where they are large (TL2) regions due to data availability. Industry includes the following tradable goods sectors: Mining and quarrying (B), Manufacturing (C), Electricity, gas, steam and air conditioning supply (D) and Water supply; sewerage; waste management and remediation activities (E) NACE macro sectors. Tradable services include Information and communication (J), Financial and insurance activities (K), Real estate activities (L), Professional, scientific and technical activities (M), Administrative and support service activities (N).</w:t>
      </w:r>
    </w:p>
    <w:p w14:paraId="6902CC66" w14:textId="524B8582" w:rsidR="00EF66F6" w:rsidRDefault="00EF66F6" w:rsidP="00EF66F6">
      <w:pPr>
        <w:rPr>
          <w:sz w:val="16"/>
          <w:szCs w:val="16"/>
        </w:rPr>
      </w:pPr>
      <w:r w:rsidRPr="00EF66F6">
        <w:rPr>
          <w:b/>
          <w:bCs/>
          <w:sz w:val="16"/>
          <w:szCs w:val="16"/>
        </w:rPr>
        <w:t>Source</w:t>
      </w:r>
      <w:r w:rsidRPr="00EF66F6">
        <w:rPr>
          <w:sz w:val="16"/>
          <w:szCs w:val="16"/>
        </w:rPr>
        <w:t>: OECD Regional Database (2022).</w:t>
      </w:r>
    </w:p>
    <w:p w14:paraId="364DB042" w14:textId="77777777" w:rsidR="00EF66F6" w:rsidRPr="00EF66F6" w:rsidRDefault="00EF66F6" w:rsidP="00EF66F6">
      <w:pPr>
        <w:rPr>
          <w:sz w:val="16"/>
          <w:szCs w:val="16"/>
        </w:rPr>
      </w:pPr>
    </w:p>
    <w:p w14:paraId="10B019BE" w14:textId="30F3CEAD" w:rsidR="00130E6A" w:rsidRPr="00130E6A" w:rsidRDefault="00130E6A" w:rsidP="00130E6A">
      <w:pPr>
        <w:pStyle w:val="Heading2"/>
      </w:pPr>
      <w:r w:rsidRPr="00130E6A">
        <w:t>Recent policy developments</w:t>
      </w:r>
    </w:p>
    <w:p w14:paraId="18873E21" w14:textId="77777777" w:rsidR="000C6311" w:rsidRPr="000C6311" w:rsidRDefault="000C6311" w:rsidP="000C6311">
      <w:r w:rsidRPr="000C6311">
        <w:t>Regional policy was a high-profile issue in the 2021-elections and the formation of the new government. The Government presented the White Paper – Meld. St. 27 (2022-23) ‘A good life throughout Norway - district policy for the future in June 2023.</w:t>
      </w:r>
    </w:p>
    <w:p w14:paraId="17674026" w14:textId="77777777" w:rsidR="000C6311" w:rsidRPr="000C6311" w:rsidRDefault="000C6311" w:rsidP="000C6311">
      <w:r w:rsidRPr="000C6311">
        <w:t>The white paper on regional and rural (‘</w:t>
      </w:r>
      <w:r w:rsidRPr="000C6311">
        <w:rPr>
          <w:i/>
          <w:iCs/>
        </w:rPr>
        <w:t>distrikt’)</w:t>
      </w:r>
      <w:r w:rsidRPr="000C6311">
        <w:t> policy have the following themes and issues:</w:t>
      </w:r>
    </w:p>
    <w:p w14:paraId="6F14A235" w14:textId="77777777" w:rsidR="000C6311" w:rsidRPr="000C6311" w:rsidRDefault="000C6311" w:rsidP="000C6311">
      <w:pPr>
        <w:numPr>
          <w:ilvl w:val="0"/>
          <w:numId w:val="22"/>
        </w:numPr>
      </w:pPr>
      <w:r w:rsidRPr="000C6311">
        <w:t>goal on population growth in rural areas.</w:t>
      </w:r>
    </w:p>
    <w:p w14:paraId="059FB222" w14:textId="77777777" w:rsidR="000C6311" w:rsidRPr="000C6311" w:rsidRDefault="000C6311" w:rsidP="000C6311">
      <w:pPr>
        <w:numPr>
          <w:ilvl w:val="0"/>
          <w:numId w:val="22"/>
        </w:numPr>
      </w:pPr>
      <w:r w:rsidRPr="000C6311">
        <w:t>focus on small villages with the introduction of a pilot scheme for rural growth agreements.</w:t>
      </w:r>
    </w:p>
    <w:p w14:paraId="5A8184F6" w14:textId="77777777" w:rsidR="000C6311" w:rsidRPr="000C6311" w:rsidRDefault="000C6311" w:rsidP="000C6311">
      <w:pPr>
        <w:numPr>
          <w:ilvl w:val="0"/>
          <w:numId w:val="22"/>
        </w:numPr>
      </w:pPr>
      <w:r w:rsidRPr="000C6311">
        <w:t xml:space="preserve">evaluation and testing of measures (e.g., free kindergarten) to reverse population decline and stimulate population growth particularly in Finnmark and North Troms </w:t>
      </w:r>
      <w:bookmarkStart w:id="0" w:name="_Hlk144907832"/>
      <w:r w:rsidRPr="000C6311">
        <w:t>in the high north</w:t>
      </w:r>
      <w:bookmarkEnd w:id="0"/>
      <w:r w:rsidRPr="000C6311">
        <w:t>.</w:t>
      </w:r>
    </w:p>
    <w:p w14:paraId="35D6BD91" w14:textId="77777777" w:rsidR="000C6311" w:rsidRPr="000C6311" w:rsidRDefault="000C6311" w:rsidP="000C6311">
      <w:pPr>
        <w:numPr>
          <w:ilvl w:val="0"/>
          <w:numId w:val="22"/>
        </w:numPr>
      </w:pPr>
      <w:r w:rsidRPr="000C6311">
        <w:t xml:space="preserve">invest in broadband throughout the country and the possibility of decentralized work. </w:t>
      </w:r>
    </w:p>
    <w:p w14:paraId="0A33223F" w14:textId="77777777" w:rsidR="000C6311" w:rsidRPr="000C6311" w:rsidRDefault="000C6311" w:rsidP="000C6311">
      <w:pPr>
        <w:numPr>
          <w:ilvl w:val="0"/>
          <w:numId w:val="22"/>
        </w:numPr>
      </w:pPr>
      <w:r w:rsidRPr="000C6311">
        <w:t>Increased access to higher education in rural areas.</w:t>
      </w:r>
    </w:p>
    <w:p w14:paraId="66B571B3" w14:textId="77777777" w:rsidR="000C6311" w:rsidRPr="000C6311" w:rsidRDefault="000C6311" w:rsidP="000C6311">
      <w:pPr>
        <w:numPr>
          <w:ilvl w:val="0"/>
          <w:numId w:val="22"/>
        </w:numPr>
      </w:pPr>
      <w:r w:rsidRPr="000C6311">
        <w:t>The green shift provides new opportunities for industrial development and jobs in the rural areas.</w:t>
      </w:r>
    </w:p>
    <w:p w14:paraId="59D7BD50" w14:textId="77777777" w:rsidR="000C6311" w:rsidRPr="000C6311" w:rsidRDefault="000C6311" w:rsidP="000C6311">
      <w:pPr>
        <w:numPr>
          <w:ilvl w:val="0"/>
          <w:numId w:val="22"/>
        </w:numPr>
      </w:pPr>
      <w:r w:rsidRPr="000C6311">
        <w:lastRenderedPageBreak/>
        <w:t>Lower fares on ferries and air travels in rural areas.</w:t>
      </w:r>
    </w:p>
    <w:p w14:paraId="4486855F" w14:textId="77777777" w:rsidR="000C6311" w:rsidRPr="000C6311" w:rsidRDefault="000C6311" w:rsidP="000C6311">
      <w:r w:rsidRPr="000C6311">
        <w:t>A regional and municipal reform was enforced in 2020, with a number of mergers both at the local and regional level. A change in government in 2021 resulted in reversal of some of the mergers, especially at the regional level (from 11 to 15 counties), with effect from 1.1.2024.</w:t>
      </w:r>
    </w:p>
    <w:p w14:paraId="77B76925" w14:textId="77777777" w:rsidR="000C6311" w:rsidRPr="000C6311" w:rsidRDefault="000C6311" w:rsidP="000C6311">
      <w:r w:rsidRPr="000C6311">
        <w:t>Among the aims of the regional reform implemented in 2020 was the enhancement of the role of counties in strategic development.</w:t>
      </w:r>
    </w:p>
    <w:p w14:paraId="5249B643" w14:textId="77777777" w:rsidR="000C6311" w:rsidRPr="000C6311" w:rsidRDefault="000C6311" w:rsidP="000C6311">
      <w:r w:rsidRPr="000C6311">
        <w:rPr>
          <w:b/>
          <w:bCs/>
          <w:i/>
          <w:iCs/>
        </w:rPr>
        <w:t>Other budget increases</w:t>
      </w:r>
    </w:p>
    <w:p w14:paraId="70E21210" w14:textId="77777777" w:rsidR="000C6311" w:rsidRPr="000C6311" w:rsidRDefault="000C6311" w:rsidP="000C6311">
      <w:r w:rsidRPr="000C6311">
        <w:t>Increased access to housing in the districts by prioritizing loans through the Norwegian State Housing Bank to the least central municipalities for loans for rental housing and loans for housing quality.</w:t>
      </w:r>
    </w:p>
    <w:p w14:paraId="2BDBD4F8" w14:textId="77777777" w:rsidR="000C6311" w:rsidRPr="000C6311" w:rsidRDefault="000C6311" w:rsidP="000C6311">
      <w:r w:rsidRPr="000C6311">
        <w:t>Increased subsidies for agriculture as an important rural industry.</w:t>
      </w:r>
    </w:p>
    <w:p w14:paraId="2B85E9F7" w14:textId="77777777" w:rsidR="000C6311" w:rsidRPr="000C6311" w:rsidRDefault="000C6311" w:rsidP="000C6311">
      <w:r w:rsidRPr="000C6311">
        <w:t>Increases in the investment of broadband in rural areas. Collaboration with The Norwegian Association of Local and Regional Authorities (KS) on digitalisation policy and a common digitalisation strategy between KS and the government.</w:t>
      </w:r>
    </w:p>
    <w:p w14:paraId="4B6D613A" w14:textId="77777777" w:rsidR="000C6311" w:rsidRPr="000C6311" w:rsidRDefault="000C6311" w:rsidP="000C6311">
      <w:r w:rsidRPr="000C6311">
        <w:t>A new map for assisted areas in Norway (regional aid map) and Regionally Differentiated Social Security Concession (RDSSC) 2022-2027.</w:t>
      </w:r>
    </w:p>
    <w:p w14:paraId="4ED840AD" w14:textId="4EF263FF" w:rsidR="00130E6A" w:rsidRPr="00130E6A" w:rsidRDefault="000C6311" w:rsidP="00442B3C">
      <w:r w:rsidRPr="000C6311">
        <w:t>Changes in the policy guidelines on location of public sector jobs and public services (state), actively consider localization of state jobs to sparsely populated municipalities, including localization in northern Norway, and new and relocated state enterprises must now, as a general rule, be located outside the capital and other major cities</w:t>
      </w:r>
      <w:r w:rsidR="00442B3C">
        <w:t>.</w:t>
      </w:r>
    </w:p>
    <w:p w14:paraId="3499F09A" w14:textId="77777777" w:rsidR="00130E6A" w:rsidRPr="00130E6A" w:rsidRDefault="00130E6A" w:rsidP="00130E6A"/>
    <w:sectPr w:rsidR="00130E6A" w:rsidRPr="00130E6A">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CC4AB" w14:textId="77777777" w:rsidR="00A14CFB" w:rsidRDefault="00A14CFB" w:rsidP="00B0261A">
      <w:r>
        <w:separator/>
      </w:r>
    </w:p>
  </w:endnote>
  <w:endnote w:type="continuationSeparator" w:id="0">
    <w:p w14:paraId="013566E1" w14:textId="77777777" w:rsidR="00A14CFB" w:rsidRDefault="00A14CFB" w:rsidP="00B0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C4E3B" w14:textId="77777777" w:rsidR="00A14CFB" w:rsidRDefault="00A14CFB" w:rsidP="00B0261A">
      <w:r>
        <w:separator/>
      </w:r>
    </w:p>
  </w:footnote>
  <w:footnote w:type="continuationSeparator" w:id="0">
    <w:p w14:paraId="4BA622B1" w14:textId="77777777" w:rsidR="00A14CFB" w:rsidRDefault="00A14CFB" w:rsidP="00B02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3"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0"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C9E044A"/>
    <w:multiLevelType w:val="multilevel"/>
    <w:tmpl w:val="58C8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2765929">
    <w:abstractNumId w:val="16"/>
  </w:num>
  <w:num w:numId="2" w16cid:durableId="442264828">
    <w:abstractNumId w:val="5"/>
  </w:num>
  <w:num w:numId="3" w16cid:durableId="1036737201">
    <w:abstractNumId w:val="15"/>
  </w:num>
  <w:num w:numId="4" w16cid:durableId="2100321986">
    <w:abstractNumId w:val="11"/>
  </w:num>
  <w:num w:numId="5" w16cid:durableId="200703605">
    <w:abstractNumId w:val="12"/>
  </w:num>
  <w:num w:numId="6" w16cid:durableId="647786490">
    <w:abstractNumId w:val="18"/>
  </w:num>
  <w:num w:numId="7" w16cid:durableId="243229222">
    <w:abstractNumId w:val="19"/>
  </w:num>
  <w:num w:numId="8" w16cid:durableId="343627830">
    <w:abstractNumId w:val="21"/>
  </w:num>
  <w:num w:numId="9" w16cid:durableId="1178739638">
    <w:abstractNumId w:val="9"/>
  </w:num>
  <w:num w:numId="10" w16cid:durableId="1000810014">
    <w:abstractNumId w:val="10"/>
  </w:num>
  <w:num w:numId="11" w16cid:durableId="293869881">
    <w:abstractNumId w:val="7"/>
  </w:num>
  <w:num w:numId="12" w16cid:durableId="1633779472">
    <w:abstractNumId w:val="0"/>
  </w:num>
  <w:num w:numId="13" w16cid:durableId="1394887564">
    <w:abstractNumId w:val="14"/>
  </w:num>
  <w:num w:numId="14" w16cid:durableId="1989936522">
    <w:abstractNumId w:val="1"/>
  </w:num>
  <w:num w:numId="15" w16cid:durableId="828525225">
    <w:abstractNumId w:val="3"/>
  </w:num>
  <w:num w:numId="16" w16cid:durableId="91363023">
    <w:abstractNumId w:val="8"/>
  </w:num>
  <w:num w:numId="17" w16cid:durableId="1053239916">
    <w:abstractNumId w:val="4"/>
  </w:num>
  <w:num w:numId="18" w16cid:durableId="863639562">
    <w:abstractNumId w:val="2"/>
  </w:num>
  <w:num w:numId="19" w16cid:durableId="1803618516">
    <w:abstractNumId w:val="13"/>
  </w:num>
  <w:num w:numId="20" w16cid:durableId="1712918437">
    <w:abstractNumId w:val="6"/>
  </w:num>
  <w:num w:numId="21" w16cid:durableId="1776099911">
    <w:abstractNumId w:val="17"/>
  </w:num>
  <w:num w:numId="22" w16cid:durableId="17185506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004FB8"/>
    <w:rsid w:val="0002290D"/>
    <w:rsid w:val="0005502C"/>
    <w:rsid w:val="000C6311"/>
    <w:rsid w:val="00106D54"/>
    <w:rsid w:val="00130E6A"/>
    <w:rsid w:val="00137DF2"/>
    <w:rsid w:val="001F15FE"/>
    <w:rsid w:val="0022593F"/>
    <w:rsid w:val="002523AC"/>
    <w:rsid w:val="002932C5"/>
    <w:rsid w:val="002D46F5"/>
    <w:rsid w:val="002F53E2"/>
    <w:rsid w:val="00363D4B"/>
    <w:rsid w:val="00415A0D"/>
    <w:rsid w:val="00423248"/>
    <w:rsid w:val="0042788E"/>
    <w:rsid w:val="00427B70"/>
    <w:rsid w:val="00440A61"/>
    <w:rsid w:val="00442B3C"/>
    <w:rsid w:val="00475017"/>
    <w:rsid w:val="004D02DA"/>
    <w:rsid w:val="004D79BD"/>
    <w:rsid w:val="004E2635"/>
    <w:rsid w:val="004E3228"/>
    <w:rsid w:val="00616A18"/>
    <w:rsid w:val="006B4ECA"/>
    <w:rsid w:val="006C7C5E"/>
    <w:rsid w:val="0071794A"/>
    <w:rsid w:val="00725995"/>
    <w:rsid w:val="007651C5"/>
    <w:rsid w:val="00790176"/>
    <w:rsid w:val="007C6BE8"/>
    <w:rsid w:val="007D4DD7"/>
    <w:rsid w:val="007D63ED"/>
    <w:rsid w:val="0080379C"/>
    <w:rsid w:val="00810830"/>
    <w:rsid w:val="00821B89"/>
    <w:rsid w:val="008A67A3"/>
    <w:rsid w:val="008E48C7"/>
    <w:rsid w:val="0090630C"/>
    <w:rsid w:val="00953666"/>
    <w:rsid w:val="009728D5"/>
    <w:rsid w:val="00993AE2"/>
    <w:rsid w:val="009B7678"/>
    <w:rsid w:val="009C0325"/>
    <w:rsid w:val="009D01B2"/>
    <w:rsid w:val="009F3217"/>
    <w:rsid w:val="00A14CFB"/>
    <w:rsid w:val="00A31747"/>
    <w:rsid w:val="00B0261A"/>
    <w:rsid w:val="00C46A24"/>
    <w:rsid w:val="00CA3B05"/>
    <w:rsid w:val="00D02557"/>
    <w:rsid w:val="00D354B7"/>
    <w:rsid w:val="00DD7B45"/>
    <w:rsid w:val="00E00B59"/>
    <w:rsid w:val="00E1409A"/>
    <w:rsid w:val="00E35041"/>
    <w:rsid w:val="00EE7700"/>
    <w:rsid w:val="00EF5E68"/>
    <w:rsid w:val="00EF66F6"/>
    <w:rsid w:val="00F341DB"/>
    <w:rsid w:val="00F37D0C"/>
    <w:rsid w:val="00F53F5C"/>
    <w:rsid w:val="00F61089"/>
    <w:rsid w:val="00F66C99"/>
    <w:rsid w:val="00FA40FC"/>
    <w:rsid w:val="00FD0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basedOn w:val="Normal"/>
    <w:uiPriority w:val="34"/>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130E6A"/>
    <w:rPr>
      <w:color w:val="000000" w:themeColor="text1"/>
      <w:sz w:val="20"/>
      <w:lang w:val="en-GB"/>
    </w:rPr>
  </w:style>
  <w:style w:type="character" w:customStyle="1" w:styleId="hgkelc">
    <w:name w:val="hgkelc"/>
    <w:basedOn w:val="DefaultParagraphFont"/>
    <w:rsid w:val="00616A18"/>
  </w:style>
  <w:style w:type="paragraph" w:customStyle="1" w:styleId="Default">
    <w:name w:val="Default"/>
    <w:rsid w:val="00616A18"/>
    <w:pPr>
      <w:autoSpaceDE w:val="0"/>
      <w:autoSpaceDN w:val="0"/>
      <w:adjustRightInd w:val="0"/>
      <w:spacing w:after="0" w:line="240" w:lineRule="auto"/>
    </w:pPr>
    <w:rPr>
      <w:rFonts w:ascii="Arial" w:hAnsi="Arial" w:cs="Arial"/>
      <w:color w:val="000000"/>
      <w:sz w:val="24"/>
      <w:szCs w:val="24"/>
      <w:lang w:val="de-AT"/>
    </w:rPr>
  </w:style>
  <w:style w:type="paragraph" w:styleId="CommentText">
    <w:name w:val="annotation text"/>
    <w:basedOn w:val="Normal"/>
    <w:link w:val="CommentTextChar"/>
    <w:uiPriority w:val="99"/>
    <w:unhideWhenUsed/>
    <w:rsid w:val="00EF5E68"/>
    <w:pPr>
      <w:widowControl w:val="0"/>
      <w:spacing w:after="0" w:line="240" w:lineRule="auto"/>
    </w:pPr>
    <w:rPr>
      <w:rFonts w:asciiTheme="minorHAnsi" w:hAnsiTheme="minorHAnsi" w:cstheme="minorBidi"/>
    </w:rPr>
  </w:style>
  <w:style w:type="character" w:customStyle="1" w:styleId="CommentTextChar">
    <w:name w:val="Comment Text Char"/>
    <w:basedOn w:val="DefaultParagraphFont"/>
    <w:link w:val="CommentText"/>
    <w:uiPriority w:val="99"/>
    <w:rsid w:val="00EF5E68"/>
    <w:rPr>
      <w:sz w:val="20"/>
      <w:szCs w:val="20"/>
      <w:lang w:val="en-GB"/>
    </w:rPr>
  </w:style>
  <w:style w:type="character" w:customStyle="1" w:styleId="normaltextrun">
    <w:name w:val="normaltextrun"/>
    <w:basedOn w:val="DefaultParagraphFont"/>
    <w:rsid w:val="00EF5E68"/>
  </w:style>
  <w:style w:type="character" w:customStyle="1" w:styleId="markedcontent">
    <w:name w:val="markedcontent"/>
    <w:basedOn w:val="DefaultParagraphFont"/>
    <w:rsid w:val="00EF5E68"/>
  </w:style>
  <w:style w:type="character" w:customStyle="1" w:styleId="highlight">
    <w:name w:val="highlight"/>
    <w:basedOn w:val="DefaultParagraphFont"/>
    <w:rsid w:val="00EF5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6069">
      <w:bodyDiv w:val="1"/>
      <w:marLeft w:val="0"/>
      <w:marRight w:val="0"/>
      <w:marTop w:val="0"/>
      <w:marBottom w:val="0"/>
      <w:divBdr>
        <w:top w:val="none" w:sz="0" w:space="0" w:color="auto"/>
        <w:left w:val="none" w:sz="0" w:space="0" w:color="auto"/>
        <w:bottom w:val="none" w:sz="0" w:space="0" w:color="auto"/>
        <w:right w:val="none" w:sz="0" w:space="0" w:color="auto"/>
      </w:divBdr>
    </w:div>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 w:id="1734308958">
      <w:bodyDiv w:val="1"/>
      <w:marLeft w:val="0"/>
      <w:marRight w:val="0"/>
      <w:marTop w:val="0"/>
      <w:marBottom w:val="0"/>
      <w:divBdr>
        <w:top w:val="none" w:sz="0" w:space="0" w:color="auto"/>
        <w:left w:val="none" w:sz="0" w:space="0" w:color="auto"/>
        <w:bottom w:val="none" w:sz="0" w:space="0" w:color="auto"/>
        <w:right w:val="none" w:sz="0" w:space="0" w:color="auto"/>
      </w:divBdr>
    </w:div>
    <w:div w:id="1866215840">
      <w:bodyDiv w:val="1"/>
      <w:marLeft w:val="0"/>
      <w:marRight w:val="0"/>
      <w:marTop w:val="0"/>
      <w:marBottom w:val="0"/>
      <w:divBdr>
        <w:top w:val="none" w:sz="0" w:space="0" w:color="auto"/>
        <w:left w:val="none" w:sz="0" w:space="0" w:color="auto"/>
        <w:bottom w:val="none" w:sz="0" w:space="0" w:color="auto"/>
        <w:right w:val="none" w:sz="0" w:space="0" w:color="auto"/>
      </w:divBdr>
    </w:div>
    <w:div w:id="196634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dcode.org/disclaimers/territories.html"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ecdcode.org/disclaimers/territories.html"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gjeringen.no/no/dokumenter/regionale-utviklingstrekk-2021/id2847260/"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stats.oecd.org/Index.aspx?DataSetCode=SNGF" TargetMode="External"/><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2100</Words>
  <Characters>11994</Characters>
  <Application>Microsoft Office Word</Application>
  <DocSecurity>0</DocSecurity>
  <Lines>244</Lines>
  <Paragraphs>124</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13970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10</cp:revision>
  <cp:lastPrinted>2023-11-06T10:10:00Z</cp:lastPrinted>
  <dcterms:created xsi:type="dcterms:W3CDTF">2023-11-07T16:02:00Z</dcterms:created>
  <dcterms:modified xsi:type="dcterms:W3CDTF">2023-11-07T17:06:00Z</dcterms:modified>
</cp:coreProperties>
</file>