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01DC06B1" w:rsidR="00B0261A" w:rsidRDefault="00FB118A" w:rsidP="00B0261A">
      <w:pPr>
        <w:pStyle w:val="Heading1"/>
      </w:pPr>
      <w:r>
        <w:t>SLOVAK REPUBLIC</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w:t>
      </w:r>
      <w:proofErr w:type="gramStart"/>
      <w:r w:rsidRPr="00B0261A">
        <w:t>guidance</w:t>
      </w:r>
      <w:proofErr w:type="gramEnd"/>
      <w:r w:rsidRPr="00B0261A">
        <w:t xml:space="preserv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144C8B28" w14:textId="40610F55" w:rsidR="00130E6A" w:rsidRDefault="00130E6A" w:rsidP="00130E6A">
      <w:pPr>
        <w:pStyle w:val="Heading2"/>
      </w:pPr>
      <w:r>
        <w:lastRenderedPageBreak/>
        <w:t xml:space="preserve">Regional Inequality Trends </w:t>
      </w:r>
    </w:p>
    <w:p w14:paraId="551BBCE1" w14:textId="77777777" w:rsidR="00FB118A" w:rsidRPr="00FB118A" w:rsidRDefault="00FB118A" w:rsidP="00FB118A">
      <w:pPr>
        <w:rPr>
          <w:lang w:val="en-US"/>
        </w:rPr>
      </w:pPr>
      <w:r w:rsidRPr="00FB118A">
        <w:rPr>
          <w:lang w:val="en-US"/>
        </w:rPr>
        <w:t>The Slovak Republic experienced an increase in the Theil index of GDP per capita over 2000-2020. Inequality reached its maximum in 2009. The figures are normalized, with values in the year 2000 set to 1.</w:t>
      </w:r>
    </w:p>
    <w:p w14:paraId="65446115" w14:textId="7884A1A3" w:rsidR="00130E6A" w:rsidRPr="00FA40FC" w:rsidRDefault="00FB118A" w:rsidP="00FB118A">
      <w:pPr>
        <w:rPr>
          <w:lang w:val="en-US"/>
        </w:rPr>
      </w:pPr>
      <w:r w:rsidRPr="00FB118A">
        <w:rPr>
          <w:lang w:val="en-US"/>
        </w:rPr>
        <w:t xml:space="preserve">The Top 20%/Mean ratio was 0.074 higher in 2020 compared to 2000, indicating increased </w:t>
      </w:r>
      <w:proofErr w:type="spellStart"/>
      <w:r w:rsidRPr="00FB118A">
        <w:rPr>
          <w:lang w:val="en-US"/>
        </w:rPr>
        <w:t>polarisation</w:t>
      </w:r>
      <w:proofErr w:type="spellEnd"/>
      <w:r w:rsidRPr="00FB118A">
        <w:rPr>
          <w:lang w:val="en-US"/>
        </w:rPr>
        <w:t>. The Bottom 20%/Mean ratio was 0.022 lower in the same period, indicating bottom divergence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770EC227" w:rsidR="00130E6A" w:rsidRDefault="000E500E" w:rsidP="00130E6A">
      <w:pPr>
        <w:jc w:val="center"/>
      </w:pPr>
      <w:r>
        <w:rPr>
          <w:noProof/>
        </w:rPr>
        <w:drawing>
          <wp:inline distT="0" distB="0" distL="0" distR="0" wp14:anchorId="0C3B421D" wp14:editId="1B65040D">
            <wp:extent cx="5731510" cy="3070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0225"/>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 xml:space="preserve">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w:t>
      </w:r>
      <w:proofErr w:type="gramStart"/>
      <w:r w:rsidR="00993AE2" w:rsidRPr="00993AE2">
        <w:rPr>
          <w:sz w:val="16"/>
          <w:szCs w:val="16"/>
        </w:rPr>
        <w:t>in a given year</w:t>
      </w:r>
      <w:proofErr w:type="gramEnd"/>
      <w:r w:rsidR="00993AE2" w:rsidRPr="00993AE2">
        <w:rPr>
          <w:sz w:val="16"/>
          <w:szCs w:val="16"/>
        </w:rPr>
        <w:t xml:space="preserve">. Bottom 20%/Mean calculated as mean TL3 GDP per capita in bottom 20% regions over mean TL3 GDP per capita </w:t>
      </w:r>
      <w:proofErr w:type="gramStart"/>
      <w:r w:rsidR="00993AE2" w:rsidRPr="00993AE2">
        <w:rPr>
          <w:sz w:val="16"/>
          <w:szCs w:val="16"/>
        </w:rPr>
        <w:t>in a given year</w:t>
      </w:r>
      <w:proofErr w:type="gramEnd"/>
      <w:r w:rsidR="00993AE2" w:rsidRPr="00993AE2">
        <w:rPr>
          <w:sz w:val="16"/>
          <w:szCs w:val="16"/>
        </w:rPr>
        <w:t>.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791AB40F" w14:textId="77777777" w:rsidR="000E500E" w:rsidRPr="000E500E" w:rsidRDefault="000E500E" w:rsidP="000E500E">
      <w:pPr>
        <w:rPr>
          <w:lang w:val="en-US"/>
        </w:rPr>
      </w:pPr>
      <w:r w:rsidRPr="000E500E">
        <w:rPr>
          <w:lang w:val="en-US"/>
        </w:rPr>
        <w:lastRenderedPageBreak/>
        <w:t>There is no data for the gap in GDP per capita between large metropolitan and non-large metropolitan regions for 2000 and 2020.</w:t>
      </w:r>
    </w:p>
    <w:p w14:paraId="4966EC20" w14:textId="77777777" w:rsidR="000E500E" w:rsidRPr="000E500E" w:rsidRDefault="000E500E" w:rsidP="000E500E">
      <w:pPr>
        <w:rPr>
          <w:lang w:val="en-US"/>
        </w:rPr>
      </w:pPr>
      <w:r w:rsidRPr="000E500E">
        <w:rPr>
          <w:lang w:val="en-US"/>
        </w:rPr>
        <w:t>Meanwhile, in 2020, the gap in GDP per capita between metropolitan and non-metropolitan regions was 1.884. For reference, the same value for OECD was 1.325. This gap decreased by 0.016 percentage points since 2000.</w:t>
      </w:r>
    </w:p>
    <w:p w14:paraId="4DF87DC8" w14:textId="412AC2BD" w:rsidR="00130E6A" w:rsidRDefault="000E500E" w:rsidP="000E500E">
      <w:pPr>
        <w:rPr>
          <w:lang w:val="en-US"/>
        </w:rPr>
      </w:pPr>
      <w:r w:rsidRPr="000E500E">
        <w:rPr>
          <w:lang w:val="en-US"/>
        </w:rPr>
        <w:t>In turn, the gap in GDP per capita between regions near and far a Functional Urban Area (FUA) of more than 250 thousand inhabitants was 1.813 in 2020 and increased by 0.067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 xml:space="preserve">gap by type of region compared to the OECD </w:t>
      </w:r>
      <w:proofErr w:type="gramStart"/>
      <w:r w:rsidR="00440A61">
        <w:rPr>
          <w:b/>
          <w:bCs/>
          <w:color w:val="4E81BD"/>
        </w:rPr>
        <w:t>average</w:t>
      </w:r>
      <w:proofErr w:type="gramEnd"/>
    </w:p>
    <w:p w14:paraId="0AE7B1A2" w14:textId="2AE4B935" w:rsidR="00993AE2" w:rsidRDefault="00375779" w:rsidP="00993AE2">
      <w:r>
        <w:rPr>
          <w:noProof/>
        </w:rPr>
        <w:drawing>
          <wp:inline distT="0" distB="0" distL="0" distR="0" wp14:anchorId="23A1EB1D" wp14:editId="51641638">
            <wp:extent cx="5731510" cy="3069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69590"/>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 xml:space="preserve">Far from a FUA&gt;250K includes regions near/with a small FUA and remote regions. OECD mean gap based on 1 586 TL3 regions in 27 countries with available data (no TL3 data for Australia, Canada, Chile, Colombia, Costa Rica, Iceland, Ireland, Israel, Mexico, </w:t>
      </w:r>
      <w:proofErr w:type="gramStart"/>
      <w:r w:rsidR="00440A61" w:rsidRPr="00440A61">
        <w:rPr>
          <w:sz w:val="16"/>
          <w:szCs w:val="16"/>
        </w:rPr>
        <w:t>Luxembourg</w:t>
      </w:r>
      <w:proofErr w:type="gramEnd"/>
      <w:r w:rsidR="00440A61" w:rsidRPr="00440A61">
        <w:rPr>
          <w:sz w:val="16"/>
          <w:szCs w:val="16"/>
        </w:rPr>
        <w:t xml:space="preserve">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3CD3E729" w:rsidR="00993AE2" w:rsidRPr="00993AE2" w:rsidRDefault="00375779" w:rsidP="00993AE2">
      <w:pPr>
        <w:rPr>
          <w:lang w:val="en-US"/>
        </w:rPr>
      </w:pPr>
      <w:r w:rsidRPr="00375779">
        <w:rPr>
          <w:lang w:val="en-US"/>
        </w:rPr>
        <w:lastRenderedPageBreak/>
        <w:t xml:space="preserve">In the Slovak Republic, the gap between the upper and the lower half of regions in terms of </w:t>
      </w:r>
      <w:proofErr w:type="spellStart"/>
      <w:r w:rsidRPr="00375779">
        <w:rPr>
          <w:lang w:val="en-US"/>
        </w:rPr>
        <w:t>labour</w:t>
      </w:r>
      <w:proofErr w:type="spellEnd"/>
      <w:r w:rsidRPr="00375779">
        <w:rPr>
          <w:lang w:val="en-US"/>
        </w:rPr>
        <w:t xml:space="preserve"> productivity increased between 2001 and 2019. Over this period </w:t>
      </w:r>
      <w:proofErr w:type="spellStart"/>
      <w:r w:rsidRPr="00375779">
        <w:rPr>
          <w:lang w:val="en-US"/>
        </w:rPr>
        <w:t>labour</w:t>
      </w:r>
      <w:proofErr w:type="spellEnd"/>
      <w:r w:rsidRPr="00375779">
        <w:rPr>
          <w:lang w:val="en-US"/>
        </w:rPr>
        <w:t xml:space="preserve"> productivity in the upper half of regions grew roughly by 68%, 7 percentage points more than in the lower half of regions. During 2020, the gap continued to widen. Nevertheless, more years of data are necessary to determine the long-term impact of the COVID-19 pandemic on </w:t>
      </w:r>
      <w:proofErr w:type="spellStart"/>
      <w:r w:rsidRPr="00375779">
        <w:rPr>
          <w:lang w:val="en-US"/>
        </w:rPr>
        <w:t>labour</w:t>
      </w:r>
      <w:proofErr w:type="spellEnd"/>
      <w:r w:rsidRPr="00375779">
        <w:rPr>
          <w:lang w:val="en-US"/>
        </w:rPr>
        <w:t xml:space="preserve">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237AEBA9" w:rsidR="00130E6A" w:rsidRDefault="00C43FED" w:rsidP="00130E6A">
      <w:r>
        <w:rPr>
          <w:noProof/>
        </w:rPr>
        <w:drawing>
          <wp:inline distT="0" distB="0" distL="0" distR="0" wp14:anchorId="3DAF783A" wp14:editId="6769CA4F">
            <wp:extent cx="5731510" cy="30784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8480"/>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038AE0D6" w:rsidR="00EF66F6" w:rsidRDefault="00C43FED" w:rsidP="00EF66F6">
      <w:r w:rsidRPr="00C43FED">
        <w:lastRenderedPageBreak/>
        <w:t>Regions where the economic activity shifts towards tradable activities, such as industry and tradable services, tend to grow faster in terms of labour productivity. In the Slovak Republic, between 2001 and 2020, the share of workers in the industrial sector went down in all regions but more so in regions that used to be in the upper half of the labour productivity distribution. At the same time, the share of workers in the tradable services sector went up in all regions but more so in regions that were already in the upper half of the labour productivity distribution. Hence, the evolution of employment shares in the tradable services sector widened the labour productivity gap between regions while the opposite was true for the industrial sector</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1243C783" w:rsidR="00EF66F6" w:rsidRDefault="00454462" w:rsidP="00EF66F6">
      <w:r>
        <w:rPr>
          <w:noProof/>
        </w:rPr>
        <w:drawing>
          <wp:inline distT="0" distB="0" distL="0" distR="0" wp14:anchorId="4D499B92" wp14:editId="064B76E9">
            <wp:extent cx="5731510" cy="25558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55875"/>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The share of workers </w:t>
      </w:r>
      <w:proofErr w:type="gramStart"/>
      <w:r w:rsidRPr="00EF66F6">
        <w:rPr>
          <w:sz w:val="16"/>
          <w:szCs w:val="16"/>
        </w:rPr>
        <w:t>in a given</w:t>
      </w:r>
      <w:proofErr w:type="gramEnd"/>
      <w:r w:rsidRPr="00EF66F6">
        <w:rPr>
          <w:sz w:val="16"/>
          <w:szCs w:val="16"/>
        </w:rPr>
        <w:t xml:space="preserve"> sector for a group of regions is defined as the sum of employment in that sector within the group divided by the sum of total employment within the group. Regions are small (TL3) regions, except for Australia, Canada, Chile,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 Industry includes the following tradable goods sectors: Mining and quarrying (B), Manufacturing (C), Electricity, gas, </w:t>
      </w:r>
      <w:proofErr w:type="gramStart"/>
      <w:r w:rsidRPr="00EF66F6">
        <w:rPr>
          <w:sz w:val="16"/>
          <w:szCs w:val="16"/>
        </w:rPr>
        <w:t>steam</w:t>
      </w:r>
      <w:proofErr w:type="gramEnd"/>
      <w:r w:rsidRPr="00EF66F6">
        <w:rPr>
          <w:sz w:val="16"/>
          <w:szCs w:val="16"/>
        </w:rPr>
        <w:t xml:space="preserve"> and air conditioning supply (D) and Water supply; sewerage; waste management and remediation activities (E) NACE macro sectors. Tradable services include Information and communication (J), Financial and insurance activities (K), Real estate activities (L), Professional, </w:t>
      </w:r>
      <w:proofErr w:type="gramStart"/>
      <w:r w:rsidRPr="00EF66F6">
        <w:rPr>
          <w:sz w:val="16"/>
          <w:szCs w:val="16"/>
        </w:rPr>
        <w:t>scientific</w:t>
      </w:r>
      <w:proofErr w:type="gramEnd"/>
      <w:r w:rsidRPr="00EF66F6">
        <w:rPr>
          <w:sz w:val="16"/>
          <w:szCs w:val="16"/>
        </w:rPr>
        <w:t xml:space="preserve">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499F09A" w14:textId="77777777" w:rsidR="00130E6A" w:rsidRPr="00130E6A" w:rsidRDefault="00130E6A" w:rsidP="00130E6A"/>
    <w:sectPr w:rsidR="00130E6A" w:rsidRPr="00130E6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44C36" w14:textId="77777777" w:rsidR="00330C8E" w:rsidRDefault="00330C8E" w:rsidP="00B0261A">
      <w:r>
        <w:separator/>
      </w:r>
    </w:p>
  </w:endnote>
  <w:endnote w:type="continuationSeparator" w:id="0">
    <w:p w14:paraId="0AFC36D1" w14:textId="77777777" w:rsidR="00330C8E" w:rsidRDefault="00330C8E"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3C879" w14:textId="77777777" w:rsidR="00330C8E" w:rsidRDefault="00330C8E" w:rsidP="00B0261A">
      <w:r>
        <w:separator/>
      </w:r>
    </w:p>
  </w:footnote>
  <w:footnote w:type="continuationSeparator" w:id="0">
    <w:p w14:paraId="28755DAF" w14:textId="77777777" w:rsidR="00330C8E" w:rsidRDefault="00330C8E"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0"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6"/>
  </w:num>
  <w:num w:numId="2" w16cid:durableId="442264828">
    <w:abstractNumId w:val="5"/>
  </w:num>
  <w:num w:numId="3" w16cid:durableId="1036737201">
    <w:abstractNumId w:val="15"/>
  </w:num>
  <w:num w:numId="4" w16cid:durableId="2100321986">
    <w:abstractNumId w:val="11"/>
  </w:num>
  <w:num w:numId="5" w16cid:durableId="200703605">
    <w:abstractNumId w:val="12"/>
  </w:num>
  <w:num w:numId="6" w16cid:durableId="647786490">
    <w:abstractNumId w:val="18"/>
  </w:num>
  <w:num w:numId="7" w16cid:durableId="243229222">
    <w:abstractNumId w:val="19"/>
  </w:num>
  <w:num w:numId="8" w16cid:durableId="343627830">
    <w:abstractNumId w:val="20"/>
  </w:num>
  <w:num w:numId="9" w16cid:durableId="1178739638">
    <w:abstractNumId w:val="9"/>
  </w:num>
  <w:num w:numId="10" w16cid:durableId="1000810014">
    <w:abstractNumId w:val="10"/>
  </w:num>
  <w:num w:numId="11" w16cid:durableId="293869881">
    <w:abstractNumId w:val="7"/>
  </w:num>
  <w:num w:numId="12" w16cid:durableId="1633779472">
    <w:abstractNumId w:val="0"/>
  </w:num>
  <w:num w:numId="13" w16cid:durableId="1394887564">
    <w:abstractNumId w:val="14"/>
  </w:num>
  <w:num w:numId="14" w16cid:durableId="1989936522">
    <w:abstractNumId w:val="1"/>
  </w:num>
  <w:num w:numId="15" w16cid:durableId="828525225">
    <w:abstractNumId w:val="3"/>
  </w:num>
  <w:num w:numId="16" w16cid:durableId="91363023">
    <w:abstractNumId w:val="8"/>
  </w:num>
  <w:num w:numId="17" w16cid:durableId="1053239916">
    <w:abstractNumId w:val="4"/>
  </w:num>
  <w:num w:numId="18" w16cid:durableId="863639562">
    <w:abstractNumId w:val="2"/>
  </w:num>
  <w:num w:numId="19" w16cid:durableId="1803618516">
    <w:abstractNumId w:val="13"/>
  </w:num>
  <w:num w:numId="20" w16cid:durableId="1712918437">
    <w:abstractNumId w:val="6"/>
  </w:num>
  <w:num w:numId="21" w16cid:durableId="17760999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2290D"/>
    <w:rsid w:val="000E500E"/>
    <w:rsid w:val="00106D54"/>
    <w:rsid w:val="00130E6A"/>
    <w:rsid w:val="00137DF2"/>
    <w:rsid w:val="001F15FE"/>
    <w:rsid w:val="0022593F"/>
    <w:rsid w:val="002932C5"/>
    <w:rsid w:val="002D46F5"/>
    <w:rsid w:val="002F53E2"/>
    <w:rsid w:val="00304085"/>
    <w:rsid w:val="00330C8E"/>
    <w:rsid w:val="00363D4B"/>
    <w:rsid w:val="00375779"/>
    <w:rsid w:val="00415A0D"/>
    <w:rsid w:val="00423248"/>
    <w:rsid w:val="0042788E"/>
    <w:rsid w:val="00427B70"/>
    <w:rsid w:val="00440A61"/>
    <w:rsid w:val="00442B3C"/>
    <w:rsid w:val="00454462"/>
    <w:rsid w:val="00475017"/>
    <w:rsid w:val="004D79BD"/>
    <w:rsid w:val="004E2635"/>
    <w:rsid w:val="004E3228"/>
    <w:rsid w:val="00616A18"/>
    <w:rsid w:val="006750B3"/>
    <w:rsid w:val="006A449E"/>
    <w:rsid w:val="006B4ECA"/>
    <w:rsid w:val="006C7C5E"/>
    <w:rsid w:val="0071794A"/>
    <w:rsid w:val="007651C5"/>
    <w:rsid w:val="00781257"/>
    <w:rsid w:val="007C6BE8"/>
    <w:rsid w:val="007D4DD7"/>
    <w:rsid w:val="007D63ED"/>
    <w:rsid w:val="0080379C"/>
    <w:rsid w:val="00810830"/>
    <w:rsid w:val="00821B89"/>
    <w:rsid w:val="008E48C7"/>
    <w:rsid w:val="0090630C"/>
    <w:rsid w:val="00953666"/>
    <w:rsid w:val="009728D5"/>
    <w:rsid w:val="00993AE2"/>
    <w:rsid w:val="009B7678"/>
    <w:rsid w:val="009C0325"/>
    <w:rsid w:val="009D01B2"/>
    <w:rsid w:val="009F3217"/>
    <w:rsid w:val="00A14CFB"/>
    <w:rsid w:val="00A31747"/>
    <w:rsid w:val="00A94AEA"/>
    <w:rsid w:val="00B0261A"/>
    <w:rsid w:val="00C43FED"/>
    <w:rsid w:val="00C46A24"/>
    <w:rsid w:val="00C74CCF"/>
    <w:rsid w:val="00C91C46"/>
    <w:rsid w:val="00D02557"/>
    <w:rsid w:val="00D354B7"/>
    <w:rsid w:val="00DD7B45"/>
    <w:rsid w:val="00E00B59"/>
    <w:rsid w:val="00E1409A"/>
    <w:rsid w:val="00E35041"/>
    <w:rsid w:val="00EE7700"/>
    <w:rsid w:val="00EF5E68"/>
    <w:rsid w:val="00EF66F6"/>
    <w:rsid w:val="00F341DB"/>
    <w:rsid w:val="00F37D0C"/>
    <w:rsid w:val="00F61089"/>
    <w:rsid w:val="00F66C99"/>
    <w:rsid w:val="00FA40FC"/>
    <w:rsid w:val="00FB118A"/>
    <w:rsid w:val="00FD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32879">
      <w:bodyDiv w:val="1"/>
      <w:marLeft w:val="0"/>
      <w:marRight w:val="0"/>
      <w:marTop w:val="0"/>
      <w:marBottom w:val="0"/>
      <w:divBdr>
        <w:top w:val="none" w:sz="0" w:space="0" w:color="auto"/>
        <w:left w:val="none" w:sz="0" w:space="0" w:color="auto"/>
        <w:bottom w:val="none" w:sz="0" w:space="0" w:color="auto"/>
        <w:right w:val="none" w:sz="0" w:space="0" w:color="auto"/>
      </w:divBdr>
    </w:div>
    <w:div w:id="456604298">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942</Words>
  <Characters>5006</Characters>
  <Application>Microsoft Office Word</Application>
  <DocSecurity>0</DocSecurity>
  <Lines>75</Lines>
  <Paragraphs>26</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8</cp:revision>
  <cp:lastPrinted>2023-11-06T10:10:00Z</cp:lastPrinted>
  <dcterms:created xsi:type="dcterms:W3CDTF">2023-11-07T16:15:00Z</dcterms:created>
  <dcterms:modified xsi:type="dcterms:W3CDTF">2023-11-07T17:07:00Z</dcterms:modified>
</cp:coreProperties>
</file>