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7F79234A" w:rsidR="00B0261A" w:rsidRDefault="0057662E" w:rsidP="00B0261A">
      <w:pPr>
        <w:pStyle w:val="Heading1"/>
      </w:pPr>
      <w:r>
        <w:t>SLOVENIA</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4955" w:type="pct"/>
        <w:tblLook w:val="0420" w:firstRow="1" w:lastRow="0" w:firstColumn="0" w:lastColumn="0" w:noHBand="0" w:noVBand="1"/>
      </w:tblPr>
      <w:tblGrid>
        <w:gridCol w:w="3578"/>
        <w:gridCol w:w="5367"/>
      </w:tblGrid>
      <w:tr w:rsidR="00001815" w:rsidRPr="001F35DA" w14:paraId="2E7463F5" w14:textId="77777777" w:rsidTr="005D49AB">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33CAB84D" w14:textId="77777777" w:rsidR="00001815" w:rsidRPr="00001815" w:rsidRDefault="00001815" w:rsidP="005D49AB">
            <w:pPr>
              <w:pStyle w:val="TableRow"/>
              <w:jc w:val="left"/>
              <w:rPr>
                <w:sz w:val="20"/>
              </w:rPr>
            </w:pPr>
            <w:r w:rsidRPr="00001815">
              <w:rPr>
                <w:sz w:val="20"/>
              </w:rPr>
              <w:t xml:space="preserve">Population </w:t>
            </w:r>
            <w:r w:rsidRPr="00001815">
              <w:rPr>
                <w:i/>
                <w:iCs/>
                <w:sz w:val="20"/>
              </w:rPr>
              <w:t>(specify date)</w:t>
            </w:r>
            <w:r w:rsidRPr="00001815">
              <w:rPr>
                <w:sz w:val="20"/>
              </w:rPr>
              <w:t xml:space="preserve"> and territory </w:t>
            </w:r>
          </w:p>
        </w:tc>
        <w:tc>
          <w:tcPr>
            <w:tcW w:w="3000" w:type="pct"/>
          </w:tcPr>
          <w:p w14:paraId="030D409C" w14:textId="77777777" w:rsidR="00001815" w:rsidRPr="00001815" w:rsidRDefault="00001815" w:rsidP="005D49AB">
            <w:pPr>
              <w:pStyle w:val="TableRow"/>
              <w:jc w:val="left"/>
              <w:rPr>
                <w:rFonts w:cstheme="minorHAnsi"/>
                <w:sz w:val="20"/>
              </w:rPr>
            </w:pPr>
            <w:r w:rsidRPr="00001815">
              <w:rPr>
                <w:rFonts w:cstheme="minorHAnsi"/>
                <w:color w:val="333333"/>
                <w:sz w:val="20"/>
                <w:shd w:val="clear" w:color="auto" w:fill="FFFFFF"/>
              </w:rPr>
              <w:t>2.116.972, 1.1.2023</w:t>
            </w:r>
            <w:r w:rsidRPr="00001815">
              <w:rPr>
                <w:rFonts w:cstheme="minorHAnsi"/>
                <w:sz w:val="20"/>
              </w:rPr>
              <w:t xml:space="preserve"> km</w:t>
            </w:r>
            <w:r w:rsidRPr="00001815">
              <w:rPr>
                <w:rFonts w:cstheme="minorHAnsi"/>
                <w:sz w:val="20"/>
                <w:vertAlign w:val="superscript"/>
              </w:rPr>
              <w:t>2</w:t>
            </w:r>
          </w:p>
        </w:tc>
      </w:tr>
      <w:tr w:rsidR="00001815" w:rsidRPr="00C47114" w14:paraId="7EDB236B" w14:textId="77777777" w:rsidTr="005D49AB">
        <w:trPr>
          <w:trHeight w:val="238"/>
        </w:trPr>
        <w:tc>
          <w:tcPr>
            <w:tcW w:w="2000" w:type="pct"/>
          </w:tcPr>
          <w:p w14:paraId="422B8C31" w14:textId="77777777" w:rsidR="00001815" w:rsidRPr="00001815" w:rsidRDefault="00001815" w:rsidP="005D49AB">
            <w:pPr>
              <w:pStyle w:val="TableRow"/>
              <w:jc w:val="left"/>
              <w:rPr>
                <w:sz w:val="20"/>
              </w:rPr>
            </w:pPr>
            <w:r w:rsidRPr="00001815">
              <w:rPr>
                <w:sz w:val="20"/>
              </w:rPr>
              <w:t xml:space="preserve">Administrative structure </w:t>
            </w:r>
            <w:r w:rsidRPr="00001815">
              <w:rPr>
                <w:rFonts w:cs="Arial"/>
                <w:i/>
                <w:iCs/>
                <w:sz w:val="20"/>
              </w:rPr>
              <w:t>(unitary/federal)</w:t>
            </w:r>
          </w:p>
        </w:tc>
        <w:tc>
          <w:tcPr>
            <w:tcW w:w="3000" w:type="pct"/>
          </w:tcPr>
          <w:p w14:paraId="1BAE0AA5" w14:textId="77777777" w:rsidR="00001815" w:rsidRPr="00001815" w:rsidRDefault="00001815" w:rsidP="005D49AB">
            <w:pPr>
              <w:pStyle w:val="TableCell"/>
              <w:jc w:val="left"/>
              <w:rPr>
                <w:rFonts w:cs="Arial"/>
                <w:sz w:val="20"/>
                <w:szCs w:val="20"/>
              </w:rPr>
            </w:pPr>
            <w:r w:rsidRPr="00001815">
              <w:rPr>
                <w:rFonts w:cs="Arial"/>
                <w:sz w:val="20"/>
                <w:szCs w:val="20"/>
              </w:rPr>
              <w:t xml:space="preserve">Unitary </w:t>
            </w:r>
          </w:p>
        </w:tc>
      </w:tr>
      <w:tr w:rsidR="00001815" w:rsidRPr="00D738B5" w14:paraId="1E4BA6B4" w14:textId="77777777" w:rsidTr="005D49AB">
        <w:trPr>
          <w:trHeight w:val="238"/>
        </w:trPr>
        <w:tc>
          <w:tcPr>
            <w:tcW w:w="2000" w:type="pct"/>
          </w:tcPr>
          <w:p w14:paraId="37EACB04" w14:textId="77777777" w:rsidR="00001815" w:rsidRPr="00001815" w:rsidRDefault="00001815" w:rsidP="005D49AB">
            <w:pPr>
              <w:pStyle w:val="TableRow"/>
              <w:jc w:val="right"/>
              <w:rPr>
                <w:sz w:val="20"/>
              </w:rPr>
            </w:pPr>
            <w:r w:rsidRPr="00001815">
              <w:rPr>
                <w:sz w:val="20"/>
              </w:rPr>
              <w:t xml:space="preserve">Regional or state-level governments </w:t>
            </w:r>
            <w:r w:rsidRPr="00001815">
              <w:rPr>
                <w:i/>
                <w:iCs/>
                <w:sz w:val="20"/>
              </w:rPr>
              <w:t>(number)</w:t>
            </w:r>
          </w:p>
        </w:tc>
        <w:tc>
          <w:tcPr>
            <w:tcW w:w="3000" w:type="pct"/>
          </w:tcPr>
          <w:p w14:paraId="457B17C4" w14:textId="77777777" w:rsidR="00001815" w:rsidRPr="00001815" w:rsidRDefault="00001815" w:rsidP="005D49AB">
            <w:pPr>
              <w:pStyle w:val="TableCell"/>
              <w:jc w:val="left"/>
              <w:rPr>
                <w:sz w:val="20"/>
                <w:szCs w:val="20"/>
              </w:rPr>
            </w:pPr>
            <w:r w:rsidRPr="00001815">
              <w:rPr>
                <w:rFonts w:cs="Arial"/>
                <w:sz w:val="20"/>
                <w:szCs w:val="20"/>
              </w:rPr>
              <w:t>1</w:t>
            </w:r>
          </w:p>
        </w:tc>
      </w:tr>
      <w:tr w:rsidR="00001815" w:rsidRPr="00D738B5" w14:paraId="379ABA4E" w14:textId="77777777" w:rsidTr="005D49AB">
        <w:trPr>
          <w:trHeight w:val="238"/>
        </w:trPr>
        <w:tc>
          <w:tcPr>
            <w:tcW w:w="2000" w:type="pct"/>
          </w:tcPr>
          <w:p w14:paraId="5746FB77" w14:textId="77777777" w:rsidR="00001815" w:rsidRPr="00001815" w:rsidRDefault="00001815" w:rsidP="005D49AB">
            <w:pPr>
              <w:pStyle w:val="TableRow"/>
              <w:jc w:val="right"/>
              <w:rPr>
                <w:sz w:val="20"/>
              </w:rPr>
            </w:pPr>
            <w:r w:rsidRPr="00001815">
              <w:rPr>
                <w:sz w:val="20"/>
              </w:rPr>
              <w:t xml:space="preserve">Intermediate-level governments </w:t>
            </w:r>
            <w:r w:rsidRPr="00001815">
              <w:rPr>
                <w:i/>
                <w:iCs/>
                <w:sz w:val="20"/>
              </w:rPr>
              <w:t>(number)</w:t>
            </w:r>
          </w:p>
        </w:tc>
        <w:tc>
          <w:tcPr>
            <w:tcW w:w="3000" w:type="pct"/>
          </w:tcPr>
          <w:p w14:paraId="5929E749" w14:textId="77777777" w:rsidR="00001815" w:rsidRPr="00001815" w:rsidRDefault="00001815" w:rsidP="005D49AB">
            <w:pPr>
              <w:pStyle w:val="TableCell"/>
              <w:jc w:val="left"/>
              <w:rPr>
                <w:sz w:val="20"/>
                <w:szCs w:val="20"/>
              </w:rPr>
            </w:pPr>
            <w:r w:rsidRPr="00001815">
              <w:rPr>
                <w:rFonts w:cs="Arial"/>
                <w:sz w:val="20"/>
                <w:szCs w:val="20"/>
              </w:rPr>
              <w:t>0</w:t>
            </w:r>
          </w:p>
        </w:tc>
      </w:tr>
      <w:tr w:rsidR="00001815" w:rsidRPr="00D738B5" w14:paraId="6E6353C7" w14:textId="77777777" w:rsidTr="005D49AB">
        <w:trPr>
          <w:trHeight w:val="238"/>
        </w:trPr>
        <w:tc>
          <w:tcPr>
            <w:tcW w:w="2000" w:type="pct"/>
          </w:tcPr>
          <w:p w14:paraId="45EA138F" w14:textId="77777777" w:rsidR="00001815" w:rsidRPr="00001815" w:rsidRDefault="00001815" w:rsidP="005D49AB">
            <w:pPr>
              <w:pStyle w:val="TableRow"/>
              <w:jc w:val="right"/>
              <w:rPr>
                <w:sz w:val="20"/>
              </w:rPr>
            </w:pPr>
            <w:r w:rsidRPr="00001815">
              <w:rPr>
                <w:sz w:val="20"/>
              </w:rPr>
              <w:t xml:space="preserve">Municipal-level governments </w:t>
            </w:r>
            <w:r w:rsidRPr="00001815">
              <w:rPr>
                <w:i/>
                <w:iCs/>
                <w:sz w:val="20"/>
              </w:rPr>
              <w:t>(number)</w:t>
            </w:r>
          </w:p>
        </w:tc>
        <w:tc>
          <w:tcPr>
            <w:tcW w:w="3000" w:type="pct"/>
          </w:tcPr>
          <w:p w14:paraId="3FFD2AE4" w14:textId="77777777" w:rsidR="00001815" w:rsidRPr="00001815" w:rsidRDefault="00001815" w:rsidP="005D49AB">
            <w:pPr>
              <w:pStyle w:val="TableCell"/>
              <w:jc w:val="left"/>
              <w:rPr>
                <w:sz w:val="20"/>
                <w:szCs w:val="20"/>
              </w:rPr>
            </w:pPr>
            <w:r w:rsidRPr="00001815">
              <w:rPr>
                <w:rFonts w:cs="Arial"/>
                <w:sz w:val="20"/>
                <w:szCs w:val="20"/>
              </w:rPr>
              <w:t>212</w:t>
            </w:r>
          </w:p>
        </w:tc>
      </w:tr>
      <w:tr w:rsidR="00001815" w:rsidRPr="00D738B5" w14:paraId="44E3618C" w14:textId="77777777" w:rsidTr="005D49AB">
        <w:trPr>
          <w:trHeight w:val="238"/>
        </w:trPr>
        <w:tc>
          <w:tcPr>
            <w:tcW w:w="2000" w:type="pct"/>
          </w:tcPr>
          <w:p w14:paraId="7391E928" w14:textId="77777777" w:rsidR="00001815" w:rsidRPr="00001815" w:rsidRDefault="00001815" w:rsidP="005D49AB">
            <w:pPr>
              <w:pStyle w:val="TableRow"/>
              <w:jc w:val="left"/>
              <w:rPr>
                <w:sz w:val="20"/>
              </w:rPr>
            </w:pPr>
            <w:r w:rsidRPr="00001815">
              <w:rPr>
                <w:sz w:val="20"/>
              </w:rPr>
              <w:t>Share of subnational government in total expenditure/revenues (2021)</w:t>
            </w:r>
          </w:p>
        </w:tc>
        <w:tc>
          <w:tcPr>
            <w:tcW w:w="3000" w:type="pct"/>
          </w:tcPr>
          <w:p w14:paraId="3FAAAB14" w14:textId="77777777" w:rsidR="00001815" w:rsidRPr="00001815" w:rsidRDefault="00001815" w:rsidP="005D49AB">
            <w:pPr>
              <w:jc w:val="left"/>
              <w:rPr>
                <w:rFonts w:ascii="Arial Narrow" w:hAnsi="Arial Narrow"/>
              </w:rPr>
            </w:pPr>
            <w:r w:rsidRPr="00001815">
              <w:rPr>
                <w:rFonts w:ascii="Arial Narrow" w:hAnsi="Arial Narrow"/>
              </w:rPr>
              <w:t>18.1% of total expenditure</w:t>
            </w:r>
          </w:p>
          <w:p w14:paraId="1171E85F" w14:textId="77777777" w:rsidR="00001815" w:rsidRPr="00001815" w:rsidRDefault="00001815" w:rsidP="005D49AB">
            <w:pPr>
              <w:jc w:val="left"/>
              <w:rPr>
                <w:rFonts w:ascii="Arial Narrow" w:hAnsi="Arial Narrow"/>
              </w:rPr>
            </w:pPr>
            <w:r w:rsidRPr="00001815">
              <w:rPr>
                <w:rFonts w:ascii="Arial Narrow" w:hAnsi="Arial Narrow"/>
              </w:rPr>
              <w:t>20.1% of total revenues</w:t>
            </w:r>
          </w:p>
          <w:p w14:paraId="59EC50A3" w14:textId="77777777" w:rsidR="00001815" w:rsidRPr="00001815" w:rsidRDefault="00001815" w:rsidP="005D49AB">
            <w:pPr>
              <w:jc w:val="left"/>
              <w:rPr>
                <w:rFonts w:ascii="Arial Narrow" w:hAnsi="Arial Narrow"/>
              </w:rPr>
            </w:pPr>
          </w:p>
          <w:p w14:paraId="59DE6C08" w14:textId="77777777" w:rsidR="00001815" w:rsidRPr="00001815" w:rsidRDefault="00001815" w:rsidP="005D49AB">
            <w:pPr>
              <w:pStyle w:val="TableCell"/>
              <w:jc w:val="left"/>
              <w:rPr>
                <w:color w:val="auto"/>
                <w:sz w:val="20"/>
                <w:szCs w:val="20"/>
              </w:rPr>
            </w:pPr>
            <w:r w:rsidRPr="00001815">
              <w:rPr>
                <w:sz w:val="20"/>
                <w:szCs w:val="20"/>
              </w:rPr>
              <w:t xml:space="preserve">[Source: </w:t>
            </w:r>
            <w:hyperlink r:id="rId10" w:history="1">
              <w:r w:rsidRPr="00001815">
                <w:rPr>
                  <w:rStyle w:val="Hyperlink"/>
                  <w:sz w:val="20"/>
                  <w:szCs w:val="20"/>
                </w:rPr>
                <w:t>Subnational governments in OECD countries: key data, 2023 edition</w:t>
              </w:r>
            </w:hyperlink>
            <w:r w:rsidRPr="00001815">
              <w:rPr>
                <w:sz w:val="20"/>
                <w:szCs w:val="20"/>
              </w:rPr>
              <w:t>]</w:t>
            </w:r>
          </w:p>
        </w:tc>
      </w:tr>
      <w:tr w:rsidR="00001815" w:rsidRPr="0030040B" w14:paraId="417E02C5" w14:textId="77777777" w:rsidTr="005D49AB">
        <w:trPr>
          <w:trHeight w:val="238"/>
        </w:trPr>
        <w:tc>
          <w:tcPr>
            <w:tcW w:w="2000" w:type="pct"/>
          </w:tcPr>
          <w:p w14:paraId="62220E40" w14:textId="77777777" w:rsidR="00001815" w:rsidRPr="00001815" w:rsidRDefault="00001815" w:rsidP="005D49AB">
            <w:pPr>
              <w:pStyle w:val="TableRow"/>
              <w:jc w:val="left"/>
              <w:rPr>
                <w:sz w:val="20"/>
              </w:rPr>
            </w:pPr>
            <w:r w:rsidRPr="00001815">
              <w:rPr>
                <w:sz w:val="20"/>
              </w:rPr>
              <w:t>Key regional development challenges</w:t>
            </w:r>
          </w:p>
        </w:tc>
        <w:tc>
          <w:tcPr>
            <w:tcW w:w="3000" w:type="pct"/>
          </w:tcPr>
          <w:p w14:paraId="4F8997A6" w14:textId="77777777" w:rsidR="00001815" w:rsidRPr="00001815" w:rsidRDefault="00001815" w:rsidP="005D49AB">
            <w:pPr>
              <w:pStyle w:val="TableCell"/>
              <w:jc w:val="left"/>
              <w:rPr>
                <w:bCs/>
                <w:sz w:val="20"/>
                <w:szCs w:val="20"/>
              </w:rPr>
            </w:pPr>
            <w:r w:rsidRPr="00001815">
              <w:rPr>
                <w:rFonts w:cs="Arial"/>
                <w:bCs/>
                <w:sz w:val="20"/>
                <w:szCs w:val="20"/>
              </w:rPr>
              <w:t>To reduce regional development disparities</w:t>
            </w:r>
          </w:p>
          <w:p w14:paraId="6C8B9272" w14:textId="77777777" w:rsidR="00001815" w:rsidRPr="00001815" w:rsidRDefault="00001815" w:rsidP="005D49AB">
            <w:pPr>
              <w:pStyle w:val="TableCell"/>
              <w:jc w:val="left"/>
              <w:rPr>
                <w:sz w:val="20"/>
                <w:szCs w:val="20"/>
              </w:rPr>
            </w:pPr>
            <w:r w:rsidRPr="00001815">
              <w:rPr>
                <w:bCs/>
                <w:sz w:val="20"/>
                <w:szCs w:val="20"/>
              </w:rPr>
              <w:t>To strengthen development capacities of regions on the basis of their own development potentials and global opportunities</w:t>
            </w:r>
          </w:p>
        </w:tc>
      </w:tr>
      <w:tr w:rsidR="00001815" w:rsidRPr="0030040B" w14:paraId="65325209" w14:textId="77777777" w:rsidTr="005D49AB">
        <w:trPr>
          <w:trHeight w:val="238"/>
        </w:trPr>
        <w:tc>
          <w:tcPr>
            <w:tcW w:w="2000" w:type="pct"/>
          </w:tcPr>
          <w:p w14:paraId="1A3D1403" w14:textId="77777777" w:rsidR="00001815" w:rsidRPr="00001815" w:rsidRDefault="00001815" w:rsidP="005D49AB">
            <w:pPr>
              <w:pStyle w:val="TableRow"/>
              <w:jc w:val="left"/>
              <w:rPr>
                <w:sz w:val="20"/>
              </w:rPr>
            </w:pPr>
            <w:r w:rsidRPr="00001815">
              <w:rPr>
                <w:sz w:val="20"/>
              </w:rPr>
              <w:t>Objectives of regional policy</w:t>
            </w:r>
          </w:p>
        </w:tc>
        <w:tc>
          <w:tcPr>
            <w:tcW w:w="3000" w:type="pct"/>
          </w:tcPr>
          <w:p w14:paraId="343585C4" w14:textId="77777777" w:rsidR="00001815" w:rsidRPr="00001815" w:rsidRDefault="00001815" w:rsidP="005D49AB">
            <w:pPr>
              <w:pStyle w:val="TableRow"/>
              <w:jc w:val="left"/>
              <w:rPr>
                <w:rFonts w:cs="Arial"/>
                <w:sz w:val="20"/>
              </w:rPr>
            </w:pPr>
            <w:r w:rsidRPr="00001815">
              <w:rPr>
                <w:rFonts w:cs="Arial"/>
                <w:bCs/>
                <w:sz w:val="20"/>
              </w:rPr>
              <w:t>1. To increase the quality of life in all regions through balanced economic, social and environmental development based on the principles of sustainable development</w:t>
            </w:r>
          </w:p>
          <w:p w14:paraId="04597F68" w14:textId="77777777" w:rsidR="00001815" w:rsidRPr="00001815" w:rsidRDefault="00001815" w:rsidP="005D49AB">
            <w:pPr>
              <w:pStyle w:val="TableRow"/>
              <w:jc w:val="left"/>
              <w:rPr>
                <w:rFonts w:cs="Arial"/>
                <w:sz w:val="20"/>
              </w:rPr>
            </w:pPr>
            <w:r w:rsidRPr="00001815">
              <w:rPr>
                <w:rFonts w:cs="Arial"/>
                <w:bCs/>
                <w:sz w:val="20"/>
              </w:rPr>
              <w:t>2. Catching up with European regions</w:t>
            </w:r>
          </w:p>
          <w:p w14:paraId="78796C07" w14:textId="77777777" w:rsidR="00001815" w:rsidRPr="00001815" w:rsidRDefault="00001815" w:rsidP="005D49AB">
            <w:pPr>
              <w:pStyle w:val="TableRow"/>
              <w:jc w:val="left"/>
              <w:rPr>
                <w:sz w:val="20"/>
              </w:rPr>
            </w:pPr>
            <w:r w:rsidRPr="00001815">
              <w:rPr>
                <w:rFonts w:cs="Arial"/>
                <w:bCs/>
                <w:sz w:val="20"/>
              </w:rPr>
              <w:t>3. To realise development potentials and effective use of global opportunities with international territorial cooperation</w:t>
            </w:r>
            <w:r w:rsidRPr="00001815">
              <w:rPr>
                <w:sz w:val="20"/>
              </w:rPr>
              <w:t>.</w:t>
            </w:r>
          </w:p>
        </w:tc>
      </w:tr>
      <w:tr w:rsidR="00001815" w:rsidRPr="0030040B" w14:paraId="6AB7E871" w14:textId="77777777" w:rsidTr="005D49AB">
        <w:trPr>
          <w:trHeight w:val="238"/>
        </w:trPr>
        <w:tc>
          <w:tcPr>
            <w:tcW w:w="2000" w:type="pct"/>
          </w:tcPr>
          <w:p w14:paraId="56820919" w14:textId="77777777" w:rsidR="00001815" w:rsidRPr="00001815" w:rsidRDefault="00001815" w:rsidP="005D49AB">
            <w:pPr>
              <w:pStyle w:val="TableRow"/>
              <w:jc w:val="left"/>
              <w:rPr>
                <w:sz w:val="20"/>
              </w:rPr>
            </w:pPr>
            <w:r w:rsidRPr="00001815">
              <w:rPr>
                <w:sz w:val="20"/>
              </w:rPr>
              <w:t>Legal/institutional framework for regional policy</w:t>
            </w:r>
          </w:p>
        </w:tc>
        <w:tc>
          <w:tcPr>
            <w:tcW w:w="3000" w:type="pct"/>
          </w:tcPr>
          <w:p w14:paraId="55A3D827" w14:textId="77777777" w:rsidR="00001815" w:rsidRPr="00001815" w:rsidRDefault="00001815" w:rsidP="005D49AB">
            <w:pPr>
              <w:pStyle w:val="TableCell"/>
              <w:jc w:val="left"/>
              <w:rPr>
                <w:rFonts w:cs="Arial"/>
                <w:bCs/>
                <w:color w:val="auto"/>
                <w:sz w:val="20"/>
                <w:szCs w:val="20"/>
              </w:rPr>
            </w:pPr>
            <w:r w:rsidRPr="00001815">
              <w:rPr>
                <w:rFonts w:cs="Arial"/>
                <w:bCs/>
                <w:color w:val="auto"/>
                <w:sz w:val="20"/>
                <w:szCs w:val="20"/>
              </w:rPr>
              <w:t>Slovenian development strategy</w:t>
            </w:r>
          </w:p>
          <w:p w14:paraId="09A8225E" w14:textId="77777777" w:rsidR="00001815" w:rsidRPr="00001815" w:rsidRDefault="00001815" w:rsidP="005D49AB">
            <w:pPr>
              <w:pStyle w:val="TableCell"/>
              <w:jc w:val="left"/>
              <w:rPr>
                <w:rFonts w:cs="Arial"/>
                <w:color w:val="auto"/>
                <w:sz w:val="20"/>
                <w:szCs w:val="20"/>
              </w:rPr>
            </w:pPr>
            <w:r w:rsidRPr="00001815">
              <w:rPr>
                <w:rFonts w:cs="Arial"/>
                <w:color w:val="auto"/>
                <w:sz w:val="20"/>
                <w:szCs w:val="20"/>
              </w:rPr>
              <w:t>Spatial development strategy of Slovenia</w:t>
            </w:r>
          </w:p>
          <w:p w14:paraId="123B2D98" w14:textId="77777777" w:rsidR="00001815" w:rsidRPr="00001815" w:rsidRDefault="00001815" w:rsidP="005D49AB">
            <w:pPr>
              <w:pStyle w:val="TableCell"/>
              <w:jc w:val="left"/>
              <w:rPr>
                <w:rFonts w:cs="Arial"/>
                <w:bCs/>
                <w:color w:val="auto"/>
                <w:sz w:val="20"/>
                <w:szCs w:val="20"/>
              </w:rPr>
            </w:pPr>
            <w:r w:rsidRPr="00001815">
              <w:rPr>
                <w:rFonts w:cs="Arial"/>
                <w:bCs/>
                <w:color w:val="auto"/>
                <w:sz w:val="20"/>
                <w:szCs w:val="20"/>
              </w:rPr>
              <w:t>Promotion of balanced regional development act</w:t>
            </w:r>
          </w:p>
          <w:p w14:paraId="0350D19A" w14:textId="77777777" w:rsidR="00001815" w:rsidRPr="00001815" w:rsidRDefault="00001815" w:rsidP="005D49AB">
            <w:pPr>
              <w:pStyle w:val="TableCell"/>
              <w:jc w:val="left"/>
              <w:rPr>
                <w:rFonts w:cs="Arial"/>
                <w:color w:val="auto"/>
                <w:sz w:val="20"/>
                <w:szCs w:val="20"/>
              </w:rPr>
            </w:pPr>
            <w:r w:rsidRPr="00001815">
              <w:rPr>
                <w:rFonts w:cs="Arial"/>
                <w:color w:val="auto"/>
                <w:sz w:val="20"/>
                <w:szCs w:val="20"/>
                <w:shd w:val="clear" w:color="auto" w:fill="FFFFFF"/>
              </w:rPr>
              <w:t>Decree on the development council of cohesion region</w:t>
            </w:r>
          </w:p>
          <w:p w14:paraId="4E85A8F5" w14:textId="77777777" w:rsidR="00001815" w:rsidRPr="00001815" w:rsidRDefault="00001815" w:rsidP="005D49AB">
            <w:pPr>
              <w:pStyle w:val="TableCell"/>
              <w:jc w:val="left"/>
              <w:rPr>
                <w:rFonts w:cs="Arial"/>
                <w:color w:val="auto"/>
                <w:sz w:val="20"/>
                <w:szCs w:val="20"/>
                <w:shd w:val="clear" w:color="auto" w:fill="FFFFFF"/>
              </w:rPr>
            </w:pPr>
            <w:r w:rsidRPr="00001815">
              <w:rPr>
                <w:rFonts w:cs="Arial"/>
                <w:color w:val="auto"/>
                <w:sz w:val="20"/>
                <w:szCs w:val="20"/>
                <w:shd w:val="clear" w:color="auto" w:fill="FFFFFF"/>
              </w:rPr>
              <w:t>Decree on the implementation of endogenous regional policy measures</w:t>
            </w:r>
          </w:p>
          <w:p w14:paraId="78AF98B1" w14:textId="77777777" w:rsidR="00001815" w:rsidRPr="00001815" w:rsidRDefault="00001815" w:rsidP="005D49AB">
            <w:pPr>
              <w:pStyle w:val="TableCell"/>
              <w:jc w:val="left"/>
              <w:rPr>
                <w:rFonts w:cs="Arial"/>
                <w:color w:val="auto"/>
                <w:sz w:val="20"/>
                <w:szCs w:val="20"/>
                <w:shd w:val="clear" w:color="auto" w:fill="FFFFFF"/>
              </w:rPr>
            </w:pPr>
            <w:r w:rsidRPr="00001815">
              <w:rPr>
                <w:rFonts w:cs="Arial"/>
                <w:color w:val="auto"/>
                <w:sz w:val="20"/>
                <w:szCs w:val="20"/>
                <w:shd w:val="clear" w:color="auto" w:fill="FFFFFF"/>
              </w:rPr>
              <w:t>Decree on regional development programs</w:t>
            </w:r>
          </w:p>
          <w:p w14:paraId="0381BF68" w14:textId="77777777" w:rsidR="00001815" w:rsidRPr="00001815" w:rsidRDefault="00001815" w:rsidP="005D49AB">
            <w:pPr>
              <w:pStyle w:val="TableCell"/>
              <w:jc w:val="left"/>
              <w:rPr>
                <w:color w:val="auto"/>
                <w:sz w:val="20"/>
                <w:szCs w:val="20"/>
              </w:rPr>
            </w:pPr>
            <w:r w:rsidRPr="00001815">
              <w:rPr>
                <w:rFonts w:cs="Arial"/>
                <w:color w:val="auto"/>
                <w:sz w:val="20"/>
                <w:szCs w:val="20"/>
                <w:shd w:val="clear" w:color="auto" w:fill="FFFFFF"/>
              </w:rPr>
              <w:t xml:space="preserve">Decree determining problem border areas </w:t>
            </w:r>
          </w:p>
          <w:p w14:paraId="2398AB0F" w14:textId="77777777" w:rsidR="00001815" w:rsidRPr="00001815" w:rsidRDefault="00001815" w:rsidP="005D49AB">
            <w:pPr>
              <w:pStyle w:val="TableCell"/>
              <w:jc w:val="left"/>
              <w:rPr>
                <w:rFonts w:cs="Arial"/>
                <w:color w:val="auto"/>
                <w:sz w:val="20"/>
                <w:szCs w:val="20"/>
              </w:rPr>
            </w:pPr>
            <w:r w:rsidRPr="00001815">
              <w:rPr>
                <w:rFonts w:cs="Arial"/>
                <w:color w:val="auto"/>
                <w:sz w:val="20"/>
                <w:szCs w:val="20"/>
                <w:shd w:val="clear" w:color="auto" w:fill="FFFFFF"/>
              </w:rPr>
              <w:t>Decree on the regional aid map for 2022-2027</w:t>
            </w:r>
          </w:p>
          <w:p w14:paraId="32E733B8" w14:textId="77777777" w:rsidR="00001815" w:rsidRPr="00001815" w:rsidRDefault="00001815" w:rsidP="005D49AB">
            <w:pPr>
              <w:pStyle w:val="TableCell"/>
              <w:jc w:val="left"/>
              <w:rPr>
                <w:sz w:val="20"/>
                <w:szCs w:val="20"/>
              </w:rPr>
            </w:pPr>
            <w:r w:rsidRPr="00001815">
              <w:rPr>
                <w:rFonts w:cs="Arial"/>
                <w:color w:val="auto"/>
                <w:sz w:val="20"/>
                <w:szCs w:val="20"/>
                <w:shd w:val="clear" w:color="auto" w:fill="FFFFFF"/>
              </w:rPr>
              <w:t>Rules on regional development agencies</w:t>
            </w:r>
            <w:r w:rsidRPr="00001815">
              <w:rPr>
                <w:rFonts w:cs="Arial"/>
                <w:color w:val="auto"/>
                <w:sz w:val="20"/>
                <w:szCs w:val="20"/>
              </w:rPr>
              <w:t xml:space="preserve"> </w:t>
            </w:r>
          </w:p>
        </w:tc>
      </w:tr>
      <w:tr w:rsidR="00001815" w:rsidRPr="0030040B" w14:paraId="40ABB79A" w14:textId="77777777" w:rsidTr="005D49AB">
        <w:trPr>
          <w:trHeight w:val="238"/>
        </w:trPr>
        <w:tc>
          <w:tcPr>
            <w:tcW w:w="2000" w:type="pct"/>
          </w:tcPr>
          <w:p w14:paraId="2C5D25A5" w14:textId="77777777" w:rsidR="00001815" w:rsidRPr="00001815" w:rsidRDefault="00001815" w:rsidP="005D49AB">
            <w:pPr>
              <w:pStyle w:val="TableRow"/>
              <w:rPr>
                <w:sz w:val="20"/>
              </w:rPr>
            </w:pPr>
            <w:r w:rsidRPr="00001815">
              <w:rPr>
                <w:sz w:val="20"/>
              </w:rPr>
              <w:t>Budget allocated to regional development (i.e., amount) and fiscal equalisation mechanisms between jurisdictions (if any)</w:t>
            </w:r>
          </w:p>
        </w:tc>
        <w:tc>
          <w:tcPr>
            <w:tcW w:w="3000" w:type="pct"/>
          </w:tcPr>
          <w:p w14:paraId="0C7A08AE" w14:textId="77777777" w:rsidR="00001815" w:rsidRPr="00001815" w:rsidRDefault="00001815" w:rsidP="005D49AB">
            <w:pPr>
              <w:pStyle w:val="TableCell"/>
              <w:jc w:val="left"/>
              <w:rPr>
                <w:sz w:val="20"/>
                <w:szCs w:val="20"/>
              </w:rPr>
            </w:pPr>
            <w:r w:rsidRPr="00001815">
              <w:rPr>
                <w:rFonts w:cs="Arial"/>
                <w:sz w:val="20"/>
                <w:szCs w:val="20"/>
              </w:rPr>
              <w:t xml:space="preserve">Regional Development Agreements as the major regional development instrument for 7 years programming period amounted to 439 </w:t>
            </w:r>
            <w:proofErr w:type="spellStart"/>
            <w:r w:rsidRPr="00001815">
              <w:rPr>
                <w:rFonts w:cs="Arial"/>
                <w:sz w:val="20"/>
                <w:szCs w:val="20"/>
              </w:rPr>
              <w:t>mio</w:t>
            </w:r>
            <w:proofErr w:type="spellEnd"/>
            <w:r w:rsidRPr="00001815">
              <w:rPr>
                <w:rFonts w:cs="Arial"/>
                <w:sz w:val="20"/>
                <w:szCs w:val="20"/>
              </w:rPr>
              <w:t xml:space="preserve"> EUR (2014-2020). Beside this, several sectoral program measures are being implemented and influencing regional development.</w:t>
            </w:r>
          </w:p>
        </w:tc>
      </w:tr>
      <w:tr w:rsidR="00001815" w:rsidRPr="0030040B" w14:paraId="7D8A6D2A" w14:textId="77777777" w:rsidTr="005D49AB">
        <w:trPr>
          <w:trHeight w:val="238"/>
        </w:trPr>
        <w:tc>
          <w:tcPr>
            <w:tcW w:w="2000" w:type="pct"/>
          </w:tcPr>
          <w:p w14:paraId="16AF7839" w14:textId="77777777" w:rsidR="00001815" w:rsidRPr="00001815" w:rsidRDefault="00001815" w:rsidP="005D49AB">
            <w:pPr>
              <w:pStyle w:val="TableRow"/>
              <w:rPr>
                <w:sz w:val="20"/>
              </w:rPr>
            </w:pPr>
            <w:r w:rsidRPr="00001815">
              <w:rPr>
                <w:sz w:val="20"/>
              </w:rPr>
              <w:t>National regional development policy framework</w:t>
            </w:r>
          </w:p>
        </w:tc>
        <w:tc>
          <w:tcPr>
            <w:tcW w:w="3000" w:type="pct"/>
          </w:tcPr>
          <w:p w14:paraId="64A3DE0C" w14:textId="77777777" w:rsidR="00001815" w:rsidRPr="00001815" w:rsidRDefault="00001815" w:rsidP="005D49AB">
            <w:pPr>
              <w:pStyle w:val="TableCell"/>
              <w:jc w:val="left"/>
              <w:rPr>
                <w:rFonts w:cs="Arial"/>
                <w:bCs/>
                <w:sz w:val="20"/>
                <w:szCs w:val="20"/>
              </w:rPr>
            </w:pPr>
            <w:r w:rsidRPr="00001815">
              <w:rPr>
                <w:rFonts w:cs="Arial"/>
                <w:bCs/>
                <w:sz w:val="20"/>
                <w:szCs w:val="20"/>
              </w:rPr>
              <w:t>Measures defined in the Promotion of balanced regional development act</w:t>
            </w:r>
          </w:p>
        </w:tc>
      </w:tr>
      <w:tr w:rsidR="00001815" w:rsidRPr="0030040B" w14:paraId="32A1298E" w14:textId="77777777" w:rsidTr="005D49AB">
        <w:trPr>
          <w:trHeight w:val="238"/>
        </w:trPr>
        <w:tc>
          <w:tcPr>
            <w:tcW w:w="2000" w:type="pct"/>
          </w:tcPr>
          <w:p w14:paraId="428AD94C" w14:textId="77777777" w:rsidR="00001815" w:rsidRPr="00001815" w:rsidRDefault="00001815" w:rsidP="005D49AB">
            <w:pPr>
              <w:pStyle w:val="TableRow"/>
              <w:jc w:val="left"/>
              <w:rPr>
                <w:sz w:val="20"/>
              </w:rPr>
            </w:pPr>
            <w:r w:rsidRPr="00001815">
              <w:rPr>
                <w:sz w:val="20"/>
              </w:rPr>
              <w:t>Urban policy framework</w:t>
            </w:r>
          </w:p>
        </w:tc>
        <w:tc>
          <w:tcPr>
            <w:tcW w:w="3000" w:type="pct"/>
          </w:tcPr>
          <w:p w14:paraId="63BF07F5" w14:textId="77777777" w:rsidR="00001815" w:rsidRPr="00001815" w:rsidRDefault="00001815" w:rsidP="005D49AB">
            <w:pPr>
              <w:pStyle w:val="TableCell"/>
              <w:jc w:val="left"/>
              <w:rPr>
                <w:sz w:val="20"/>
                <w:szCs w:val="20"/>
              </w:rPr>
            </w:pPr>
            <w:r w:rsidRPr="00001815">
              <w:rPr>
                <w:sz w:val="20"/>
                <w:szCs w:val="20"/>
              </w:rPr>
              <w:t>Urban development strategies for 12 Urban municipalities, led by the Ministry responsible for Spatial Development</w:t>
            </w:r>
          </w:p>
        </w:tc>
      </w:tr>
      <w:tr w:rsidR="00001815" w:rsidRPr="0030040B" w14:paraId="1FA8DBED" w14:textId="77777777" w:rsidTr="005D49AB">
        <w:trPr>
          <w:trHeight w:val="238"/>
        </w:trPr>
        <w:tc>
          <w:tcPr>
            <w:tcW w:w="2000" w:type="pct"/>
          </w:tcPr>
          <w:p w14:paraId="6BC40779" w14:textId="77777777" w:rsidR="00001815" w:rsidRPr="00001815" w:rsidRDefault="00001815" w:rsidP="005D49AB">
            <w:pPr>
              <w:pStyle w:val="TableRow"/>
              <w:jc w:val="left"/>
              <w:rPr>
                <w:sz w:val="20"/>
              </w:rPr>
            </w:pPr>
            <w:r w:rsidRPr="00001815">
              <w:rPr>
                <w:sz w:val="20"/>
              </w:rPr>
              <w:t>Rural policy framework</w:t>
            </w:r>
          </w:p>
        </w:tc>
        <w:tc>
          <w:tcPr>
            <w:tcW w:w="3000" w:type="pct"/>
          </w:tcPr>
          <w:p w14:paraId="5A5F9375" w14:textId="77777777" w:rsidR="00001815" w:rsidRPr="00001815" w:rsidRDefault="00001815" w:rsidP="005D49AB">
            <w:pPr>
              <w:pStyle w:val="TableCell"/>
              <w:jc w:val="left"/>
              <w:rPr>
                <w:sz w:val="20"/>
                <w:szCs w:val="20"/>
              </w:rPr>
            </w:pPr>
            <w:r w:rsidRPr="00001815">
              <w:rPr>
                <w:rFonts w:cs="Arial"/>
                <w:sz w:val="20"/>
                <w:szCs w:val="20"/>
              </w:rPr>
              <w:t>Rural development programme, led by the Ministry responsible for agriculture</w:t>
            </w:r>
          </w:p>
        </w:tc>
      </w:tr>
      <w:tr w:rsidR="00001815" w:rsidRPr="00AE1682" w14:paraId="3A7F2EFE" w14:textId="77777777" w:rsidTr="005D49AB">
        <w:trPr>
          <w:trHeight w:val="238"/>
        </w:trPr>
        <w:tc>
          <w:tcPr>
            <w:tcW w:w="2000" w:type="pct"/>
          </w:tcPr>
          <w:p w14:paraId="2C09E692" w14:textId="77777777" w:rsidR="00001815" w:rsidRPr="00001815" w:rsidRDefault="00001815" w:rsidP="005D49AB">
            <w:pPr>
              <w:pStyle w:val="TableRow"/>
              <w:jc w:val="left"/>
              <w:rPr>
                <w:sz w:val="20"/>
              </w:rPr>
            </w:pPr>
            <w:r w:rsidRPr="00001815">
              <w:rPr>
                <w:sz w:val="20"/>
              </w:rPr>
              <w:t>Major regional policy tools (e.g., funds, plans, policy initiatives, institutional agreements, etc.)</w:t>
            </w:r>
          </w:p>
        </w:tc>
        <w:tc>
          <w:tcPr>
            <w:tcW w:w="3000" w:type="pct"/>
          </w:tcPr>
          <w:p w14:paraId="12DF2FDB" w14:textId="77777777" w:rsidR="00001815" w:rsidRPr="00001815" w:rsidRDefault="00001815" w:rsidP="005D49AB">
            <w:pPr>
              <w:pStyle w:val="TableRow"/>
              <w:rPr>
                <w:rFonts w:cs="Arial"/>
                <w:bCs/>
                <w:color w:val="auto"/>
                <w:sz w:val="20"/>
              </w:rPr>
            </w:pPr>
            <w:r w:rsidRPr="00001815">
              <w:rPr>
                <w:rFonts w:cs="Arial"/>
                <w:bCs/>
                <w:color w:val="auto"/>
                <w:sz w:val="20"/>
              </w:rPr>
              <w:t>2 Development Councils of both Cohesion Regions (NUTS 2)</w:t>
            </w:r>
          </w:p>
          <w:p w14:paraId="173B9C9C" w14:textId="77777777" w:rsidR="00001815" w:rsidRPr="00001815" w:rsidRDefault="00001815" w:rsidP="005D49AB">
            <w:pPr>
              <w:pStyle w:val="TableRow"/>
              <w:rPr>
                <w:rFonts w:cs="Arial"/>
                <w:bCs/>
                <w:color w:val="auto"/>
                <w:sz w:val="20"/>
              </w:rPr>
            </w:pPr>
            <w:r w:rsidRPr="00001815">
              <w:rPr>
                <w:rFonts w:cs="Arial"/>
                <w:bCs/>
                <w:color w:val="auto"/>
                <w:sz w:val="20"/>
              </w:rPr>
              <w:t>12 Regional Development Councils (tripartite structure) (NUTS 3)</w:t>
            </w:r>
          </w:p>
          <w:p w14:paraId="64F3BB0D" w14:textId="77777777" w:rsidR="00001815" w:rsidRPr="00001815" w:rsidRDefault="00001815" w:rsidP="005D49AB">
            <w:pPr>
              <w:pStyle w:val="TableRow"/>
              <w:rPr>
                <w:rFonts w:cs="Arial"/>
                <w:color w:val="auto"/>
                <w:sz w:val="20"/>
              </w:rPr>
            </w:pPr>
            <w:r w:rsidRPr="00001815">
              <w:rPr>
                <w:rFonts w:cs="Arial"/>
                <w:bCs/>
                <w:color w:val="auto"/>
                <w:sz w:val="20"/>
              </w:rPr>
              <w:t>12 Regional Councils (majors) (NUTS 3)</w:t>
            </w:r>
          </w:p>
          <w:p w14:paraId="755BCC45" w14:textId="77777777" w:rsidR="00001815" w:rsidRPr="00001815" w:rsidRDefault="00001815" w:rsidP="005D49AB">
            <w:pPr>
              <w:pStyle w:val="TableCell"/>
              <w:jc w:val="left"/>
              <w:rPr>
                <w:rFonts w:cs="Arial"/>
                <w:color w:val="auto"/>
                <w:sz w:val="20"/>
                <w:szCs w:val="20"/>
              </w:rPr>
            </w:pPr>
            <w:r w:rsidRPr="00001815">
              <w:rPr>
                <w:rFonts w:cs="Arial"/>
                <w:color w:val="auto"/>
                <w:sz w:val="20"/>
                <w:szCs w:val="20"/>
              </w:rPr>
              <w:t xml:space="preserve">Slovene regional development public fund, </w:t>
            </w:r>
            <w:proofErr w:type="spellStart"/>
            <w:r w:rsidRPr="00001815">
              <w:rPr>
                <w:rFonts w:cs="Arial"/>
                <w:color w:val="auto"/>
                <w:sz w:val="20"/>
                <w:szCs w:val="20"/>
              </w:rPr>
              <w:t>Ribnica</w:t>
            </w:r>
            <w:proofErr w:type="spellEnd"/>
          </w:p>
          <w:p w14:paraId="5DB85825" w14:textId="77777777" w:rsidR="00001815" w:rsidRPr="00001815" w:rsidRDefault="00001815" w:rsidP="005D49AB">
            <w:pPr>
              <w:pStyle w:val="TableCell"/>
              <w:jc w:val="left"/>
              <w:rPr>
                <w:rFonts w:cs="Arial"/>
                <w:color w:val="auto"/>
                <w:sz w:val="20"/>
                <w:szCs w:val="20"/>
              </w:rPr>
            </w:pPr>
            <w:r w:rsidRPr="00001815">
              <w:rPr>
                <w:rFonts w:cs="Arial"/>
                <w:color w:val="auto"/>
                <w:sz w:val="20"/>
                <w:szCs w:val="20"/>
              </w:rPr>
              <w:t>Slovene entrepreneurship Public Fund, Maribor</w:t>
            </w:r>
          </w:p>
          <w:p w14:paraId="041A5EA2" w14:textId="77777777" w:rsidR="00001815" w:rsidRPr="00001815" w:rsidRDefault="00001815" w:rsidP="005D49AB">
            <w:pPr>
              <w:pStyle w:val="TableCell"/>
              <w:jc w:val="left"/>
              <w:rPr>
                <w:rFonts w:cs="Arial"/>
                <w:bCs/>
                <w:sz w:val="20"/>
                <w:szCs w:val="20"/>
              </w:rPr>
            </w:pPr>
            <w:r w:rsidRPr="00001815">
              <w:rPr>
                <w:rFonts w:cs="Arial"/>
                <w:bCs/>
                <w:sz w:val="20"/>
                <w:szCs w:val="20"/>
              </w:rPr>
              <w:t>Baseline for development strategy for eastern cohesion region</w:t>
            </w:r>
          </w:p>
          <w:p w14:paraId="02AD2281" w14:textId="77777777" w:rsidR="00001815" w:rsidRPr="00001815" w:rsidRDefault="00001815" w:rsidP="005D49AB">
            <w:pPr>
              <w:pStyle w:val="TableCell"/>
              <w:jc w:val="left"/>
              <w:rPr>
                <w:rFonts w:cs="Arial"/>
                <w:bCs/>
                <w:sz w:val="20"/>
                <w:szCs w:val="20"/>
              </w:rPr>
            </w:pPr>
            <w:r w:rsidRPr="00001815">
              <w:rPr>
                <w:rFonts w:cs="Arial"/>
                <w:bCs/>
                <w:sz w:val="20"/>
                <w:szCs w:val="20"/>
              </w:rPr>
              <w:t>Baseline for development strategy for western cohesion region</w:t>
            </w:r>
          </w:p>
          <w:p w14:paraId="47116470" w14:textId="77777777" w:rsidR="00001815" w:rsidRPr="00001815" w:rsidRDefault="00001815" w:rsidP="005D49AB">
            <w:pPr>
              <w:pStyle w:val="TableCell"/>
              <w:jc w:val="left"/>
              <w:rPr>
                <w:rFonts w:cs="Arial"/>
                <w:color w:val="auto"/>
                <w:sz w:val="20"/>
                <w:szCs w:val="20"/>
              </w:rPr>
            </w:pPr>
            <w:r w:rsidRPr="00001815">
              <w:rPr>
                <w:rFonts w:cs="Arial"/>
                <w:color w:val="auto"/>
                <w:sz w:val="20"/>
                <w:szCs w:val="20"/>
              </w:rPr>
              <w:t>Regional Development Programmes for 12 regions</w:t>
            </w:r>
          </w:p>
          <w:p w14:paraId="0146F1AA" w14:textId="77777777" w:rsidR="00001815" w:rsidRPr="00001815" w:rsidRDefault="00001815" w:rsidP="005D49AB">
            <w:pPr>
              <w:pStyle w:val="TableCell"/>
              <w:jc w:val="left"/>
              <w:rPr>
                <w:color w:val="auto"/>
                <w:sz w:val="20"/>
                <w:szCs w:val="20"/>
              </w:rPr>
            </w:pPr>
            <w:r w:rsidRPr="00001815">
              <w:rPr>
                <w:color w:val="auto"/>
                <w:sz w:val="20"/>
                <w:szCs w:val="20"/>
              </w:rPr>
              <w:t>Governmental Programme for Border areas with specific features</w:t>
            </w:r>
          </w:p>
          <w:p w14:paraId="19B1AA20" w14:textId="77777777" w:rsidR="00001815" w:rsidRPr="00001815" w:rsidRDefault="00001815" w:rsidP="005D49AB">
            <w:pPr>
              <w:pStyle w:val="TableCell"/>
              <w:jc w:val="left"/>
              <w:rPr>
                <w:rFonts w:cs="Arial"/>
                <w:bCs/>
                <w:color w:val="auto"/>
                <w:sz w:val="20"/>
                <w:szCs w:val="20"/>
              </w:rPr>
            </w:pPr>
            <w:r w:rsidRPr="00001815">
              <w:rPr>
                <w:rFonts w:cs="Arial"/>
                <w:bCs/>
                <w:color w:val="auto"/>
                <w:sz w:val="20"/>
                <w:szCs w:val="20"/>
              </w:rPr>
              <w:t>Regional Development Agreements</w:t>
            </w:r>
          </w:p>
          <w:p w14:paraId="4FD85D46" w14:textId="77777777" w:rsidR="00001815" w:rsidRPr="00001815" w:rsidRDefault="00001815" w:rsidP="005D49AB">
            <w:pPr>
              <w:pStyle w:val="TableCell"/>
              <w:jc w:val="left"/>
              <w:rPr>
                <w:color w:val="auto"/>
                <w:sz w:val="20"/>
                <w:szCs w:val="20"/>
              </w:rPr>
            </w:pPr>
          </w:p>
        </w:tc>
      </w:tr>
      <w:tr w:rsidR="00001815" w:rsidRPr="0030040B" w14:paraId="000891F1" w14:textId="77777777" w:rsidTr="005D49AB">
        <w:trPr>
          <w:trHeight w:val="238"/>
        </w:trPr>
        <w:tc>
          <w:tcPr>
            <w:tcW w:w="2000" w:type="pct"/>
          </w:tcPr>
          <w:p w14:paraId="3C3A9F4A" w14:textId="77777777" w:rsidR="00001815" w:rsidRPr="00001815" w:rsidRDefault="00001815" w:rsidP="005D49AB">
            <w:pPr>
              <w:pStyle w:val="TableRow"/>
              <w:jc w:val="left"/>
              <w:rPr>
                <w:sz w:val="20"/>
              </w:rPr>
            </w:pPr>
            <w:r w:rsidRPr="00001815">
              <w:rPr>
                <w:sz w:val="20"/>
              </w:rPr>
              <w:t xml:space="preserve">Policy co-ordination tools at national level </w:t>
            </w:r>
          </w:p>
        </w:tc>
        <w:tc>
          <w:tcPr>
            <w:tcW w:w="3000" w:type="pct"/>
          </w:tcPr>
          <w:p w14:paraId="2FFDABA2" w14:textId="77777777" w:rsidR="00001815" w:rsidRPr="00001815" w:rsidRDefault="00001815" w:rsidP="005D49AB">
            <w:pPr>
              <w:pStyle w:val="TableCell"/>
              <w:jc w:val="left"/>
              <w:rPr>
                <w:sz w:val="20"/>
                <w:szCs w:val="20"/>
              </w:rPr>
            </w:pPr>
            <w:r w:rsidRPr="00001815">
              <w:rPr>
                <w:sz w:val="20"/>
                <w:szCs w:val="20"/>
              </w:rPr>
              <w:t>Ministry of Cohesion and Regional Development as Managing Authority for EU Cohesion Funds</w:t>
            </w:r>
          </w:p>
          <w:p w14:paraId="31AE1FD9" w14:textId="77777777" w:rsidR="00001815" w:rsidRPr="00001815" w:rsidRDefault="00001815" w:rsidP="005D49AB">
            <w:pPr>
              <w:pStyle w:val="TableRow"/>
              <w:rPr>
                <w:sz w:val="20"/>
              </w:rPr>
            </w:pPr>
            <w:r w:rsidRPr="00001815">
              <w:rPr>
                <w:rFonts w:cs="Arial"/>
                <w:bCs/>
                <w:sz w:val="20"/>
              </w:rPr>
              <w:t>Territorial and Sectoral Development Dialogue within process Regional Development Agreements</w:t>
            </w:r>
          </w:p>
        </w:tc>
      </w:tr>
      <w:tr w:rsidR="00001815" w:rsidRPr="0030040B" w14:paraId="5E06FD17" w14:textId="77777777" w:rsidTr="005D49AB">
        <w:trPr>
          <w:trHeight w:val="238"/>
        </w:trPr>
        <w:tc>
          <w:tcPr>
            <w:tcW w:w="2000" w:type="pct"/>
          </w:tcPr>
          <w:p w14:paraId="63D37050" w14:textId="77777777" w:rsidR="00001815" w:rsidRPr="00001815" w:rsidRDefault="00001815" w:rsidP="005D49AB">
            <w:pPr>
              <w:pStyle w:val="TableRow"/>
              <w:jc w:val="left"/>
              <w:rPr>
                <w:sz w:val="20"/>
              </w:rPr>
            </w:pPr>
            <w:r w:rsidRPr="00001815">
              <w:rPr>
                <w:sz w:val="20"/>
              </w:rPr>
              <w:t>Multi-level governance mechanisms between national and subnational levels (e.g., institutional agreements, Committees, etc.)</w:t>
            </w:r>
          </w:p>
        </w:tc>
        <w:tc>
          <w:tcPr>
            <w:tcW w:w="3000" w:type="pct"/>
          </w:tcPr>
          <w:p w14:paraId="41889BE2" w14:textId="77777777" w:rsidR="00001815" w:rsidRPr="00001815" w:rsidRDefault="00001815" w:rsidP="005D49AB">
            <w:pPr>
              <w:pStyle w:val="TableRow"/>
              <w:rPr>
                <w:rFonts w:cs="Arial"/>
                <w:bCs/>
                <w:sz w:val="20"/>
              </w:rPr>
            </w:pPr>
            <w:r w:rsidRPr="00001815">
              <w:rPr>
                <w:rFonts w:cs="Arial"/>
                <w:bCs/>
                <w:sz w:val="20"/>
              </w:rPr>
              <w:t xml:space="preserve">12 Regional Development Agreements between regions and Ministry responsible for regional development </w:t>
            </w:r>
          </w:p>
          <w:p w14:paraId="30D10704" w14:textId="77777777" w:rsidR="00001815" w:rsidRPr="00001815" w:rsidRDefault="00001815" w:rsidP="005D49AB">
            <w:pPr>
              <w:pStyle w:val="TableRow"/>
              <w:rPr>
                <w:sz w:val="20"/>
              </w:rPr>
            </w:pPr>
          </w:p>
        </w:tc>
      </w:tr>
      <w:tr w:rsidR="00001815" w:rsidRPr="0030040B" w14:paraId="0A06C7D3" w14:textId="77777777" w:rsidTr="005D49AB">
        <w:trPr>
          <w:trHeight w:val="238"/>
        </w:trPr>
        <w:tc>
          <w:tcPr>
            <w:tcW w:w="2000" w:type="pct"/>
          </w:tcPr>
          <w:p w14:paraId="4D2856FD" w14:textId="77777777" w:rsidR="00001815" w:rsidRPr="00001815" w:rsidRDefault="00001815" w:rsidP="005D49AB">
            <w:pPr>
              <w:pStyle w:val="TableRow"/>
              <w:jc w:val="left"/>
              <w:rPr>
                <w:sz w:val="20"/>
              </w:rPr>
            </w:pPr>
            <w:r w:rsidRPr="00001815">
              <w:rPr>
                <w:sz w:val="20"/>
              </w:rPr>
              <w:lastRenderedPageBreak/>
              <w:t xml:space="preserve">Policy co-ordination tools at regional level </w:t>
            </w:r>
          </w:p>
        </w:tc>
        <w:tc>
          <w:tcPr>
            <w:tcW w:w="3000" w:type="pct"/>
          </w:tcPr>
          <w:p w14:paraId="1F9DF683" w14:textId="77777777" w:rsidR="00001815" w:rsidRPr="00001815" w:rsidRDefault="00001815" w:rsidP="005D49AB">
            <w:pPr>
              <w:pStyle w:val="TableRow"/>
              <w:rPr>
                <w:sz w:val="20"/>
              </w:rPr>
            </w:pPr>
            <w:r w:rsidRPr="00001815">
              <w:rPr>
                <w:rFonts w:cs="Arial"/>
                <w:bCs/>
                <w:sz w:val="20"/>
              </w:rPr>
              <w:t>Territorial Development Dialogue within the process of preparing of Regional Development Agreements</w:t>
            </w:r>
          </w:p>
        </w:tc>
      </w:tr>
      <w:tr w:rsidR="00001815" w:rsidRPr="0030040B" w14:paraId="30815FCA" w14:textId="77777777" w:rsidTr="005D49AB">
        <w:trPr>
          <w:trHeight w:val="238"/>
        </w:trPr>
        <w:tc>
          <w:tcPr>
            <w:tcW w:w="2000" w:type="pct"/>
          </w:tcPr>
          <w:p w14:paraId="412CA106" w14:textId="77777777" w:rsidR="00001815" w:rsidRPr="00001815" w:rsidRDefault="00001815" w:rsidP="005D49AB">
            <w:pPr>
              <w:pStyle w:val="TableRow"/>
              <w:jc w:val="left"/>
              <w:rPr>
                <w:sz w:val="20"/>
              </w:rPr>
            </w:pPr>
            <w:r w:rsidRPr="00001815">
              <w:rPr>
                <w:sz w:val="20"/>
              </w:rPr>
              <w:t>Evaluation and monitoring tools</w:t>
            </w:r>
          </w:p>
        </w:tc>
        <w:tc>
          <w:tcPr>
            <w:tcW w:w="3000" w:type="pct"/>
          </w:tcPr>
          <w:p w14:paraId="682A45EF" w14:textId="77777777" w:rsidR="00001815" w:rsidRPr="00001815" w:rsidRDefault="00001815" w:rsidP="005D49AB">
            <w:pPr>
              <w:pStyle w:val="TableCell"/>
              <w:jc w:val="left"/>
              <w:rPr>
                <w:rFonts w:cs="Arial"/>
                <w:sz w:val="20"/>
                <w:szCs w:val="20"/>
              </w:rPr>
            </w:pPr>
            <w:r w:rsidRPr="00001815">
              <w:rPr>
                <w:rFonts w:cs="Arial"/>
                <w:sz w:val="20"/>
                <w:szCs w:val="20"/>
              </w:rPr>
              <w:t>Yearly Reports from 12 Regional Development Agencies on implementation of general regional development responsibilities</w:t>
            </w:r>
          </w:p>
          <w:p w14:paraId="38C9CB19" w14:textId="77777777" w:rsidR="00001815" w:rsidRPr="00001815" w:rsidRDefault="00001815" w:rsidP="005D49AB">
            <w:pPr>
              <w:pStyle w:val="TableCell"/>
              <w:jc w:val="left"/>
              <w:rPr>
                <w:rFonts w:cs="Arial"/>
                <w:sz w:val="20"/>
                <w:szCs w:val="20"/>
              </w:rPr>
            </w:pPr>
            <w:r w:rsidRPr="00001815">
              <w:rPr>
                <w:rFonts w:cs="Arial"/>
                <w:sz w:val="20"/>
                <w:szCs w:val="20"/>
              </w:rPr>
              <w:t xml:space="preserve">Regular Evaluation Programmes </w:t>
            </w:r>
          </w:p>
        </w:tc>
      </w:tr>
      <w:tr w:rsidR="00001815" w:rsidRPr="0030040B" w14:paraId="373538A7" w14:textId="77777777" w:rsidTr="005D49AB">
        <w:trPr>
          <w:trHeight w:val="238"/>
        </w:trPr>
        <w:tc>
          <w:tcPr>
            <w:tcW w:w="2000" w:type="pct"/>
          </w:tcPr>
          <w:p w14:paraId="6E449CD3" w14:textId="77777777" w:rsidR="00001815" w:rsidRPr="00001815" w:rsidRDefault="00001815" w:rsidP="005D49AB">
            <w:pPr>
              <w:pStyle w:val="TableRow"/>
              <w:jc w:val="left"/>
              <w:rPr>
                <w:sz w:val="20"/>
              </w:rPr>
            </w:pPr>
            <w:r w:rsidRPr="00001815">
              <w:rPr>
                <w:sz w:val="20"/>
              </w:rPr>
              <w:t>Future orientations of regional policy</w:t>
            </w:r>
          </w:p>
        </w:tc>
        <w:tc>
          <w:tcPr>
            <w:tcW w:w="3000" w:type="pct"/>
          </w:tcPr>
          <w:p w14:paraId="59413FB0" w14:textId="77777777" w:rsidR="00001815" w:rsidRPr="00001815" w:rsidRDefault="00001815" w:rsidP="005D49AB">
            <w:pPr>
              <w:pStyle w:val="TableCell"/>
              <w:jc w:val="left"/>
              <w:rPr>
                <w:rFonts w:cs="Arial"/>
                <w:bCs/>
                <w:sz w:val="20"/>
                <w:szCs w:val="20"/>
              </w:rPr>
            </w:pPr>
            <w:r w:rsidRPr="00001815">
              <w:rPr>
                <w:rFonts w:cs="Arial"/>
                <w:bCs/>
                <w:sz w:val="20"/>
                <w:szCs w:val="20"/>
              </w:rPr>
              <w:t>To create conditions for dynamic and creative regions with their own identity and managed effectively and capable to recognise and to use global development challenges</w:t>
            </w:r>
          </w:p>
        </w:tc>
      </w:tr>
    </w:tbl>
    <w:p w14:paraId="38663CAF" w14:textId="32723336" w:rsidR="00B0261A" w:rsidRDefault="00B0261A" w:rsidP="00B0261A"/>
    <w:p w14:paraId="66961841" w14:textId="766E0D4D" w:rsidR="00FA40FC" w:rsidRDefault="00FA40FC">
      <w:pPr>
        <w:spacing w:line="259" w:lineRule="auto"/>
        <w:jc w:val="left"/>
        <w:rPr>
          <w:b/>
          <w:bCs/>
          <w:color w:val="4E81BD"/>
          <w:sz w:val="22"/>
          <w:szCs w:val="22"/>
        </w:rPr>
      </w:pPr>
    </w:p>
    <w:p w14:paraId="144C8B28" w14:textId="40610F55" w:rsidR="00130E6A" w:rsidRDefault="00130E6A" w:rsidP="00130E6A">
      <w:pPr>
        <w:pStyle w:val="Heading2"/>
      </w:pPr>
      <w:r>
        <w:t xml:space="preserve">Regional Inequality Trends </w:t>
      </w:r>
    </w:p>
    <w:p w14:paraId="6088A63D" w14:textId="77777777" w:rsidR="00FB338C" w:rsidRPr="00FB338C" w:rsidRDefault="00FB338C" w:rsidP="00FB338C">
      <w:pPr>
        <w:rPr>
          <w:lang w:val="en-US"/>
        </w:rPr>
      </w:pPr>
      <w:r w:rsidRPr="00FB338C">
        <w:rPr>
          <w:lang w:val="en-US"/>
        </w:rPr>
        <w:t>Slovenia experienced an increase in the Theil index of GDP per capita over 2000-2020. Inequality reached its maximum in 2009. The figures are normalized, with values in the year 2000 set to 1.</w:t>
      </w:r>
    </w:p>
    <w:p w14:paraId="65446115" w14:textId="405C6DBB" w:rsidR="00130E6A" w:rsidRPr="00FA40FC" w:rsidRDefault="00FB338C" w:rsidP="00FB338C">
      <w:pPr>
        <w:rPr>
          <w:lang w:val="en-US"/>
        </w:rPr>
      </w:pPr>
      <w:r w:rsidRPr="00FB338C">
        <w:rPr>
          <w:lang w:val="en-US"/>
        </w:rPr>
        <w:t xml:space="preserve">The Top 20%/Mean ratio was 0.079 higher in 2020 compared to 2000, indicating increased </w:t>
      </w:r>
      <w:proofErr w:type="spellStart"/>
      <w:r w:rsidRPr="00FB338C">
        <w:rPr>
          <w:lang w:val="en-US"/>
        </w:rPr>
        <w:t>polarisation</w:t>
      </w:r>
      <w:proofErr w:type="spellEnd"/>
      <w:r w:rsidRPr="00FB338C">
        <w:rPr>
          <w:lang w:val="en-US"/>
        </w:rPr>
        <w:t>. The Bottom 20%/Mean ratio was 0.009 lower in the same period, indicating bottom divergence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1CCE7870" w:rsidR="00130E6A" w:rsidRDefault="00FD4B2E" w:rsidP="00130E6A">
      <w:pPr>
        <w:jc w:val="center"/>
      </w:pPr>
      <w:r>
        <w:rPr>
          <w:noProof/>
        </w:rPr>
        <w:drawing>
          <wp:inline distT="0" distB="0" distL="0" distR="0" wp14:anchorId="37EF313C" wp14:editId="41DC40DD">
            <wp:extent cx="5731510" cy="3076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76575"/>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in a given year. Bottom 20%/Mean calculated as mean TL3 GDP per capita in bottom 20% regions over mean TL3 GDP per capita in a given year.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0AE2327C" w14:textId="77777777" w:rsidR="00FD4B2E" w:rsidRPr="00FD4B2E" w:rsidRDefault="00FD4B2E" w:rsidP="00FD4B2E">
      <w:pPr>
        <w:rPr>
          <w:lang w:val="en-US"/>
        </w:rPr>
      </w:pPr>
      <w:r w:rsidRPr="00FD4B2E">
        <w:rPr>
          <w:lang w:val="en-US"/>
        </w:rPr>
        <w:lastRenderedPageBreak/>
        <w:t>There is no data for the gap in GDP per capita between large metropolitan and non-large metropolitan regions for 2000 and 2020.</w:t>
      </w:r>
    </w:p>
    <w:p w14:paraId="746EDC4E" w14:textId="77777777" w:rsidR="00FD4B2E" w:rsidRPr="00FD4B2E" w:rsidRDefault="00FD4B2E" w:rsidP="00FD4B2E">
      <w:pPr>
        <w:rPr>
          <w:lang w:val="en-US"/>
        </w:rPr>
      </w:pPr>
      <w:r w:rsidRPr="00FD4B2E">
        <w:rPr>
          <w:lang w:val="en-US"/>
        </w:rPr>
        <w:t>Meanwhile, in 2020, the gap in GDP per capita between metropolitan and non-metropolitan regions was 1.384. For reference, the same value for OECD was 1.325. This gap increased by 0.114 percentage points since 2000.</w:t>
      </w:r>
    </w:p>
    <w:p w14:paraId="4DF87DC8" w14:textId="00E1B7A6" w:rsidR="00130E6A" w:rsidRDefault="00FD4B2E" w:rsidP="00FD4B2E">
      <w:pPr>
        <w:rPr>
          <w:lang w:val="en-US"/>
        </w:rPr>
      </w:pPr>
      <w:r w:rsidRPr="00FD4B2E">
        <w:rPr>
          <w:lang w:val="en-US"/>
        </w:rPr>
        <w:t>In turn, the gap in GDP per capita between regions near and far a Functional Urban Area (FUA) of more than 250 thousand inhabitants was 1.001 in 2020 and increased by 0.068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gap by type of region compared to the OECD average</w:t>
      </w:r>
    </w:p>
    <w:p w14:paraId="0AE7B1A2" w14:textId="6A6CE152" w:rsidR="00993AE2" w:rsidRDefault="00483E2D" w:rsidP="00993AE2">
      <w:r>
        <w:rPr>
          <w:noProof/>
        </w:rPr>
        <w:drawing>
          <wp:inline distT="0" distB="0" distL="0" distR="0" wp14:anchorId="6E0CFA2D" wp14:editId="5222C9A5">
            <wp:extent cx="5731510" cy="31743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74365"/>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Far from a FUA&gt;250K includes regions near/with a small FUA and remote regions. OECD mean gap based on 1 586 TL3 regions in 27 countries with available data (no TL3 data for Australia, Canada, Chile, Colombia, Costa Rica, Iceland, Ireland, Israel, Mexico, Luxembourg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7618F44A" w:rsidR="00993AE2" w:rsidRPr="00993AE2" w:rsidRDefault="00483E2D" w:rsidP="00993AE2">
      <w:pPr>
        <w:rPr>
          <w:lang w:val="en-US"/>
        </w:rPr>
      </w:pPr>
      <w:r w:rsidRPr="00483E2D">
        <w:rPr>
          <w:lang w:val="en-US"/>
        </w:rPr>
        <w:lastRenderedPageBreak/>
        <w:t xml:space="preserve">In Slovenia, the gap between the upper and the lower half of regions in terms of </w:t>
      </w:r>
      <w:proofErr w:type="spellStart"/>
      <w:r w:rsidRPr="00483E2D">
        <w:rPr>
          <w:lang w:val="en-US"/>
        </w:rPr>
        <w:t>labour</w:t>
      </w:r>
      <w:proofErr w:type="spellEnd"/>
      <w:r w:rsidRPr="00483E2D">
        <w:rPr>
          <w:lang w:val="en-US"/>
        </w:rPr>
        <w:t xml:space="preserve"> productivity decreased between 2001 and 2019. Over this period </w:t>
      </w:r>
      <w:proofErr w:type="spellStart"/>
      <w:r w:rsidRPr="00483E2D">
        <w:rPr>
          <w:lang w:val="en-US"/>
        </w:rPr>
        <w:t>labour</w:t>
      </w:r>
      <w:proofErr w:type="spellEnd"/>
      <w:r w:rsidRPr="00483E2D">
        <w:rPr>
          <w:lang w:val="en-US"/>
        </w:rPr>
        <w:t xml:space="preserve"> productivity in the upper half of regions grew roughly by 31%, 12 percentage points less than in the lower half of regions. During 2020, the gap widened again. Nevertheless, more years of data are necessary to determine the long-term impact of the COVID-19 pandemic on </w:t>
      </w:r>
      <w:proofErr w:type="spellStart"/>
      <w:r w:rsidRPr="00483E2D">
        <w:rPr>
          <w:lang w:val="en-US"/>
        </w:rPr>
        <w:t>labour</w:t>
      </w:r>
      <w:proofErr w:type="spellEnd"/>
      <w:r w:rsidRPr="00483E2D">
        <w:rPr>
          <w:lang w:val="en-US"/>
        </w:rPr>
        <w:t xml:space="preserve"> productivity gaps in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0C297799" w:rsidR="00130E6A" w:rsidRDefault="00B562AA" w:rsidP="00130E6A">
      <w:r>
        <w:rPr>
          <w:noProof/>
        </w:rPr>
        <w:drawing>
          <wp:inline distT="0" distB="0" distL="0" distR="0" wp14:anchorId="2DDDE906" wp14:editId="097F35F7">
            <wp:extent cx="5731510" cy="3067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7685"/>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Türkiye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10508276" w:rsidR="00EF66F6" w:rsidRDefault="00B562AA" w:rsidP="00EF66F6">
      <w:r w:rsidRPr="00B562AA">
        <w:lastRenderedPageBreak/>
        <w:t>Regions where the economic activity shifts towards tradable activities, such as industry and tradable services, tend to grow faster in terms of labour productivity. In Slovenia, between 2001 and 2020, the share of workers in the industrial sector went down in all regions but more so in regions that used to be in the upper half of the labour productivity distribution. At the same time, the share of workers in the tradable services sector went up in all regions but more so in regions that were already in the upper half of the labour productivity distribution. Hence, the evolution of employment shares in the tradable services sector widened the labour productivity gap between regions while the opposite was true for the industrial sector</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378D5A15" w:rsidR="00EF66F6" w:rsidRDefault="00024E80" w:rsidP="00EF66F6">
      <w:r>
        <w:rPr>
          <w:noProof/>
        </w:rPr>
        <w:drawing>
          <wp:inline distT="0" distB="0" distL="0" distR="0" wp14:anchorId="44C59B84" wp14:editId="253AF54E">
            <wp:extent cx="5731510" cy="25704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70480"/>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The share of workers in a given sector for a group of regions is defined as the sum of employment in that sector within the group divided by the sum of total employment within the group. Regions are small (TL3) regions, except for Australia, Canada, Chile, Ireland, Mexico, Norway, Switzerland, Türkiye and the United States where they are large (TL2) regions due to data availability. Industry includes the following tradable goods sectors: Mining and quarrying (B), Manufacturing (C), Electricity, gas, steam and air conditioning supply (D) and Water supply; sewerage; waste management and remediation activities (E) NACE macro sectors. Tradable services include Information and communication (J), Financial and insurance activities (K), Real estate activities (L), Professional, scientific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1A81162E" w14:textId="77777777" w:rsidR="00291CBA" w:rsidRPr="00291CBA" w:rsidRDefault="00291CBA" w:rsidP="00291CBA">
      <w:pPr>
        <w:numPr>
          <w:ilvl w:val="0"/>
          <w:numId w:val="22"/>
        </w:numPr>
      </w:pPr>
      <w:r w:rsidRPr="00291CBA">
        <w:t xml:space="preserve">The implementation of the Government Programme for Border Areas with specific features. The renovation of the programme is envisaged. The main objective is to involve more actively other ministries to contribute with their own development policies. </w:t>
      </w:r>
    </w:p>
    <w:p w14:paraId="653CB368" w14:textId="77777777" w:rsidR="00291CBA" w:rsidRPr="00291CBA" w:rsidRDefault="00291CBA" w:rsidP="00291CBA">
      <w:pPr>
        <w:numPr>
          <w:ilvl w:val="0"/>
          <w:numId w:val="22"/>
        </w:numPr>
      </w:pPr>
      <w:r w:rsidRPr="00291CBA">
        <w:t xml:space="preserve">Promoting measures for strengthening productivity, mainly on less developed areas and measures for the green transformation development policy. </w:t>
      </w:r>
    </w:p>
    <w:p w14:paraId="64BB8EAC" w14:textId="77777777" w:rsidR="00291CBA" w:rsidRPr="00291CBA" w:rsidRDefault="00291CBA" w:rsidP="00291CBA">
      <w:pPr>
        <w:numPr>
          <w:ilvl w:val="0"/>
          <w:numId w:val="22"/>
        </w:numPr>
      </w:pPr>
      <w:r w:rsidRPr="00291CBA">
        <w:t xml:space="preserve">The Regional development field (Regional development Directorate) has been integrated in 2023 into a new Ministry for Cohesion and Regional Development. </w:t>
      </w:r>
    </w:p>
    <w:p w14:paraId="0A5D39EC" w14:textId="77777777" w:rsidR="00291CBA" w:rsidRPr="00291CBA" w:rsidRDefault="00291CBA" w:rsidP="00291CBA">
      <w:pPr>
        <w:numPr>
          <w:ilvl w:val="0"/>
          <w:numId w:val="22"/>
        </w:numPr>
      </w:pPr>
      <w:r w:rsidRPr="00291CBA">
        <w:t>The process of preparing a new generation of Regional Development Agreements will start soon.</w:t>
      </w:r>
    </w:p>
    <w:p w14:paraId="4ED840AD" w14:textId="3AB8709C" w:rsidR="00130E6A" w:rsidRPr="00130E6A" w:rsidRDefault="00130E6A" w:rsidP="00442B3C"/>
    <w:p w14:paraId="3499F09A" w14:textId="77777777" w:rsidR="00130E6A" w:rsidRPr="00130E6A" w:rsidRDefault="00130E6A" w:rsidP="00130E6A"/>
    <w:sectPr w:rsidR="00130E6A" w:rsidRPr="00130E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9E890" w14:textId="77777777" w:rsidR="0077321C" w:rsidRDefault="0077321C" w:rsidP="00B0261A">
      <w:r>
        <w:separator/>
      </w:r>
    </w:p>
  </w:endnote>
  <w:endnote w:type="continuationSeparator" w:id="0">
    <w:p w14:paraId="62930D28" w14:textId="77777777" w:rsidR="0077321C" w:rsidRDefault="0077321C"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596D3" w14:textId="77777777" w:rsidR="0077321C" w:rsidRDefault="0077321C" w:rsidP="00B0261A">
      <w:r>
        <w:separator/>
      </w:r>
    </w:p>
  </w:footnote>
  <w:footnote w:type="continuationSeparator" w:id="0">
    <w:p w14:paraId="5A4DF24B" w14:textId="77777777" w:rsidR="0077321C" w:rsidRDefault="0077321C"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67B"/>
    <w:multiLevelType w:val="hybridMultilevel"/>
    <w:tmpl w:val="CD163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4"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1"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7"/>
  </w:num>
  <w:num w:numId="2" w16cid:durableId="442264828">
    <w:abstractNumId w:val="6"/>
  </w:num>
  <w:num w:numId="3" w16cid:durableId="1036737201">
    <w:abstractNumId w:val="16"/>
  </w:num>
  <w:num w:numId="4" w16cid:durableId="2100321986">
    <w:abstractNumId w:val="12"/>
  </w:num>
  <w:num w:numId="5" w16cid:durableId="200703605">
    <w:abstractNumId w:val="13"/>
  </w:num>
  <w:num w:numId="6" w16cid:durableId="647786490">
    <w:abstractNumId w:val="19"/>
  </w:num>
  <w:num w:numId="7" w16cid:durableId="243229222">
    <w:abstractNumId w:val="20"/>
  </w:num>
  <w:num w:numId="8" w16cid:durableId="343627830">
    <w:abstractNumId w:val="21"/>
  </w:num>
  <w:num w:numId="9" w16cid:durableId="1178739638">
    <w:abstractNumId w:val="10"/>
  </w:num>
  <w:num w:numId="10" w16cid:durableId="1000810014">
    <w:abstractNumId w:val="11"/>
  </w:num>
  <w:num w:numId="11" w16cid:durableId="293869881">
    <w:abstractNumId w:val="8"/>
  </w:num>
  <w:num w:numId="12" w16cid:durableId="1633779472">
    <w:abstractNumId w:val="1"/>
  </w:num>
  <w:num w:numId="13" w16cid:durableId="1394887564">
    <w:abstractNumId w:val="15"/>
  </w:num>
  <w:num w:numId="14" w16cid:durableId="1989936522">
    <w:abstractNumId w:val="2"/>
  </w:num>
  <w:num w:numId="15" w16cid:durableId="828525225">
    <w:abstractNumId w:val="4"/>
  </w:num>
  <w:num w:numId="16" w16cid:durableId="91363023">
    <w:abstractNumId w:val="9"/>
  </w:num>
  <w:num w:numId="17" w16cid:durableId="1053239916">
    <w:abstractNumId w:val="5"/>
  </w:num>
  <w:num w:numId="18" w16cid:durableId="863639562">
    <w:abstractNumId w:val="3"/>
  </w:num>
  <w:num w:numId="19" w16cid:durableId="1803618516">
    <w:abstractNumId w:val="14"/>
  </w:num>
  <w:num w:numId="20" w16cid:durableId="1712918437">
    <w:abstractNumId w:val="7"/>
  </w:num>
  <w:num w:numId="21" w16cid:durableId="1776099911">
    <w:abstractNumId w:val="18"/>
  </w:num>
  <w:num w:numId="22" w16cid:durableId="2124223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1815"/>
    <w:rsid w:val="00004FB8"/>
    <w:rsid w:val="0002290D"/>
    <w:rsid w:val="00024E80"/>
    <w:rsid w:val="00106D54"/>
    <w:rsid w:val="00130E6A"/>
    <w:rsid w:val="00137DF2"/>
    <w:rsid w:val="001F15FE"/>
    <w:rsid w:val="0022593F"/>
    <w:rsid w:val="00291CBA"/>
    <w:rsid w:val="002932C5"/>
    <w:rsid w:val="002D46F5"/>
    <w:rsid w:val="002F53E2"/>
    <w:rsid w:val="00304085"/>
    <w:rsid w:val="00330C8E"/>
    <w:rsid w:val="00363D4B"/>
    <w:rsid w:val="00415A0D"/>
    <w:rsid w:val="00423248"/>
    <w:rsid w:val="0042788E"/>
    <w:rsid w:val="00427B70"/>
    <w:rsid w:val="00440A61"/>
    <w:rsid w:val="00442B3C"/>
    <w:rsid w:val="00475017"/>
    <w:rsid w:val="00483E2D"/>
    <w:rsid w:val="004D79BD"/>
    <w:rsid w:val="004E2635"/>
    <w:rsid w:val="004E3228"/>
    <w:rsid w:val="0057662E"/>
    <w:rsid w:val="00616A18"/>
    <w:rsid w:val="006B4ECA"/>
    <w:rsid w:val="006C7C5E"/>
    <w:rsid w:val="0071794A"/>
    <w:rsid w:val="00730483"/>
    <w:rsid w:val="007651C5"/>
    <w:rsid w:val="0077321C"/>
    <w:rsid w:val="00781257"/>
    <w:rsid w:val="007C6BE8"/>
    <w:rsid w:val="007D4DD7"/>
    <w:rsid w:val="007D63ED"/>
    <w:rsid w:val="0080379C"/>
    <w:rsid w:val="00810830"/>
    <w:rsid w:val="00821B89"/>
    <w:rsid w:val="008E48C7"/>
    <w:rsid w:val="0090630C"/>
    <w:rsid w:val="00953666"/>
    <w:rsid w:val="009728D5"/>
    <w:rsid w:val="00993AE2"/>
    <w:rsid w:val="009B7678"/>
    <w:rsid w:val="009C0325"/>
    <w:rsid w:val="009D01B2"/>
    <w:rsid w:val="009F3217"/>
    <w:rsid w:val="00A07422"/>
    <w:rsid w:val="00A14CFB"/>
    <w:rsid w:val="00A31747"/>
    <w:rsid w:val="00A94AEA"/>
    <w:rsid w:val="00B0261A"/>
    <w:rsid w:val="00B562AA"/>
    <w:rsid w:val="00C46A24"/>
    <w:rsid w:val="00C74CCF"/>
    <w:rsid w:val="00C91C46"/>
    <w:rsid w:val="00D02557"/>
    <w:rsid w:val="00D354B7"/>
    <w:rsid w:val="00DD7B45"/>
    <w:rsid w:val="00E00B59"/>
    <w:rsid w:val="00E1409A"/>
    <w:rsid w:val="00E35041"/>
    <w:rsid w:val="00EE7700"/>
    <w:rsid w:val="00EF5E68"/>
    <w:rsid w:val="00EF66F6"/>
    <w:rsid w:val="00F341DB"/>
    <w:rsid w:val="00F37D0C"/>
    <w:rsid w:val="00F61089"/>
    <w:rsid w:val="00F66C99"/>
    <w:rsid w:val="00FA40FC"/>
    <w:rsid w:val="00FB338C"/>
    <w:rsid w:val="00FD0259"/>
    <w:rsid w:val="00FD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14473">
      <w:bodyDiv w:val="1"/>
      <w:marLeft w:val="0"/>
      <w:marRight w:val="0"/>
      <w:marTop w:val="0"/>
      <w:marBottom w:val="0"/>
      <w:divBdr>
        <w:top w:val="none" w:sz="0" w:space="0" w:color="auto"/>
        <w:left w:val="none" w:sz="0" w:space="0" w:color="auto"/>
        <w:bottom w:val="none" w:sz="0" w:space="0" w:color="auto"/>
        <w:right w:val="none" w:sz="0" w:space="0" w:color="auto"/>
      </w:divBdr>
    </w:div>
    <w:div w:id="764693655">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1522</Words>
  <Characters>8953</Characters>
  <Application>Microsoft Office Word</Application>
  <DocSecurity>0</DocSecurity>
  <Lines>190</Lines>
  <Paragraphs>106</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11</cp:revision>
  <cp:lastPrinted>2023-11-06T10:10:00Z</cp:lastPrinted>
  <dcterms:created xsi:type="dcterms:W3CDTF">2023-11-07T16:19:00Z</dcterms:created>
  <dcterms:modified xsi:type="dcterms:W3CDTF">2023-11-07T17:08:00Z</dcterms:modified>
</cp:coreProperties>
</file>