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4DC0AB" w14:textId="37942544" w:rsidR="00B0261A" w:rsidRDefault="003942E7" w:rsidP="00B0261A">
      <w:pPr>
        <w:pStyle w:val="Heading1"/>
      </w:pPr>
      <w:r>
        <w:t>SWEDEN</w:t>
      </w:r>
    </w:p>
    <w:p w14:paraId="6E7FE47C" w14:textId="3B6D661A" w:rsidR="00B0261A" w:rsidRDefault="00B0261A" w:rsidP="00B0261A"/>
    <w:p w14:paraId="6EF2D36D" w14:textId="5C7975C2" w:rsidR="00B0261A" w:rsidRDefault="00B0261A" w:rsidP="00B0261A">
      <w:r>
        <w:rPr>
          <w:noProof/>
        </w:rPr>
        <mc:AlternateContent>
          <mc:Choice Requires="wps">
            <w:drawing>
              <wp:anchor distT="45720" distB="45720" distL="114300" distR="114300" simplePos="0" relativeHeight="251659264" behindDoc="0" locked="0" layoutInCell="1" allowOverlap="1" wp14:anchorId="56CF7DCB" wp14:editId="7F0BC6E0">
                <wp:simplePos x="0" y="0"/>
                <wp:positionH relativeFrom="column">
                  <wp:posOffset>19050</wp:posOffset>
                </wp:positionH>
                <wp:positionV relativeFrom="paragraph">
                  <wp:posOffset>1125855</wp:posOffset>
                </wp:positionV>
                <wp:extent cx="5715000" cy="1404620"/>
                <wp:effectExtent l="0" t="0" r="19050" b="1460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404620"/>
                        </a:xfrm>
                        <a:prstGeom prst="rect">
                          <a:avLst/>
                        </a:prstGeom>
                        <a:solidFill>
                          <a:srgbClr val="EEECE1"/>
                        </a:solidFill>
                        <a:ln w="9525">
                          <a:solidFill>
                            <a:schemeClr val="accent1"/>
                          </a:solidFill>
                          <a:miter lim="800000"/>
                          <a:headEnd/>
                          <a:tailEnd/>
                        </a:ln>
                      </wps:spPr>
                      <wps:txbx>
                        <w:txbxContent>
                          <w:p w14:paraId="633FA349" w14:textId="72F08951" w:rsidR="00B0261A" w:rsidRPr="00130E6A" w:rsidRDefault="00B0261A" w:rsidP="00130E6A">
                            <w:pPr>
                              <w:pStyle w:val="Heading2"/>
                            </w:pPr>
                            <w:r w:rsidRPr="00130E6A">
                              <w:t>Territorial definitions</w:t>
                            </w:r>
                          </w:p>
                          <w:p w14:paraId="2AADAC17" w14:textId="02B48ADB" w:rsidR="00B0261A" w:rsidRDefault="00B0261A" w:rsidP="00B0261A">
                            <w:r>
                              <w:t xml:space="preserve">The data in this note reflect different sub-national geographic levels in OECD countries. In particular, </w:t>
                            </w:r>
                            <w:r w:rsidRPr="00130E6A">
                              <w:rPr>
                                <w:b/>
                                <w:bCs/>
                              </w:rPr>
                              <w:t>regions</w:t>
                            </w:r>
                            <w:r>
                              <w:t xml:space="preserve"> are classified on two territorial levels reflecting the administrative organisation of countries: large regions (TL2) and small regions (TL3). In Canada, TL2 corresponds to the provinces and territories.</w:t>
                            </w:r>
                          </w:p>
                          <w:p w14:paraId="65F12241" w14:textId="19E9BCEC" w:rsidR="00B0261A" w:rsidRDefault="00B0261A" w:rsidP="00B0261A">
                            <w:r>
                              <w:t>Small regions are classified according to their access to metropolitan areas (Fadic et al. 2019). The typology classifies small (TL3) regions into metropolitan and non-metropolitan regions according to the following criteria:</w:t>
                            </w:r>
                          </w:p>
                          <w:p w14:paraId="6EBBF9FE" w14:textId="1E9985F3" w:rsidR="00B0261A" w:rsidRDefault="00B0261A" w:rsidP="00B0261A">
                            <w:pPr>
                              <w:pStyle w:val="ListParagraph"/>
                              <w:numPr>
                                <w:ilvl w:val="0"/>
                                <w:numId w:val="1"/>
                              </w:numPr>
                            </w:pPr>
                            <w:r w:rsidRPr="00B0261A">
                              <w:rPr>
                                <w:b/>
                                <w:bCs/>
                              </w:rPr>
                              <w:t>Metropolitan regions</w:t>
                            </w:r>
                            <w:r>
                              <w:t xml:space="preserve">, if more than half of the population live in a FUA. Metropolitan regions are further classified into </w:t>
                            </w:r>
                            <w:r w:rsidRPr="00130E6A">
                              <w:rPr>
                                <w:b/>
                                <w:bCs/>
                              </w:rPr>
                              <w:t>metropolitan large</w:t>
                            </w:r>
                            <w:r>
                              <w:t xml:space="preserve">, if more than half of the population live in a (large) FUA of at least 1.5 million inhabitants; and </w:t>
                            </w:r>
                            <w:r w:rsidRPr="00130E6A">
                              <w:rPr>
                                <w:b/>
                                <w:bCs/>
                              </w:rPr>
                              <w:t>metropolitan midsize</w:t>
                            </w:r>
                            <w:r>
                              <w:t>, if more than half of the population live in a (midsize) FUA of at 250 000 to 1.5 million inhabitants.</w:t>
                            </w:r>
                          </w:p>
                          <w:p w14:paraId="3C727212" w14:textId="77777777" w:rsidR="00B0261A" w:rsidRDefault="00B0261A" w:rsidP="00B0261A">
                            <w:pPr>
                              <w:pStyle w:val="ListParagraph"/>
                              <w:numPr>
                                <w:ilvl w:val="0"/>
                                <w:numId w:val="1"/>
                              </w:numPr>
                            </w:pPr>
                            <w:r w:rsidRPr="00130E6A">
                              <w:rPr>
                                <w:b/>
                                <w:bCs/>
                              </w:rPr>
                              <w:t>Non-metropolitan regions</w:t>
                            </w:r>
                            <w:r>
                              <w:t xml:space="preserve">, if less than half of the population live in a midsize/large FUA. These regions are further classified according to their level of access to FUAs of different sizes: </w:t>
                            </w:r>
                            <w:r w:rsidRPr="00130E6A">
                              <w:rPr>
                                <w:b/>
                                <w:bCs/>
                              </w:rPr>
                              <w:t>near a midsize/large FUA</w:t>
                            </w:r>
                            <w:r>
                              <w:t xml:space="preserve"> if more than half of the population live within a 60-minute drive from a midsize/large FUA (of more than 250 000 inhabitants) or if the TL3 region contains more than 80% of the area of a midsize/large FUA; </w:t>
                            </w:r>
                            <w:r w:rsidRPr="00130E6A">
                              <w:rPr>
                                <w:b/>
                                <w:bCs/>
                              </w:rPr>
                              <w:t>near a small FUA</w:t>
                            </w:r>
                            <w:r>
                              <w:t xml:space="preserve"> if the region does not have access to a midsize/large FUA and at least half of its population have access to a small FUA (i.e. between 50 000 and 250 000 inhabitants) within a 60-minute drive, or contains 80% of the area of a small FUA; and </w:t>
                            </w:r>
                            <w:r w:rsidRPr="00130E6A">
                              <w:rPr>
                                <w:b/>
                                <w:bCs/>
                              </w:rPr>
                              <w:t>remote</w:t>
                            </w:r>
                            <w:r>
                              <w:t>, otherwise.</w:t>
                            </w:r>
                          </w:p>
                          <w:p w14:paraId="29390C75" w14:textId="6149B4BE" w:rsidR="00B0261A" w:rsidRPr="00B0261A" w:rsidRDefault="00B0261A" w:rsidP="00B0261A">
                            <w:pPr>
                              <w:rPr>
                                <w:lang w:val="en-US"/>
                              </w:rPr>
                            </w:pPr>
                            <w:r>
                              <w:t xml:space="preserve">Disclaimer: </w:t>
                            </w:r>
                            <w:hyperlink r:id="rId7" w:history="1">
                              <w:r w:rsidRPr="00130E6A">
                                <w:rPr>
                                  <w:rStyle w:val="Hyperlink"/>
                                </w:rPr>
                                <w:t>https://oecdcode.org/disclaimers/territories.html</w:t>
                              </w:r>
                            </w:hyperlink>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6CF7DCB" id="_x0000_t202" coordsize="21600,21600" o:spt="202" path="m,l,21600r21600,l21600,xe">
                <v:stroke joinstyle="miter"/>
                <v:path gradientshapeok="t" o:connecttype="rect"/>
              </v:shapetype>
              <v:shape id="Text Box 2" o:spid="_x0000_s1026" type="#_x0000_t202" style="position:absolute;left:0;text-align:left;margin-left:1.5pt;margin-top:88.65pt;width:450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v35GQIAACMEAAAOAAAAZHJzL2Uyb0RvYy54bWysU9uO0zAQfUfiHyy/0yRVu5eo6Wrptghp&#10;WZAWPsB1nMbC8Zix22T5esZOt1sWnhAv1thjH885c2ZxM3SGHRR6DbbixSTnTFkJtba7in/7unl3&#10;xZkPwtbCgFUVf1Ke3yzfvln0rlRTaMHUChmBWF/2ruJtCK7MMi9b1Qk/AacsJRvATgTa4i6rUfSE&#10;3plsmucXWQ9YOwSpvKfTuzHJlwm/aZQMn5vGq8BMxam2kFZM6zau2XIhyh0K12p5LEP8QxWd0JY+&#10;PUHdiSDYHvUfUJ2WCB6aMJHQZdA0WqrEgdgU+Ss2j61wKnEhcbw7yeT/H6x8ODy6L8jC8B4GamAi&#10;4d09yO+eWVi1wu7ULSL0rRI1fVxEybLe+fL4NErtSx9Btv0nqKnJYh8gAQ0NdlEV4skInRrwdBJd&#10;DYFJOpxfFvM8p5SkXDHLZxfT1JZMlM/PHfrwQUHHYlBxpK4meHG49yGWI8rnK/E3D0bXG21M2uBu&#10;uzLIDoIcsF6vV+uRwatrxrK+4tfz6XxU4DeIaEZ1AhFSKhv+itLpQG42uqv4FXEiVslfUbq1rVMc&#10;hDZjTFUbe9QyyjcKGYbtQBejpluon0hVhNG1NGUUtIA/OevJsRX3P/YCFWfmo6XOXBezWbR42szm&#10;lyQjw/PM9jwjrCSoigfOxnAV0lgkzdwtdXCjk7YvlRxrJScmyY9TE61+vk+3XmZ7+QsAAP//AwBQ&#10;SwMEFAAGAAgAAAAhAK2U/hncAAAACQEAAA8AAABkcnMvZG93bnJldi54bWxMj0FPwkAQhe8m/ofN&#10;mHgxsgUilNotURITr6XG89Ad2sbubNNdoPx7h5Me530vb97Lt5Pr1ZnG0Hk2MJ8loIhrbztuDHxV&#10;H88pqBCRLfaeycCVAmyL+7scM+svXNJ5HxslIRwyNNDGOGRah7olh2HmB2JhRz86jHKOjbYjXiTc&#10;9XqRJCvtsGP50OJAu5bqn/3JGXDfiw6fqvazpPJY1WFK38t5aszjw/T2CirSFP/McKsv1aGQTgd/&#10;YhtUb2ApS6LI6/USlPBNclMOAjbpC+gi1/8XFL8AAAD//wMAUEsBAi0AFAAGAAgAAAAhALaDOJL+&#10;AAAA4QEAABMAAAAAAAAAAAAAAAAAAAAAAFtDb250ZW50X1R5cGVzXS54bWxQSwECLQAUAAYACAAA&#10;ACEAOP0h/9YAAACUAQAACwAAAAAAAAAAAAAAAAAvAQAAX3JlbHMvLnJlbHNQSwECLQAUAAYACAAA&#10;ACEA7U79+RkCAAAjBAAADgAAAAAAAAAAAAAAAAAuAgAAZHJzL2Uyb0RvYy54bWxQSwECLQAUAAYA&#10;CAAAACEArZT+GdwAAAAJAQAADwAAAAAAAAAAAAAAAABzBAAAZHJzL2Rvd25yZXYueG1sUEsFBgAA&#10;AAAEAAQA8wAAAHwFAAAAAA==&#10;" fillcolor="#eeece1" strokecolor="#4472c4 [3204]">
                <v:textbox style="mso-fit-shape-to-text:t">
                  <w:txbxContent>
                    <w:p w14:paraId="633FA349" w14:textId="72F08951" w:rsidR="00B0261A" w:rsidRPr="00130E6A" w:rsidRDefault="00B0261A" w:rsidP="00130E6A">
                      <w:pPr>
                        <w:pStyle w:val="Heading2"/>
                      </w:pPr>
                      <w:r w:rsidRPr="00130E6A">
                        <w:t>Territorial definitions</w:t>
                      </w:r>
                    </w:p>
                    <w:p w14:paraId="2AADAC17" w14:textId="02B48ADB" w:rsidR="00B0261A" w:rsidRDefault="00B0261A" w:rsidP="00B0261A">
                      <w:r>
                        <w:t xml:space="preserve">The data in this note reflect different sub-national geographic levels in OECD countries. In particular, </w:t>
                      </w:r>
                      <w:r w:rsidRPr="00130E6A">
                        <w:rPr>
                          <w:b/>
                          <w:bCs/>
                        </w:rPr>
                        <w:t>regions</w:t>
                      </w:r>
                      <w:r>
                        <w:t xml:space="preserve"> are classified on two territorial levels reflecting the administrative organisation of countries: large regions (TL2) and small regions (TL3). In Canada, TL2 corresponds to the provinces and territories.</w:t>
                      </w:r>
                    </w:p>
                    <w:p w14:paraId="65F12241" w14:textId="19E9BCEC" w:rsidR="00B0261A" w:rsidRDefault="00B0261A" w:rsidP="00B0261A">
                      <w:r>
                        <w:t>Small regions are classified according to their access to metropolitan areas (Fadic et al. 2019). The typology classifies small (TL3) regions into metropolitan and non-metropolitan regions according to the following criteria:</w:t>
                      </w:r>
                    </w:p>
                    <w:p w14:paraId="6EBBF9FE" w14:textId="1E9985F3" w:rsidR="00B0261A" w:rsidRDefault="00B0261A" w:rsidP="00B0261A">
                      <w:pPr>
                        <w:pStyle w:val="ListParagraph"/>
                        <w:numPr>
                          <w:ilvl w:val="0"/>
                          <w:numId w:val="1"/>
                        </w:numPr>
                      </w:pPr>
                      <w:r w:rsidRPr="00B0261A">
                        <w:rPr>
                          <w:b/>
                          <w:bCs/>
                        </w:rPr>
                        <w:t>Metropolitan regions</w:t>
                      </w:r>
                      <w:r>
                        <w:t xml:space="preserve">, if more than half of the population live in a FUA. Metropolitan regions are further classified into </w:t>
                      </w:r>
                      <w:r w:rsidRPr="00130E6A">
                        <w:rPr>
                          <w:b/>
                          <w:bCs/>
                        </w:rPr>
                        <w:t>metropolitan large</w:t>
                      </w:r>
                      <w:r>
                        <w:t xml:space="preserve">, if more than half of the population live in a (large) FUA of at least 1.5 million inhabitants; and </w:t>
                      </w:r>
                      <w:r w:rsidRPr="00130E6A">
                        <w:rPr>
                          <w:b/>
                          <w:bCs/>
                        </w:rPr>
                        <w:t>metropolitan midsize</w:t>
                      </w:r>
                      <w:r>
                        <w:t>, if more than half of the population live in a (midsize) FUA of at 250 000 to 1.5 million inhabitants.</w:t>
                      </w:r>
                    </w:p>
                    <w:p w14:paraId="3C727212" w14:textId="77777777" w:rsidR="00B0261A" w:rsidRDefault="00B0261A" w:rsidP="00B0261A">
                      <w:pPr>
                        <w:pStyle w:val="ListParagraph"/>
                        <w:numPr>
                          <w:ilvl w:val="0"/>
                          <w:numId w:val="1"/>
                        </w:numPr>
                      </w:pPr>
                      <w:r w:rsidRPr="00130E6A">
                        <w:rPr>
                          <w:b/>
                          <w:bCs/>
                        </w:rPr>
                        <w:t>Non-metropolitan regions</w:t>
                      </w:r>
                      <w:r>
                        <w:t xml:space="preserve">, if less than half of the population live in a midsize/large FUA. These regions are further classified according to their level of access to FUAs of different sizes: </w:t>
                      </w:r>
                      <w:r w:rsidRPr="00130E6A">
                        <w:rPr>
                          <w:b/>
                          <w:bCs/>
                        </w:rPr>
                        <w:t>near a midsize/large FUA</w:t>
                      </w:r>
                      <w:r>
                        <w:t xml:space="preserve"> if more than half of the population live within a 60-minute drive from a midsize/large FUA (of more than 250 000 inhabitants) or if the TL3 region contains more than 80% of the area of a midsize/large FUA; </w:t>
                      </w:r>
                      <w:r w:rsidRPr="00130E6A">
                        <w:rPr>
                          <w:b/>
                          <w:bCs/>
                        </w:rPr>
                        <w:t>near a small FUA</w:t>
                      </w:r>
                      <w:r>
                        <w:t xml:space="preserve"> if the region does not have access to a midsize/large FUA and at least half of its population have access to a small FUA (i.e. between 50 000 and 250 000 inhabitants) within a 60-minute drive, or contains 80% of the area of a small FUA; and </w:t>
                      </w:r>
                      <w:r w:rsidRPr="00130E6A">
                        <w:rPr>
                          <w:b/>
                          <w:bCs/>
                        </w:rPr>
                        <w:t>remote</w:t>
                      </w:r>
                      <w:r>
                        <w:t>, otherwise.</w:t>
                      </w:r>
                    </w:p>
                    <w:p w14:paraId="29390C75" w14:textId="6149B4BE" w:rsidR="00B0261A" w:rsidRPr="00B0261A" w:rsidRDefault="00B0261A" w:rsidP="00B0261A">
                      <w:pPr>
                        <w:rPr>
                          <w:lang w:val="en-US"/>
                        </w:rPr>
                      </w:pPr>
                      <w:r>
                        <w:t xml:space="preserve">Disclaimer: </w:t>
                      </w:r>
                      <w:hyperlink r:id="rId8" w:history="1">
                        <w:r w:rsidRPr="00130E6A">
                          <w:rPr>
                            <w:rStyle w:val="Hyperlink"/>
                          </w:rPr>
                          <w:t>https://oecdcode.org/disclaimers/territories.html</w:t>
                        </w:r>
                      </w:hyperlink>
                    </w:p>
                  </w:txbxContent>
                </v:textbox>
                <w10:wrap type="square"/>
              </v:shape>
            </w:pict>
          </mc:Fallback>
        </mc:AlternateContent>
      </w:r>
      <w:r w:rsidRPr="00B0261A">
        <w:t xml:space="preserve">The </w:t>
      </w:r>
      <w:hyperlink r:id="rId9" w:history="1">
        <w:r w:rsidRPr="00B0261A">
          <w:rPr>
            <w:rStyle w:val="Hyperlink"/>
          </w:rPr>
          <w:t>OECD Regional Outlook</w:t>
        </w:r>
      </w:hyperlink>
      <w:r w:rsidRPr="00B0261A">
        <w:t xml:space="preserve"> reviews recent trends, policy developments, and prospects across OECD regions, including the underlying causes driving regional inequalities in performance and well-being. The report offers evidence, guidance and policy recommendations on how to improve competitiveness and productivity, promote inclusive growth, accelerate the net-zero transition and raise well-being standards through effective regional development policy and multi-level governance.</w:t>
      </w:r>
    </w:p>
    <w:p w14:paraId="5AE7E725" w14:textId="63A7D369" w:rsidR="00130E6A" w:rsidRDefault="00130E6A">
      <w:pPr>
        <w:spacing w:line="259" w:lineRule="auto"/>
        <w:jc w:val="left"/>
      </w:pPr>
      <w:r>
        <w:br w:type="page"/>
      </w:r>
    </w:p>
    <w:p w14:paraId="5FA2DF31" w14:textId="77777777" w:rsidR="00616A18" w:rsidRPr="0090630C" w:rsidRDefault="00616A18" w:rsidP="00616A18">
      <w:pPr>
        <w:pStyle w:val="Title2"/>
        <w:rPr>
          <w:rFonts w:ascii="Arial" w:hAnsi="Arial" w:cs="Arial"/>
        </w:rPr>
      </w:pPr>
      <w:r w:rsidRPr="0090630C">
        <w:rPr>
          <w:rFonts w:ascii="Arial" w:hAnsi="Arial" w:cs="Arial"/>
        </w:rPr>
        <w:lastRenderedPageBreak/>
        <w:t>Overview</w:t>
      </w:r>
    </w:p>
    <w:tbl>
      <w:tblPr>
        <w:tblStyle w:val="OECD"/>
        <w:tblW w:w="5000" w:type="pct"/>
        <w:tblLook w:val="0420" w:firstRow="1" w:lastRow="0" w:firstColumn="0" w:lastColumn="0" w:noHBand="0" w:noVBand="1"/>
      </w:tblPr>
      <w:tblGrid>
        <w:gridCol w:w="3506"/>
        <w:gridCol w:w="5520"/>
      </w:tblGrid>
      <w:tr w:rsidR="000F1E59" w:rsidRPr="000F1E59" w14:paraId="7C00FF34" w14:textId="77777777" w:rsidTr="000F1E59">
        <w:trPr>
          <w:cnfStyle w:val="100000000000" w:firstRow="1" w:lastRow="0" w:firstColumn="0" w:lastColumn="0" w:oddVBand="0" w:evenVBand="0" w:oddHBand="0" w:evenHBand="0" w:firstRowFirstColumn="0" w:firstRowLastColumn="0" w:lastRowFirstColumn="0" w:lastRowLastColumn="0"/>
          <w:trHeight w:val="238"/>
        </w:trPr>
        <w:tc>
          <w:tcPr>
            <w:tcW w:w="1942" w:type="pct"/>
          </w:tcPr>
          <w:p w14:paraId="1B7C3E04" w14:textId="77777777" w:rsidR="000F1E59" w:rsidRPr="000F1E59" w:rsidRDefault="000F1E59" w:rsidP="000F1E59">
            <w:pPr>
              <w:pStyle w:val="TableRow"/>
              <w:spacing w:before="0" w:after="0" w:line="240" w:lineRule="auto"/>
              <w:jc w:val="left"/>
              <w:rPr>
                <w:sz w:val="20"/>
              </w:rPr>
            </w:pPr>
            <w:r w:rsidRPr="000F1E59">
              <w:rPr>
                <w:sz w:val="20"/>
              </w:rPr>
              <w:t xml:space="preserve">Population </w:t>
            </w:r>
            <w:r w:rsidRPr="000F1E59">
              <w:rPr>
                <w:i/>
                <w:iCs/>
                <w:sz w:val="20"/>
              </w:rPr>
              <w:t>(specify date)</w:t>
            </w:r>
            <w:r w:rsidRPr="000F1E59">
              <w:rPr>
                <w:sz w:val="20"/>
              </w:rPr>
              <w:t xml:space="preserve"> and territory </w:t>
            </w:r>
          </w:p>
        </w:tc>
        <w:tc>
          <w:tcPr>
            <w:tcW w:w="3058" w:type="pct"/>
          </w:tcPr>
          <w:p w14:paraId="0863E97C" w14:textId="77777777" w:rsidR="000F1E59" w:rsidRPr="000F1E59" w:rsidRDefault="000F1E59" w:rsidP="000F1E59">
            <w:pPr>
              <w:pStyle w:val="TableRow"/>
              <w:spacing w:before="0" w:after="0" w:line="240" w:lineRule="auto"/>
              <w:jc w:val="left"/>
              <w:rPr>
                <w:sz w:val="20"/>
              </w:rPr>
            </w:pPr>
            <w:r w:rsidRPr="000F1E59">
              <w:rPr>
                <w:rFonts w:cs="Arial"/>
                <w:sz w:val="20"/>
              </w:rPr>
              <w:t>10,5 millions (nov 2022), 410 000 km2</w:t>
            </w:r>
          </w:p>
        </w:tc>
      </w:tr>
      <w:tr w:rsidR="000F1E59" w:rsidRPr="000F1E59" w14:paraId="13943ED1" w14:textId="77777777" w:rsidTr="000F1E59">
        <w:trPr>
          <w:trHeight w:val="238"/>
        </w:trPr>
        <w:tc>
          <w:tcPr>
            <w:tcW w:w="1942" w:type="pct"/>
          </w:tcPr>
          <w:p w14:paraId="4D4B60D5" w14:textId="77777777" w:rsidR="000F1E59" w:rsidRPr="000F1E59" w:rsidRDefault="000F1E59" w:rsidP="000F1E59">
            <w:pPr>
              <w:pStyle w:val="TableRow"/>
              <w:spacing w:before="0" w:after="0" w:line="240" w:lineRule="auto"/>
              <w:jc w:val="left"/>
              <w:rPr>
                <w:sz w:val="20"/>
              </w:rPr>
            </w:pPr>
            <w:r w:rsidRPr="000F1E59">
              <w:rPr>
                <w:sz w:val="20"/>
              </w:rPr>
              <w:t xml:space="preserve">Administrative structure </w:t>
            </w:r>
            <w:r w:rsidRPr="000F1E59">
              <w:rPr>
                <w:rFonts w:cs="Arial"/>
                <w:i/>
                <w:iCs/>
                <w:sz w:val="20"/>
              </w:rPr>
              <w:t>(unitary/federal)</w:t>
            </w:r>
          </w:p>
        </w:tc>
        <w:tc>
          <w:tcPr>
            <w:tcW w:w="3058" w:type="pct"/>
          </w:tcPr>
          <w:p w14:paraId="5FCE976E" w14:textId="77777777" w:rsidR="000F1E59" w:rsidRPr="000F1E59" w:rsidRDefault="000F1E59" w:rsidP="000F1E59">
            <w:pPr>
              <w:pStyle w:val="TableCell"/>
              <w:spacing w:before="0" w:after="0" w:line="240" w:lineRule="auto"/>
              <w:jc w:val="left"/>
              <w:rPr>
                <w:sz w:val="20"/>
                <w:szCs w:val="20"/>
              </w:rPr>
            </w:pPr>
            <w:r w:rsidRPr="000F1E59">
              <w:rPr>
                <w:rFonts w:cs="Arial"/>
                <w:sz w:val="20"/>
                <w:szCs w:val="20"/>
              </w:rPr>
              <w:t xml:space="preserve">Unitary </w:t>
            </w:r>
          </w:p>
        </w:tc>
      </w:tr>
      <w:tr w:rsidR="000F1E59" w:rsidRPr="000F1E59" w14:paraId="4B8FF310" w14:textId="77777777" w:rsidTr="000F1E59">
        <w:trPr>
          <w:trHeight w:val="238"/>
        </w:trPr>
        <w:tc>
          <w:tcPr>
            <w:tcW w:w="1942" w:type="pct"/>
          </w:tcPr>
          <w:p w14:paraId="393A81F6" w14:textId="77777777" w:rsidR="000F1E59" w:rsidRPr="000F1E59" w:rsidRDefault="000F1E59" w:rsidP="000F1E59">
            <w:pPr>
              <w:pStyle w:val="TableRow"/>
              <w:spacing w:before="0" w:after="0" w:line="240" w:lineRule="auto"/>
              <w:jc w:val="right"/>
              <w:rPr>
                <w:sz w:val="20"/>
              </w:rPr>
            </w:pPr>
            <w:r w:rsidRPr="000F1E59">
              <w:rPr>
                <w:sz w:val="20"/>
              </w:rPr>
              <w:t xml:space="preserve">Regional or state-level governments </w:t>
            </w:r>
            <w:r w:rsidRPr="000F1E59">
              <w:rPr>
                <w:i/>
                <w:iCs/>
                <w:sz w:val="20"/>
              </w:rPr>
              <w:t>(number)</w:t>
            </w:r>
          </w:p>
        </w:tc>
        <w:tc>
          <w:tcPr>
            <w:tcW w:w="3058" w:type="pct"/>
          </w:tcPr>
          <w:p w14:paraId="14989063" w14:textId="77777777" w:rsidR="000F1E59" w:rsidRPr="000F1E59" w:rsidRDefault="000F1E59" w:rsidP="000F1E59">
            <w:pPr>
              <w:pStyle w:val="TableCell"/>
              <w:spacing w:before="0" w:after="0" w:line="240" w:lineRule="auto"/>
              <w:jc w:val="left"/>
              <w:rPr>
                <w:rFonts w:cs="Arial"/>
                <w:sz w:val="20"/>
                <w:szCs w:val="20"/>
              </w:rPr>
            </w:pPr>
            <w:r w:rsidRPr="000F1E59">
              <w:rPr>
                <w:rFonts w:cs="Arial"/>
                <w:sz w:val="20"/>
                <w:szCs w:val="20"/>
              </w:rPr>
              <w:t xml:space="preserve">20 Regions and the municipality of Gotland with the responsibilities of both a region and a municipality. </w:t>
            </w:r>
          </w:p>
          <w:p w14:paraId="3BE7ED86" w14:textId="77777777" w:rsidR="000F1E59" w:rsidRPr="000F1E59" w:rsidRDefault="000F1E59" w:rsidP="000F1E59">
            <w:pPr>
              <w:pStyle w:val="TableCell"/>
              <w:spacing w:before="0" w:after="0" w:line="240" w:lineRule="auto"/>
              <w:jc w:val="left"/>
              <w:rPr>
                <w:sz w:val="20"/>
                <w:szCs w:val="20"/>
              </w:rPr>
            </w:pPr>
            <w:r w:rsidRPr="000F1E59">
              <w:rPr>
                <w:rFonts w:cs="Arial"/>
                <w:sz w:val="20"/>
                <w:szCs w:val="20"/>
              </w:rPr>
              <w:t>21 county boards, government authorities at regional level.</w:t>
            </w:r>
          </w:p>
        </w:tc>
      </w:tr>
      <w:tr w:rsidR="000F1E59" w:rsidRPr="000F1E59" w14:paraId="401AC1D8" w14:textId="77777777" w:rsidTr="000F1E59">
        <w:trPr>
          <w:trHeight w:val="238"/>
        </w:trPr>
        <w:tc>
          <w:tcPr>
            <w:tcW w:w="1942" w:type="pct"/>
          </w:tcPr>
          <w:p w14:paraId="6C6C8E4B" w14:textId="77777777" w:rsidR="000F1E59" w:rsidRPr="000F1E59" w:rsidRDefault="000F1E59" w:rsidP="000F1E59">
            <w:pPr>
              <w:pStyle w:val="TableRow"/>
              <w:spacing w:before="0" w:after="0" w:line="240" w:lineRule="auto"/>
              <w:jc w:val="right"/>
              <w:rPr>
                <w:sz w:val="20"/>
              </w:rPr>
            </w:pPr>
            <w:r w:rsidRPr="000F1E59">
              <w:rPr>
                <w:sz w:val="20"/>
              </w:rPr>
              <w:t xml:space="preserve">Intermediate-level governments </w:t>
            </w:r>
            <w:r w:rsidRPr="000F1E59">
              <w:rPr>
                <w:i/>
                <w:iCs/>
                <w:sz w:val="20"/>
              </w:rPr>
              <w:t>(number)</w:t>
            </w:r>
          </w:p>
        </w:tc>
        <w:tc>
          <w:tcPr>
            <w:tcW w:w="3058" w:type="pct"/>
          </w:tcPr>
          <w:p w14:paraId="1B9BB927" w14:textId="77777777" w:rsidR="000F1E59" w:rsidRPr="000F1E59" w:rsidRDefault="000F1E59" w:rsidP="000F1E59">
            <w:pPr>
              <w:pStyle w:val="TableCell"/>
              <w:spacing w:before="0" w:after="0" w:line="240" w:lineRule="auto"/>
              <w:jc w:val="left"/>
              <w:rPr>
                <w:sz w:val="20"/>
                <w:szCs w:val="20"/>
              </w:rPr>
            </w:pPr>
            <w:r w:rsidRPr="000F1E59">
              <w:rPr>
                <w:rFonts w:cs="Arial"/>
                <w:sz w:val="20"/>
                <w:szCs w:val="20"/>
              </w:rPr>
              <w:t>---</w:t>
            </w:r>
          </w:p>
        </w:tc>
      </w:tr>
      <w:tr w:rsidR="000F1E59" w:rsidRPr="000F1E59" w14:paraId="35F7EA11" w14:textId="77777777" w:rsidTr="000F1E59">
        <w:trPr>
          <w:trHeight w:val="238"/>
        </w:trPr>
        <w:tc>
          <w:tcPr>
            <w:tcW w:w="1942" w:type="pct"/>
          </w:tcPr>
          <w:p w14:paraId="5D8B498B" w14:textId="77777777" w:rsidR="000F1E59" w:rsidRPr="000F1E59" w:rsidRDefault="000F1E59" w:rsidP="000F1E59">
            <w:pPr>
              <w:pStyle w:val="TableRow"/>
              <w:spacing w:before="0" w:after="0" w:line="240" w:lineRule="auto"/>
              <w:jc w:val="right"/>
              <w:rPr>
                <w:sz w:val="20"/>
              </w:rPr>
            </w:pPr>
            <w:r w:rsidRPr="000F1E59">
              <w:rPr>
                <w:sz w:val="20"/>
              </w:rPr>
              <w:t xml:space="preserve">Municipal-level governments </w:t>
            </w:r>
            <w:r w:rsidRPr="000F1E59">
              <w:rPr>
                <w:i/>
                <w:iCs/>
                <w:sz w:val="20"/>
              </w:rPr>
              <w:t>(number)</w:t>
            </w:r>
          </w:p>
        </w:tc>
        <w:tc>
          <w:tcPr>
            <w:tcW w:w="3058" w:type="pct"/>
          </w:tcPr>
          <w:p w14:paraId="43913DAD" w14:textId="77777777" w:rsidR="000F1E59" w:rsidRPr="000F1E59" w:rsidRDefault="000F1E59" w:rsidP="000F1E59">
            <w:pPr>
              <w:pStyle w:val="TableCell"/>
              <w:spacing w:before="0" w:after="0" w:line="240" w:lineRule="auto"/>
              <w:jc w:val="left"/>
              <w:rPr>
                <w:sz w:val="20"/>
                <w:szCs w:val="20"/>
              </w:rPr>
            </w:pPr>
            <w:r w:rsidRPr="000F1E59">
              <w:rPr>
                <w:rFonts w:cs="Arial"/>
                <w:sz w:val="20"/>
                <w:szCs w:val="20"/>
              </w:rPr>
              <w:t>290 Municipalities (</w:t>
            </w:r>
            <w:r w:rsidRPr="000F1E59">
              <w:rPr>
                <w:rFonts w:cs="Arial"/>
                <w:i/>
                <w:iCs/>
                <w:sz w:val="20"/>
                <w:szCs w:val="20"/>
              </w:rPr>
              <w:t>kommuner</w:t>
            </w:r>
            <w:r w:rsidRPr="000F1E59">
              <w:rPr>
                <w:rFonts w:cs="Arial"/>
                <w:sz w:val="20"/>
                <w:szCs w:val="20"/>
              </w:rPr>
              <w:t>)</w:t>
            </w:r>
          </w:p>
        </w:tc>
      </w:tr>
      <w:tr w:rsidR="000F1E59" w:rsidRPr="000F1E59" w14:paraId="59980127" w14:textId="77777777" w:rsidTr="000F1E59">
        <w:trPr>
          <w:trHeight w:val="238"/>
        </w:trPr>
        <w:tc>
          <w:tcPr>
            <w:tcW w:w="1942" w:type="pct"/>
          </w:tcPr>
          <w:p w14:paraId="02DB6E50" w14:textId="77777777" w:rsidR="000F1E59" w:rsidRPr="000F1E59" w:rsidRDefault="000F1E59" w:rsidP="000F1E59">
            <w:pPr>
              <w:pStyle w:val="TableRow"/>
              <w:spacing w:before="0" w:after="0" w:line="240" w:lineRule="auto"/>
              <w:jc w:val="left"/>
              <w:rPr>
                <w:sz w:val="20"/>
              </w:rPr>
            </w:pPr>
            <w:r w:rsidRPr="000F1E59">
              <w:rPr>
                <w:sz w:val="20"/>
              </w:rPr>
              <w:t>Share of subnational government in total expenditure/revenues (2021</w:t>
            </w:r>
          </w:p>
        </w:tc>
        <w:tc>
          <w:tcPr>
            <w:tcW w:w="3058" w:type="pct"/>
          </w:tcPr>
          <w:p w14:paraId="3723A843" w14:textId="77777777" w:rsidR="000F1E59" w:rsidRPr="000F1E59" w:rsidRDefault="000F1E59" w:rsidP="000F1E59">
            <w:pPr>
              <w:spacing w:after="0" w:line="240" w:lineRule="auto"/>
              <w:jc w:val="left"/>
              <w:rPr>
                <w:rFonts w:ascii="Arial Narrow" w:hAnsi="Arial Narrow"/>
              </w:rPr>
            </w:pPr>
            <w:r w:rsidRPr="000F1E59">
              <w:rPr>
                <w:rFonts w:ascii="Arial Narrow" w:hAnsi="Arial Narrow"/>
              </w:rPr>
              <w:t>49.5% of total expenditure</w:t>
            </w:r>
          </w:p>
          <w:p w14:paraId="6DFAEAD4" w14:textId="77777777" w:rsidR="000F1E59" w:rsidRPr="000F1E59" w:rsidRDefault="000F1E59" w:rsidP="000F1E59">
            <w:pPr>
              <w:spacing w:after="0" w:line="240" w:lineRule="auto"/>
              <w:jc w:val="left"/>
              <w:rPr>
                <w:rFonts w:ascii="Arial Narrow" w:hAnsi="Arial Narrow"/>
              </w:rPr>
            </w:pPr>
            <w:r w:rsidRPr="000F1E59">
              <w:rPr>
                <w:rFonts w:ascii="Arial Narrow" w:hAnsi="Arial Narrow"/>
              </w:rPr>
              <w:t>50.7% of total revenues</w:t>
            </w:r>
          </w:p>
          <w:p w14:paraId="4E0FCBB7" w14:textId="77777777" w:rsidR="000F1E59" w:rsidRPr="000F1E59" w:rsidRDefault="000F1E59" w:rsidP="000F1E59">
            <w:pPr>
              <w:spacing w:after="0" w:line="240" w:lineRule="auto"/>
              <w:jc w:val="left"/>
              <w:rPr>
                <w:rFonts w:ascii="Arial Narrow" w:hAnsi="Arial Narrow"/>
              </w:rPr>
            </w:pPr>
          </w:p>
          <w:p w14:paraId="4F06F955" w14:textId="77777777" w:rsidR="000F1E59" w:rsidRPr="000F1E59" w:rsidRDefault="000F1E59" w:rsidP="000F1E59">
            <w:pPr>
              <w:pStyle w:val="TableCell"/>
              <w:spacing w:before="0" w:after="0" w:line="240" w:lineRule="auto"/>
              <w:jc w:val="left"/>
              <w:rPr>
                <w:rFonts w:cs="Arial"/>
                <w:sz w:val="20"/>
                <w:szCs w:val="20"/>
                <w:lang w:val="sv-SE"/>
              </w:rPr>
            </w:pPr>
            <w:r w:rsidRPr="000F1E59">
              <w:rPr>
                <w:sz w:val="20"/>
                <w:szCs w:val="20"/>
              </w:rPr>
              <w:t xml:space="preserve">[Source: </w:t>
            </w:r>
            <w:hyperlink r:id="rId10" w:history="1">
              <w:r w:rsidRPr="000F1E59">
                <w:rPr>
                  <w:rStyle w:val="Hyperlink"/>
                  <w:sz w:val="20"/>
                  <w:szCs w:val="20"/>
                </w:rPr>
                <w:t>Subnational governments in OECD countries: key data, 2023 edition</w:t>
              </w:r>
            </w:hyperlink>
            <w:r w:rsidRPr="000F1E59">
              <w:rPr>
                <w:sz w:val="20"/>
                <w:szCs w:val="20"/>
              </w:rPr>
              <w:t>]</w:t>
            </w:r>
          </w:p>
        </w:tc>
      </w:tr>
      <w:tr w:rsidR="000F1E59" w:rsidRPr="000F1E59" w14:paraId="4677148A" w14:textId="77777777" w:rsidTr="000F1E59">
        <w:trPr>
          <w:trHeight w:val="238"/>
        </w:trPr>
        <w:tc>
          <w:tcPr>
            <w:tcW w:w="1942" w:type="pct"/>
          </w:tcPr>
          <w:p w14:paraId="377115C0" w14:textId="77777777" w:rsidR="000F1E59" w:rsidRPr="000F1E59" w:rsidRDefault="000F1E59" w:rsidP="000F1E59">
            <w:pPr>
              <w:pStyle w:val="TableRow"/>
              <w:spacing w:before="0" w:after="0" w:line="240" w:lineRule="auto"/>
              <w:jc w:val="left"/>
              <w:rPr>
                <w:sz w:val="20"/>
              </w:rPr>
            </w:pPr>
            <w:r w:rsidRPr="000F1E59">
              <w:rPr>
                <w:sz w:val="20"/>
              </w:rPr>
              <w:t>Key regional development challenges</w:t>
            </w:r>
          </w:p>
        </w:tc>
        <w:tc>
          <w:tcPr>
            <w:tcW w:w="3058" w:type="pct"/>
          </w:tcPr>
          <w:p w14:paraId="085C45C3" w14:textId="77777777" w:rsidR="000F1E59" w:rsidRPr="000F1E59" w:rsidRDefault="000F1E59" w:rsidP="000F1E59">
            <w:pPr>
              <w:pStyle w:val="TableCell"/>
              <w:numPr>
                <w:ilvl w:val="0"/>
                <w:numId w:val="22"/>
              </w:numPr>
              <w:spacing w:before="0" w:after="0" w:line="240" w:lineRule="auto"/>
              <w:ind w:left="179" w:hanging="179"/>
              <w:jc w:val="left"/>
              <w:rPr>
                <w:rFonts w:cs="Arial"/>
                <w:sz w:val="20"/>
                <w:szCs w:val="20"/>
              </w:rPr>
            </w:pPr>
            <w:r w:rsidRPr="000F1E59">
              <w:rPr>
                <w:rFonts w:cs="Arial"/>
                <w:sz w:val="20"/>
                <w:szCs w:val="20"/>
              </w:rPr>
              <w:t>In the national strategy for sustainable regional development 2022–2030 five megatrends were defined: demographic change, globalisation, environment and climate, socio-economic challenges and cohesion, and finally technical development.</w:t>
            </w:r>
          </w:p>
          <w:p w14:paraId="56ED099A" w14:textId="77777777" w:rsidR="000F1E59" w:rsidRPr="000F1E59" w:rsidRDefault="000F1E59" w:rsidP="000F1E59">
            <w:pPr>
              <w:pStyle w:val="TableCell"/>
              <w:numPr>
                <w:ilvl w:val="0"/>
                <w:numId w:val="22"/>
              </w:numPr>
              <w:spacing w:before="0" w:after="0" w:line="240" w:lineRule="auto"/>
              <w:ind w:left="179" w:hanging="179"/>
              <w:jc w:val="left"/>
              <w:rPr>
                <w:rFonts w:cs="Arial"/>
                <w:sz w:val="20"/>
                <w:szCs w:val="20"/>
              </w:rPr>
            </w:pPr>
            <w:r w:rsidRPr="000F1E59">
              <w:rPr>
                <w:rFonts w:cs="Arial"/>
                <w:sz w:val="20"/>
                <w:szCs w:val="20"/>
              </w:rPr>
              <w:t xml:space="preserve">In the 2023 budget bill, the government also pointed out welfare and skills supply. </w:t>
            </w:r>
          </w:p>
          <w:p w14:paraId="5E9648E3" w14:textId="77777777" w:rsidR="000F1E59" w:rsidRPr="000F1E59" w:rsidRDefault="000F1E59" w:rsidP="000F1E59">
            <w:pPr>
              <w:pStyle w:val="TableCell"/>
              <w:numPr>
                <w:ilvl w:val="0"/>
                <w:numId w:val="22"/>
              </w:numPr>
              <w:spacing w:before="0" w:after="0" w:line="240" w:lineRule="auto"/>
              <w:ind w:left="179" w:hanging="179"/>
              <w:jc w:val="left"/>
              <w:rPr>
                <w:rFonts w:cs="Arial"/>
                <w:sz w:val="20"/>
                <w:szCs w:val="20"/>
              </w:rPr>
            </w:pPr>
            <w:r w:rsidRPr="000F1E59">
              <w:rPr>
                <w:rFonts w:cs="Arial"/>
                <w:sz w:val="20"/>
                <w:szCs w:val="20"/>
              </w:rPr>
              <w:t>More recently, rising inflationary pressures and rising prices of energy.</w:t>
            </w:r>
          </w:p>
        </w:tc>
      </w:tr>
      <w:tr w:rsidR="000F1E59" w:rsidRPr="000F1E59" w14:paraId="005AD1A7" w14:textId="77777777" w:rsidTr="000F1E59">
        <w:trPr>
          <w:trHeight w:val="238"/>
        </w:trPr>
        <w:tc>
          <w:tcPr>
            <w:tcW w:w="1942" w:type="pct"/>
          </w:tcPr>
          <w:p w14:paraId="615BD76F" w14:textId="77777777" w:rsidR="000F1E59" w:rsidRPr="000F1E59" w:rsidRDefault="000F1E59" w:rsidP="000F1E59">
            <w:pPr>
              <w:pStyle w:val="TableRow"/>
              <w:spacing w:before="0" w:after="0" w:line="240" w:lineRule="auto"/>
              <w:jc w:val="left"/>
              <w:rPr>
                <w:sz w:val="20"/>
              </w:rPr>
            </w:pPr>
            <w:r w:rsidRPr="000F1E59">
              <w:rPr>
                <w:sz w:val="20"/>
              </w:rPr>
              <w:t>Objectives of regional policy</w:t>
            </w:r>
          </w:p>
        </w:tc>
        <w:tc>
          <w:tcPr>
            <w:tcW w:w="3058" w:type="pct"/>
          </w:tcPr>
          <w:p w14:paraId="1B64AD58" w14:textId="77777777" w:rsidR="000F1E59" w:rsidRPr="000F1E59" w:rsidRDefault="000F1E59" w:rsidP="000F1E59">
            <w:pPr>
              <w:pStyle w:val="TableCell"/>
              <w:spacing w:before="0" w:after="0" w:line="240" w:lineRule="auto"/>
              <w:jc w:val="left"/>
              <w:rPr>
                <w:sz w:val="20"/>
                <w:szCs w:val="20"/>
              </w:rPr>
            </w:pPr>
            <w:r w:rsidRPr="000F1E59">
              <w:rPr>
                <w:sz w:val="20"/>
                <w:szCs w:val="20"/>
              </w:rPr>
              <w:t>Development power with strengthened local and regional competitiveness for sustainable development in all parts of the country.</w:t>
            </w:r>
          </w:p>
        </w:tc>
      </w:tr>
      <w:tr w:rsidR="000F1E59" w:rsidRPr="000F1E59" w14:paraId="3632A206" w14:textId="77777777" w:rsidTr="000F1E59">
        <w:trPr>
          <w:trHeight w:val="238"/>
        </w:trPr>
        <w:tc>
          <w:tcPr>
            <w:tcW w:w="1942" w:type="pct"/>
          </w:tcPr>
          <w:p w14:paraId="3729AE7D" w14:textId="77777777" w:rsidR="000F1E59" w:rsidRPr="000F1E59" w:rsidRDefault="000F1E59" w:rsidP="000F1E59">
            <w:pPr>
              <w:pStyle w:val="TableRow"/>
              <w:spacing w:before="0" w:after="0" w:line="240" w:lineRule="auto"/>
              <w:jc w:val="left"/>
              <w:rPr>
                <w:sz w:val="20"/>
              </w:rPr>
            </w:pPr>
            <w:r w:rsidRPr="000F1E59">
              <w:rPr>
                <w:sz w:val="20"/>
              </w:rPr>
              <w:t>Legal/institutional framework for regional policy</w:t>
            </w:r>
          </w:p>
        </w:tc>
        <w:tc>
          <w:tcPr>
            <w:tcW w:w="3058" w:type="pct"/>
          </w:tcPr>
          <w:p w14:paraId="5517BB71" w14:textId="77777777" w:rsidR="000F1E59" w:rsidRPr="000F1E59" w:rsidRDefault="000F1E59" w:rsidP="000F1E59">
            <w:pPr>
              <w:pStyle w:val="TableCell"/>
              <w:numPr>
                <w:ilvl w:val="0"/>
                <w:numId w:val="22"/>
              </w:numPr>
              <w:spacing w:before="0" w:after="0" w:line="240" w:lineRule="auto"/>
              <w:ind w:left="179" w:hanging="179"/>
              <w:jc w:val="left"/>
              <w:rPr>
                <w:rFonts w:cs="Arial"/>
                <w:sz w:val="20"/>
                <w:szCs w:val="20"/>
                <w:lang w:val="sv-SE"/>
              </w:rPr>
            </w:pPr>
            <w:r w:rsidRPr="000F1E59">
              <w:rPr>
                <w:sz w:val="20"/>
                <w:szCs w:val="20"/>
                <w:lang w:val="sv-SE"/>
              </w:rPr>
              <w:t>Regional Development Responsibility Law (Lag 2010:630 om regionalt utvecklingsansvar)</w:t>
            </w:r>
          </w:p>
          <w:p w14:paraId="0A7EB199" w14:textId="77777777" w:rsidR="000F1E59" w:rsidRPr="000F1E59" w:rsidRDefault="000F1E59" w:rsidP="000F1E59">
            <w:pPr>
              <w:pStyle w:val="TableCell"/>
              <w:numPr>
                <w:ilvl w:val="0"/>
                <w:numId w:val="22"/>
              </w:numPr>
              <w:spacing w:before="0" w:after="0" w:line="240" w:lineRule="auto"/>
              <w:ind w:left="179" w:hanging="179"/>
              <w:jc w:val="left"/>
              <w:rPr>
                <w:rFonts w:cs="Arial"/>
                <w:sz w:val="20"/>
                <w:szCs w:val="20"/>
              </w:rPr>
            </w:pPr>
            <w:r w:rsidRPr="000F1E59">
              <w:rPr>
                <w:sz w:val="20"/>
                <w:szCs w:val="20"/>
              </w:rPr>
              <w:t>Regulation 2017:583 on Regional growth work (</w:t>
            </w:r>
            <w:r w:rsidRPr="000F1E59">
              <w:rPr>
                <w:i/>
                <w:iCs/>
                <w:sz w:val="20"/>
                <w:szCs w:val="20"/>
              </w:rPr>
              <w:t>Förordning 2017:583 om regionalt tillväxtarbete</w:t>
            </w:r>
            <w:r w:rsidRPr="000F1E59">
              <w:rPr>
                <w:sz w:val="20"/>
                <w:szCs w:val="20"/>
              </w:rPr>
              <w:t>)</w:t>
            </w:r>
          </w:p>
          <w:p w14:paraId="3970025D" w14:textId="77777777" w:rsidR="000F1E59" w:rsidRPr="000F1E59" w:rsidRDefault="000F1E59" w:rsidP="000F1E59">
            <w:pPr>
              <w:pStyle w:val="TableCell"/>
              <w:numPr>
                <w:ilvl w:val="0"/>
                <w:numId w:val="22"/>
              </w:numPr>
              <w:spacing w:before="0" w:after="0" w:line="240" w:lineRule="auto"/>
              <w:ind w:left="179" w:hanging="179"/>
              <w:jc w:val="left"/>
              <w:rPr>
                <w:rFonts w:cs="Arial"/>
                <w:sz w:val="20"/>
                <w:szCs w:val="20"/>
              </w:rPr>
            </w:pPr>
            <w:r w:rsidRPr="000F1E59">
              <w:rPr>
                <w:sz w:val="20"/>
                <w:szCs w:val="20"/>
              </w:rPr>
              <w:t>The Constitution, the Instrument of Government: Chapter 1, section 1, Self governance of municipalities and regions</w:t>
            </w:r>
          </w:p>
          <w:p w14:paraId="19178414" w14:textId="77777777" w:rsidR="000F1E59" w:rsidRPr="000F1E59" w:rsidRDefault="000F1E59" w:rsidP="000F1E59">
            <w:pPr>
              <w:pStyle w:val="TableCell"/>
              <w:numPr>
                <w:ilvl w:val="0"/>
                <w:numId w:val="22"/>
              </w:numPr>
              <w:spacing w:before="0" w:after="0" w:line="240" w:lineRule="auto"/>
              <w:ind w:left="179" w:hanging="179"/>
              <w:jc w:val="left"/>
              <w:rPr>
                <w:rFonts w:cs="Arial"/>
                <w:sz w:val="20"/>
                <w:szCs w:val="20"/>
              </w:rPr>
            </w:pPr>
            <w:r w:rsidRPr="000F1E59">
              <w:rPr>
                <w:rFonts w:cs="Arial"/>
                <w:sz w:val="20"/>
                <w:szCs w:val="20"/>
              </w:rPr>
              <w:t>Treaty on the Functioning of the European Union, Article 174.</w:t>
            </w:r>
          </w:p>
        </w:tc>
      </w:tr>
      <w:tr w:rsidR="000F1E59" w:rsidRPr="000F1E59" w14:paraId="25EFE192" w14:textId="77777777" w:rsidTr="000F1E59">
        <w:trPr>
          <w:trHeight w:val="238"/>
        </w:trPr>
        <w:tc>
          <w:tcPr>
            <w:tcW w:w="1942" w:type="pct"/>
          </w:tcPr>
          <w:p w14:paraId="4F7E80D8" w14:textId="77777777" w:rsidR="000F1E59" w:rsidRPr="000F1E59" w:rsidRDefault="000F1E59" w:rsidP="000F1E59">
            <w:pPr>
              <w:pStyle w:val="TableRow"/>
              <w:spacing w:before="0" w:after="0" w:line="240" w:lineRule="auto"/>
              <w:rPr>
                <w:sz w:val="20"/>
              </w:rPr>
            </w:pPr>
            <w:r w:rsidRPr="000F1E59">
              <w:rPr>
                <w:sz w:val="20"/>
              </w:rPr>
              <w:t>Budget allocated to regional development (i.e., amount) and fiscal equalisation mechanisms between jurisdictions (if any)</w:t>
            </w:r>
          </w:p>
        </w:tc>
        <w:tc>
          <w:tcPr>
            <w:tcW w:w="3058" w:type="pct"/>
          </w:tcPr>
          <w:p w14:paraId="4321AEF1" w14:textId="77777777" w:rsidR="000F1E59" w:rsidRPr="000F1E59" w:rsidRDefault="000F1E59" w:rsidP="000F1E59">
            <w:pPr>
              <w:pStyle w:val="TableCell"/>
              <w:numPr>
                <w:ilvl w:val="0"/>
                <w:numId w:val="22"/>
              </w:numPr>
              <w:spacing w:before="0" w:after="0" w:line="240" w:lineRule="auto"/>
              <w:ind w:left="179" w:hanging="179"/>
              <w:jc w:val="left"/>
              <w:rPr>
                <w:rFonts w:cs="Arial"/>
                <w:sz w:val="20"/>
                <w:szCs w:val="20"/>
              </w:rPr>
            </w:pPr>
            <w:r w:rsidRPr="000F1E59">
              <w:rPr>
                <w:rFonts w:cs="Arial"/>
                <w:sz w:val="20"/>
                <w:szCs w:val="20"/>
              </w:rPr>
              <w:t>Regional policy approximately 2021–2027 includes ERDF, JTF and national budget (regional development and transport grant) €2,7 billions 2021–2027.</w:t>
            </w:r>
          </w:p>
          <w:p w14:paraId="7E413089" w14:textId="77777777" w:rsidR="000F1E59" w:rsidRPr="000F1E59" w:rsidRDefault="000F1E59" w:rsidP="000F1E59">
            <w:pPr>
              <w:pStyle w:val="TableCell"/>
              <w:numPr>
                <w:ilvl w:val="0"/>
                <w:numId w:val="22"/>
              </w:numPr>
              <w:spacing w:before="0" w:after="0" w:line="240" w:lineRule="auto"/>
              <w:ind w:left="179" w:hanging="179"/>
              <w:jc w:val="left"/>
              <w:rPr>
                <w:rFonts w:cs="Arial"/>
                <w:sz w:val="20"/>
                <w:szCs w:val="20"/>
              </w:rPr>
            </w:pPr>
            <w:r w:rsidRPr="000F1E59">
              <w:rPr>
                <w:sz w:val="20"/>
                <w:szCs w:val="20"/>
              </w:rPr>
              <w:t xml:space="preserve">Economic equalisation for regional and local governments (municipalities) and equalisation of municipal costs for support and service (total 2023: SEK billion 152, 71 percent targeting municipalities, governmental grants approx. 90% of total.) </w:t>
            </w:r>
          </w:p>
        </w:tc>
      </w:tr>
      <w:tr w:rsidR="000F1E59" w:rsidRPr="000F1E59" w14:paraId="3BCD2465" w14:textId="77777777" w:rsidTr="000F1E59">
        <w:trPr>
          <w:trHeight w:val="238"/>
        </w:trPr>
        <w:tc>
          <w:tcPr>
            <w:tcW w:w="1942" w:type="pct"/>
          </w:tcPr>
          <w:p w14:paraId="7EAD63CB" w14:textId="77777777" w:rsidR="000F1E59" w:rsidRPr="000F1E59" w:rsidRDefault="000F1E59" w:rsidP="000F1E59">
            <w:pPr>
              <w:pStyle w:val="TableRow"/>
              <w:spacing w:before="0" w:after="0" w:line="240" w:lineRule="auto"/>
              <w:rPr>
                <w:sz w:val="20"/>
              </w:rPr>
            </w:pPr>
            <w:r w:rsidRPr="000F1E59">
              <w:rPr>
                <w:sz w:val="20"/>
              </w:rPr>
              <w:t>National regional development policy framework</w:t>
            </w:r>
          </w:p>
        </w:tc>
        <w:tc>
          <w:tcPr>
            <w:tcW w:w="3058" w:type="pct"/>
          </w:tcPr>
          <w:p w14:paraId="5CDA6711" w14:textId="77777777" w:rsidR="000F1E59" w:rsidRPr="000F1E59" w:rsidRDefault="000F1E59" w:rsidP="000F1E59">
            <w:pPr>
              <w:pStyle w:val="TableCell"/>
              <w:numPr>
                <w:ilvl w:val="0"/>
                <w:numId w:val="22"/>
              </w:numPr>
              <w:spacing w:before="0" w:after="0" w:line="240" w:lineRule="auto"/>
              <w:ind w:left="179" w:hanging="179"/>
              <w:jc w:val="left"/>
              <w:rPr>
                <w:rFonts w:cs="Arial"/>
                <w:sz w:val="20"/>
                <w:szCs w:val="20"/>
              </w:rPr>
            </w:pPr>
            <w:r w:rsidRPr="000F1E59">
              <w:rPr>
                <w:rFonts w:cs="Arial"/>
                <w:sz w:val="20"/>
                <w:szCs w:val="20"/>
              </w:rPr>
              <w:t>National strategy for sustainable regional development throughout Sweden 2021–2030</w:t>
            </w:r>
          </w:p>
          <w:p w14:paraId="41B0EEFD" w14:textId="77777777" w:rsidR="000F1E59" w:rsidRPr="000F1E59" w:rsidRDefault="000F1E59" w:rsidP="000F1E59">
            <w:pPr>
              <w:pStyle w:val="TableCell"/>
              <w:numPr>
                <w:ilvl w:val="0"/>
                <w:numId w:val="22"/>
              </w:numPr>
              <w:spacing w:before="0" w:after="0" w:line="240" w:lineRule="auto"/>
              <w:ind w:left="179" w:hanging="179"/>
              <w:jc w:val="left"/>
              <w:rPr>
                <w:rFonts w:cs="Arial"/>
                <w:sz w:val="20"/>
                <w:szCs w:val="20"/>
              </w:rPr>
            </w:pPr>
            <w:r w:rsidRPr="000F1E59">
              <w:rPr>
                <w:sz w:val="20"/>
                <w:szCs w:val="20"/>
              </w:rPr>
              <w:t>Partnership Agreement 2021–2027 for Sweden which covers the strategic direction of European Regional Development Fund, Just Transition Fund, European Maritime and Fisheries Fund, European Social Fund+</w:t>
            </w:r>
          </w:p>
        </w:tc>
      </w:tr>
      <w:tr w:rsidR="000F1E59" w:rsidRPr="000F1E59" w14:paraId="43981290" w14:textId="77777777" w:rsidTr="000F1E59">
        <w:trPr>
          <w:trHeight w:val="238"/>
        </w:trPr>
        <w:tc>
          <w:tcPr>
            <w:tcW w:w="1942" w:type="pct"/>
          </w:tcPr>
          <w:p w14:paraId="47FA1148" w14:textId="77777777" w:rsidR="000F1E59" w:rsidRPr="000F1E59" w:rsidRDefault="000F1E59" w:rsidP="000F1E59">
            <w:pPr>
              <w:pStyle w:val="TableRow"/>
              <w:spacing w:before="0" w:after="0" w:line="240" w:lineRule="auto"/>
              <w:jc w:val="left"/>
              <w:rPr>
                <w:sz w:val="20"/>
              </w:rPr>
            </w:pPr>
            <w:r w:rsidRPr="000F1E59">
              <w:rPr>
                <w:sz w:val="20"/>
              </w:rPr>
              <w:t>Urban policy framework</w:t>
            </w:r>
          </w:p>
        </w:tc>
        <w:tc>
          <w:tcPr>
            <w:tcW w:w="3058" w:type="pct"/>
          </w:tcPr>
          <w:p w14:paraId="5F75C1C9" w14:textId="77777777" w:rsidR="000F1E59" w:rsidRPr="000F1E59" w:rsidRDefault="000F1E59" w:rsidP="000F1E59">
            <w:pPr>
              <w:pStyle w:val="TableCell"/>
              <w:numPr>
                <w:ilvl w:val="0"/>
                <w:numId w:val="22"/>
              </w:numPr>
              <w:spacing w:before="0" w:after="0" w:line="240" w:lineRule="auto"/>
              <w:ind w:left="179" w:hanging="179"/>
              <w:jc w:val="left"/>
              <w:rPr>
                <w:rFonts w:cs="Arial"/>
                <w:sz w:val="20"/>
                <w:szCs w:val="20"/>
              </w:rPr>
            </w:pPr>
            <w:r w:rsidRPr="000F1E59">
              <w:rPr>
                <w:rFonts w:cs="Arial"/>
                <w:sz w:val="20"/>
                <w:szCs w:val="20"/>
              </w:rPr>
              <w:t>Strategy for liveable cities – Policy for sustainable urban development. (Skr. 2017/18:230)</w:t>
            </w:r>
          </w:p>
        </w:tc>
      </w:tr>
      <w:tr w:rsidR="000F1E59" w:rsidRPr="000F1E59" w14:paraId="2624A713" w14:textId="77777777" w:rsidTr="000F1E59">
        <w:trPr>
          <w:trHeight w:val="238"/>
        </w:trPr>
        <w:tc>
          <w:tcPr>
            <w:tcW w:w="1942" w:type="pct"/>
          </w:tcPr>
          <w:p w14:paraId="3C0CF049" w14:textId="77777777" w:rsidR="000F1E59" w:rsidRPr="000F1E59" w:rsidRDefault="000F1E59" w:rsidP="000F1E59">
            <w:pPr>
              <w:pStyle w:val="TableRow"/>
              <w:spacing w:before="0" w:after="0" w:line="240" w:lineRule="auto"/>
              <w:jc w:val="left"/>
              <w:rPr>
                <w:sz w:val="20"/>
              </w:rPr>
            </w:pPr>
            <w:r w:rsidRPr="000F1E59">
              <w:rPr>
                <w:sz w:val="20"/>
              </w:rPr>
              <w:t>Rural policy framework</w:t>
            </w:r>
          </w:p>
        </w:tc>
        <w:tc>
          <w:tcPr>
            <w:tcW w:w="3058" w:type="pct"/>
          </w:tcPr>
          <w:p w14:paraId="576AEF6B" w14:textId="77777777" w:rsidR="000F1E59" w:rsidRPr="000F1E59" w:rsidRDefault="000F1E59" w:rsidP="000F1E59">
            <w:pPr>
              <w:pStyle w:val="TableCell"/>
              <w:numPr>
                <w:ilvl w:val="0"/>
                <w:numId w:val="22"/>
              </w:numPr>
              <w:spacing w:before="0" w:after="0" w:line="240" w:lineRule="auto"/>
              <w:ind w:left="179" w:hanging="179"/>
              <w:jc w:val="left"/>
              <w:rPr>
                <w:rFonts w:cs="Arial"/>
                <w:sz w:val="20"/>
                <w:szCs w:val="20"/>
              </w:rPr>
            </w:pPr>
            <w:r w:rsidRPr="000F1E59">
              <w:rPr>
                <w:rFonts w:cs="Arial"/>
                <w:sz w:val="20"/>
                <w:szCs w:val="20"/>
              </w:rPr>
              <w:t>Sweden has a national rural policy defined by the Coherent Rural Policy Bill 2018. Its main goal is to have viable rural areas with equal opportunities for enterprise, work, housing and welfare that lead to long-term sustainable development throughout the country. The policy specifies objectives, policy areas and measures for rural development.</w:t>
            </w:r>
          </w:p>
          <w:p w14:paraId="3C6FBFFA" w14:textId="77777777" w:rsidR="000F1E59" w:rsidRPr="000F1E59" w:rsidRDefault="000F1E59" w:rsidP="000F1E59">
            <w:pPr>
              <w:pStyle w:val="TableCell"/>
              <w:numPr>
                <w:ilvl w:val="0"/>
                <w:numId w:val="22"/>
              </w:numPr>
              <w:spacing w:before="0" w:after="0" w:line="240" w:lineRule="auto"/>
              <w:ind w:left="179" w:hanging="179"/>
              <w:jc w:val="left"/>
              <w:rPr>
                <w:rFonts w:cs="Arial"/>
                <w:sz w:val="20"/>
                <w:szCs w:val="20"/>
              </w:rPr>
            </w:pPr>
            <w:r w:rsidRPr="000F1E59">
              <w:rPr>
                <w:rFonts w:cs="Arial"/>
                <w:sz w:val="20"/>
                <w:szCs w:val="20"/>
              </w:rPr>
              <w:t>Common agricultural policy 2023–2027 (LEADER)</w:t>
            </w:r>
          </w:p>
        </w:tc>
      </w:tr>
      <w:tr w:rsidR="000F1E59" w:rsidRPr="000F1E59" w14:paraId="2F44D25E" w14:textId="77777777" w:rsidTr="000F1E59">
        <w:trPr>
          <w:trHeight w:val="238"/>
        </w:trPr>
        <w:tc>
          <w:tcPr>
            <w:tcW w:w="1942" w:type="pct"/>
          </w:tcPr>
          <w:p w14:paraId="672A41CB" w14:textId="77777777" w:rsidR="000F1E59" w:rsidRPr="000F1E59" w:rsidRDefault="000F1E59" w:rsidP="000F1E59">
            <w:pPr>
              <w:pStyle w:val="TableRow"/>
              <w:spacing w:before="0" w:after="0" w:line="240" w:lineRule="auto"/>
              <w:jc w:val="left"/>
              <w:rPr>
                <w:sz w:val="20"/>
              </w:rPr>
            </w:pPr>
            <w:r w:rsidRPr="000F1E59">
              <w:rPr>
                <w:sz w:val="20"/>
              </w:rPr>
              <w:t>Major regional policy tools (e.g., funds, plans, policy initiatives, institutional agreements, etc.)</w:t>
            </w:r>
          </w:p>
        </w:tc>
        <w:tc>
          <w:tcPr>
            <w:tcW w:w="3058" w:type="pct"/>
          </w:tcPr>
          <w:p w14:paraId="5B2AE3EF" w14:textId="77777777" w:rsidR="000F1E59" w:rsidRPr="000F1E59" w:rsidRDefault="000F1E59" w:rsidP="000F1E59">
            <w:pPr>
              <w:pStyle w:val="TableCell"/>
              <w:numPr>
                <w:ilvl w:val="0"/>
                <w:numId w:val="22"/>
              </w:numPr>
              <w:spacing w:before="0" w:after="0" w:line="240" w:lineRule="auto"/>
              <w:ind w:left="179" w:hanging="179"/>
              <w:jc w:val="left"/>
              <w:rPr>
                <w:rFonts w:cs="Arial"/>
                <w:sz w:val="20"/>
                <w:szCs w:val="20"/>
                <w:lang w:val="sv-SE"/>
              </w:rPr>
            </w:pPr>
            <w:r w:rsidRPr="000F1E59">
              <w:rPr>
                <w:sz w:val="20"/>
                <w:szCs w:val="20"/>
                <w:lang w:val="sv-SE"/>
              </w:rPr>
              <w:t>National grants for regional development (</w:t>
            </w:r>
            <w:r w:rsidRPr="000F1E59">
              <w:rPr>
                <w:i/>
                <w:iCs/>
                <w:sz w:val="20"/>
                <w:szCs w:val="20"/>
                <w:lang w:val="sv-SE"/>
              </w:rPr>
              <w:t>Anslag 1:1 Regionala utvecklingsåtgärder inom utgiftsområde 19 Regional utveckling</w:t>
            </w:r>
            <w:r w:rsidRPr="000F1E59">
              <w:rPr>
                <w:sz w:val="20"/>
                <w:szCs w:val="20"/>
                <w:lang w:val="sv-SE"/>
              </w:rPr>
              <w:t>)</w:t>
            </w:r>
          </w:p>
          <w:p w14:paraId="177723D7" w14:textId="77777777" w:rsidR="000F1E59" w:rsidRPr="000F1E59" w:rsidRDefault="000F1E59" w:rsidP="000F1E59">
            <w:pPr>
              <w:pStyle w:val="TableCell"/>
              <w:numPr>
                <w:ilvl w:val="0"/>
                <w:numId w:val="22"/>
              </w:numPr>
              <w:spacing w:before="0" w:after="0" w:line="240" w:lineRule="auto"/>
              <w:ind w:left="179" w:hanging="179"/>
              <w:jc w:val="left"/>
              <w:rPr>
                <w:rFonts w:cs="Arial"/>
                <w:sz w:val="20"/>
                <w:szCs w:val="20"/>
              </w:rPr>
            </w:pPr>
            <w:r w:rsidRPr="000F1E59">
              <w:rPr>
                <w:sz w:val="20"/>
                <w:szCs w:val="20"/>
              </w:rPr>
              <w:t>European Regional Development Funds</w:t>
            </w:r>
          </w:p>
          <w:p w14:paraId="50A6A4AE" w14:textId="77777777" w:rsidR="000F1E59" w:rsidRPr="000F1E59" w:rsidRDefault="000F1E59" w:rsidP="000F1E59">
            <w:pPr>
              <w:pStyle w:val="TableCell"/>
              <w:numPr>
                <w:ilvl w:val="0"/>
                <w:numId w:val="22"/>
              </w:numPr>
              <w:spacing w:before="0" w:after="0" w:line="240" w:lineRule="auto"/>
              <w:ind w:left="179" w:hanging="179"/>
              <w:jc w:val="left"/>
              <w:rPr>
                <w:rFonts w:cs="Arial"/>
                <w:sz w:val="20"/>
                <w:szCs w:val="20"/>
              </w:rPr>
            </w:pPr>
            <w:r w:rsidRPr="000F1E59">
              <w:rPr>
                <w:rFonts w:cs="Arial"/>
                <w:sz w:val="20"/>
                <w:szCs w:val="20"/>
              </w:rPr>
              <w:t>Just Transition Fund</w:t>
            </w:r>
          </w:p>
          <w:p w14:paraId="24087C2F" w14:textId="77777777" w:rsidR="000F1E59" w:rsidRPr="000F1E59" w:rsidRDefault="000F1E59" w:rsidP="000F1E59">
            <w:pPr>
              <w:pStyle w:val="TableCell"/>
              <w:numPr>
                <w:ilvl w:val="0"/>
                <w:numId w:val="22"/>
              </w:numPr>
              <w:spacing w:before="0" w:after="0" w:line="240" w:lineRule="auto"/>
              <w:ind w:left="179" w:hanging="179"/>
              <w:jc w:val="left"/>
              <w:rPr>
                <w:rFonts w:cs="Arial"/>
                <w:sz w:val="20"/>
                <w:szCs w:val="20"/>
              </w:rPr>
            </w:pPr>
            <w:r w:rsidRPr="000F1E59">
              <w:rPr>
                <w:sz w:val="20"/>
                <w:szCs w:val="20"/>
              </w:rPr>
              <w:t>Regulation on regional transport grants (to companies in the four most northern counties of Sweden) (</w:t>
            </w:r>
            <w:r w:rsidRPr="000F1E59">
              <w:rPr>
                <w:i/>
                <w:iCs/>
                <w:sz w:val="20"/>
                <w:szCs w:val="20"/>
              </w:rPr>
              <w:t xml:space="preserve">Förordning 2000:281 om regionalt </w:t>
            </w:r>
            <w:r w:rsidRPr="000F1E59">
              <w:rPr>
                <w:i/>
                <w:iCs/>
                <w:sz w:val="20"/>
                <w:szCs w:val="20"/>
              </w:rPr>
              <w:lastRenderedPageBreak/>
              <w:t>transportbidrag</w:t>
            </w:r>
            <w:r w:rsidRPr="000F1E59">
              <w:rPr>
                <w:sz w:val="20"/>
                <w:szCs w:val="20"/>
              </w:rPr>
              <w:t>)</w:t>
            </w:r>
          </w:p>
          <w:p w14:paraId="7490C9CC" w14:textId="77777777" w:rsidR="000F1E59" w:rsidRPr="000F1E59" w:rsidRDefault="000F1E59" w:rsidP="000F1E59">
            <w:pPr>
              <w:pStyle w:val="TableCell"/>
              <w:numPr>
                <w:ilvl w:val="0"/>
                <w:numId w:val="22"/>
              </w:numPr>
              <w:spacing w:before="0" w:after="0" w:line="240" w:lineRule="auto"/>
              <w:ind w:left="179" w:hanging="179"/>
              <w:jc w:val="left"/>
              <w:rPr>
                <w:rFonts w:cs="Arial"/>
                <w:sz w:val="20"/>
                <w:szCs w:val="20"/>
                <w:lang w:val="sv-SE"/>
              </w:rPr>
            </w:pPr>
            <w:r w:rsidRPr="000F1E59">
              <w:rPr>
                <w:sz w:val="20"/>
                <w:szCs w:val="20"/>
                <w:lang w:val="sv-SE"/>
              </w:rPr>
              <w:t>Regulation on regional investment aids (Förordning 2015:211 om statligt stöd till regionala investeringar)</w:t>
            </w:r>
          </w:p>
          <w:p w14:paraId="719A962F" w14:textId="77777777" w:rsidR="000F1E59" w:rsidRPr="000F1E59" w:rsidRDefault="000F1E59" w:rsidP="000F1E59">
            <w:pPr>
              <w:pStyle w:val="TableCell"/>
              <w:numPr>
                <w:ilvl w:val="0"/>
                <w:numId w:val="22"/>
              </w:numPr>
              <w:spacing w:before="0" w:after="0" w:line="240" w:lineRule="auto"/>
              <w:ind w:left="179" w:hanging="179"/>
              <w:jc w:val="left"/>
              <w:rPr>
                <w:rFonts w:cs="Arial"/>
                <w:sz w:val="20"/>
                <w:szCs w:val="20"/>
              </w:rPr>
            </w:pPr>
            <w:r w:rsidRPr="000F1E59">
              <w:rPr>
                <w:sz w:val="20"/>
                <w:szCs w:val="20"/>
              </w:rPr>
              <w:t xml:space="preserve">Regulation on aid to commercial services (grocery stores, petrol stations in rural areas) </w:t>
            </w:r>
            <w:r w:rsidRPr="000F1E59">
              <w:rPr>
                <w:i/>
                <w:iCs/>
                <w:sz w:val="20"/>
                <w:szCs w:val="20"/>
              </w:rPr>
              <w:t>(Förordning 2000:284 om stöd till kommersiell servic</w:t>
            </w:r>
            <w:r w:rsidRPr="000F1E59">
              <w:rPr>
                <w:sz w:val="20"/>
                <w:szCs w:val="20"/>
              </w:rPr>
              <w:t xml:space="preserve">e) </w:t>
            </w:r>
          </w:p>
          <w:p w14:paraId="52808BAC" w14:textId="77777777" w:rsidR="000F1E59" w:rsidRPr="000F1E59" w:rsidRDefault="000F1E59" w:rsidP="000F1E59">
            <w:pPr>
              <w:pStyle w:val="TableCell"/>
              <w:numPr>
                <w:ilvl w:val="0"/>
                <w:numId w:val="22"/>
              </w:numPr>
              <w:spacing w:before="0" w:after="0" w:line="240" w:lineRule="auto"/>
              <w:ind w:left="179" w:hanging="179"/>
              <w:jc w:val="left"/>
              <w:rPr>
                <w:rFonts w:cs="Arial"/>
                <w:sz w:val="20"/>
                <w:szCs w:val="20"/>
                <w:lang w:val="sv-SE"/>
              </w:rPr>
            </w:pPr>
            <w:r w:rsidRPr="000F1E59">
              <w:rPr>
                <w:sz w:val="20"/>
                <w:szCs w:val="20"/>
                <w:lang w:val="sv-SE"/>
              </w:rPr>
              <w:t>Regulation on grants for project activities within the regional growth policy (</w:t>
            </w:r>
            <w:r w:rsidRPr="000F1E59">
              <w:rPr>
                <w:i/>
                <w:iCs/>
                <w:sz w:val="20"/>
                <w:szCs w:val="20"/>
                <w:lang w:val="sv-SE"/>
              </w:rPr>
              <w:t>Förordningen 2003 :596 om bidrag för projektverksamhet inom den regionala tillväxtpolitiken</w:t>
            </w:r>
            <w:r w:rsidRPr="000F1E59">
              <w:rPr>
                <w:sz w:val="20"/>
                <w:szCs w:val="20"/>
                <w:lang w:val="sv-SE"/>
              </w:rPr>
              <w:t>)</w:t>
            </w:r>
          </w:p>
          <w:p w14:paraId="287B3667" w14:textId="77777777" w:rsidR="000F1E59" w:rsidRPr="000F1E59" w:rsidRDefault="000F1E59" w:rsidP="000F1E59">
            <w:pPr>
              <w:pStyle w:val="TableCell"/>
              <w:numPr>
                <w:ilvl w:val="0"/>
                <w:numId w:val="22"/>
              </w:numPr>
              <w:spacing w:before="0" w:after="0" w:line="240" w:lineRule="auto"/>
              <w:ind w:left="179" w:hanging="179"/>
              <w:jc w:val="left"/>
              <w:rPr>
                <w:rFonts w:cs="Arial"/>
                <w:sz w:val="20"/>
                <w:szCs w:val="20"/>
              </w:rPr>
            </w:pPr>
            <w:r w:rsidRPr="000F1E59">
              <w:rPr>
                <w:sz w:val="20"/>
                <w:szCs w:val="20"/>
              </w:rPr>
              <w:t xml:space="preserve">Operating grants to the civil society </w:t>
            </w:r>
          </w:p>
          <w:p w14:paraId="19E2DCFF" w14:textId="77777777" w:rsidR="000F1E59" w:rsidRPr="000F1E59" w:rsidRDefault="000F1E59" w:rsidP="000F1E59">
            <w:pPr>
              <w:pStyle w:val="TableCell"/>
              <w:numPr>
                <w:ilvl w:val="0"/>
                <w:numId w:val="22"/>
              </w:numPr>
              <w:spacing w:before="0" w:after="0" w:line="240" w:lineRule="auto"/>
              <w:ind w:left="179" w:hanging="179"/>
              <w:jc w:val="left"/>
              <w:rPr>
                <w:rFonts w:cs="Arial"/>
                <w:sz w:val="20"/>
                <w:szCs w:val="20"/>
                <w:lang w:val="sv-SE"/>
              </w:rPr>
            </w:pPr>
            <w:r w:rsidRPr="000F1E59">
              <w:rPr>
                <w:sz w:val="20"/>
                <w:szCs w:val="20"/>
                <w:lang w:val="sv-SE"/>
              </w:rPr>
              <w:t>State grants for lagging municipalities (</w:t>
            </w:r>
            <w:r w:rsidRPr="000F1E59">
              <w:rPr>
                <w:i/>
                <w:iCs/>
                <w:sz w:val="20"/>
                <w:szCs w:val="20"/>
                <w:lang w:val="sv-SE"/>
              </w:rPr>
              <w:t>Statsbidrag för socioekonomiskt eftersatta kommuner</w:t>
            </w:r>
            <w:r w:rsidRPr="000F1E59">
              <w:rPr>
                <w:sz w:val="20"/>
                <w:szCs w:val="20"/>
                <w:lang w:val="sv-SE"/>
              </w:rPr>
              <w:t>)</w:t>
            </w:r>
          </w:p>
        </w:tc>
      </w:tr>
      <w:tr w:rsidR="000F1E59" w:rsidRPr="000F1E59" w14:paraId="09B9C201" w14:textId="77777777" w:rsidTr="000F1E59">
        <w:trPr>
          <w:trHeight w:val="238"/>
        </w:trPr>
        <w:tc>
          <w:tcPr>
            <w:tcW w:w="1942" w:type="pct"/>
          </w:tcPr>
          <w:p w14:paraId="7E472EAB" w14:textId="77777777" w:rsidR="000F1E59" w:rsidRPr="000F1E59" w:rsidRDefault="000F1E59" w:rsidP="000F1E59">
            <w:pPr>
              <w:pStyle w:val="TableRow"/>
              <w:spacing w:before="0" w:after="0" w:line="240" w:lineRule="auto"/>
              <w:jc w:val="left"/>
              <w:rPr>
                <w:sz w:val="20"/>
              </w:rPr>
            </w:pPr>
            <w:r w:rsidRPr="000F1E59">
              <w:rPr>
                <w:sz w:val="20"/>
              </w:rPr>
              <w:lastRenderedPageBreak/>
              <w:t xml:space="preserve">Policy co-ordination tools at national level </w:t>
            </w:r>
          </w:p>
        </w:tc>
        <w:tc>
          <w:tcPr>
            <w:tcW w:w="3058" w:type="pct"/>
          </w:tcPr>
          <w:p w14:paraId="0BD6641D" w14:textId="77777777" w:rsidR="000F1E59" w:rsidRPr="000F1E59" w:rsidRDefault="000F1E59" w:rsidP="000F1E59">
            <w:pPr>
              <w:pStyle w:val="TableCell"/>
              <w:numPr>
                <w:ilvl w:val="0"/>
                <w:numId w:val="22"/>
              </w:numPr>
              <w:spacing w:before="0" w:after="0" w:line="240" w:lineRule="auto"/>
              <w:ind w:left="179" w:hanging="179"/>
              <w:jc w:val="left"/>
              <w:rPr>
                <w:rFonts w:cs="Arial"/>
                <w:sz w:val="20"/>
                <w:szCs w:val="20"/>
              </w:rPr>
            </w:pPr>
            <w:r w:rsidRPr="000F1E59">
              <w:rPr>
                <w:sz w:val="20"/>
                <w:szCs w:val="20"/>
              </w:rPr>
              <w:t>Ministry of Rural Affairs and Infrastructure</w:t>
            </w:r>
          </w:p>
          <w:p w14:paraId="3ACB681B" w14:textId="77777777" w:rsidR="000F1E59" w:rsidRPr="000F1E59" w:rsidRDefault="000F1E59" w:rsidP="000F1E59">
            <w:pPr>
              <w:pStyle w:val="TableCell"/>
              <w:numPr>
                <w:ilvl w:val="0"/>
                <w:numId w:val="22"/>
              </w:numPr>
              <w:spacing w:before="0" w:after="0" w:line="240" w:lineRule="auto"/>
              <w:ind w:left="179" w:hanging="179"/>
              <w:jc w:val="left"/>
              <w:rPr>
                <w:rFonts w:cs="Arial"/>
                <w:sz w:val="20"/>
                <w:szCs w:val="20"/>
              </w:rPr>
            </w:pPr>
            <w:r w:rsidRPr="000F1E59">
              <w:rPr>
                <w:sz w:val="20"/>
                <w:szCs w:val="20"/>
              </w:rPr>
              <w:t xml:space="preserve">Co-ordination mechanism within the Swedish government offices and government and Collective decision-making in the government. </w:t>
            </w:r>
          </w:p>
          <w:p w14:paraId="286596CC" w14:textId="77777777" w:rsidR="000F1E59" w:rsidRPr="000F1E59" w:rsidRDefault="000F1E59" w:rsidP="000F1E59">
            <w:pPr>
              <w:pStyle w:val="TableCell"/>
              <w:numPr>
                <w:ilvl w:val="0"/>
                <w:numId w:val="22"/>
              </w:numPr>
              <w:spacing w:before="0" w:after="0" w:line="240" w:lineRule="auto"/>
              <w:ind w:left="179" w:hanging="179"/>
              <w:jc w:val="left"/>
              <w:rPr>
                <w:rFonts w:cs="Arial"/>
                <w:sz w:val="20"/>
                <w:szCs w:val="20"/>
              </w:rPr>
            </w:pPr>
            <w:r w:rsidRPr="000F1E59">
              <w:rPr>
                <w:sz w:val="20"/>
                <w:szCs w:val="20"/>
              </w:rPr>
              <w:t>Agency of Economic and Regional Growth</w:t>
            </w:r>
          </w:p>
          <w:p w14:paraId="5C56D26B" w14:textId="77777777" w:rsidR="000F1E59" w:rsidRPr="000F1E59" w:rsidRDefault="000F1E59" w:rsidP="000F1E59">
            <w:pPr>
              <w:pStyle w:val="TableCell"/>
              <w:numPr>
                <w:ilvl w:val="0"/>
                <w:numId w:val="22"/>
              </w:numPr>
              <w:spacing w:before="0" w:after="0" w:line="240" w:lineRule="auto"/>
              <w:ind w:left="179" w:hanging="179"/>
              <w:jc w:val="left"/>
              <w:rPr>
                <w:rFonts w:cs="Arial"/>
                <w:sz w:val="20"/>
                <w:szCs w:val="20"/>
              </w:rPr>
            </w:pPr>
            <w:r w:rsidRPr="000F1E59">
              <w:rPr>
                <w:sz w:val="20"/>
                <w:szCs w:val="20"/>
              </w:rPr>
              <w:t>Network of national agencies to improve co-ordination of policies and governance between national and regional level</w:t>
            </w:r>
          </w:p>
          <w:p w14:paraId="09D34990" w14:textId="77777777" w:rsidR="000F1E59" w:rsidRPr="000F1E59" w:rsidRDefault="000F1E59" w:rsidP="000F1E59">
            <w:pPr>
              <w:pStyle w:val="TableCell"/>
              <w:numPr>
                <w:ilvl w:val="0"/>
                <w:numId w:val="22"/>
              </w:numPr>
              <w:spacing w:before="0" w:after="0" w:line="240" w:lineRule="auto"/>
              <w:ind w:left="179" w:hanging="179"/>
              <w:jc w:val="left"/>
              <w:rPr>
                <w:rFonts w:cs="Arial"/>
                <w:sz w:val="20"/>
                <w:szCs w:val="20"/>
              </w:rPr>
            </w:pPr>
            <w:r w:rsidRPr="000F1E59">
              <w:rPr>
                <w:sz w:val="20"/>
                <w:szCs w:val="20"/>
              </w:rPr>
              <w:t>Network for territorial analysis of national agencies</w:t>
            </w:r>
          </w:p>
        </w:tc>
      </w:tr>
      <w:tr w:rsidR="000F1E59" w:rsidRPr="000F1E59" w14:paraId="36A211BB" w14:textId="77777777" w:rsidTr="000F1E59">
        <w:trPr>
          <w:trHeight w:val="238"/>
        </w:trPr>
        <w:tc>
          <w:tcPr>
            <w:tcW w:w="1942" w:type="pct"/>
          </w:tcPr>
          <w:p w14:paraId="365445AE" w14:textId="77777777" w:rsidR="000F1E59" w:rsidRPr="000F1E59" w:rsidRDefault="000F1E59" w:rsidP="000F1E59">
            <w:pPr>
              <w:pStyle w:val="TableRow"/>
              <w:spacing w:before="0" w:after="0" w:line="240" w:lineRule="auto"/>
              <w:jc w:val="left"/>
              <w:rPr>
                <w:sz w:val="20"/>
              </w:rPr>
            </w:pPr>
            <w:r w:rsidRPr="000F1E59">
              <w:rPr>
                <w:sz w:val="20"/>
              </w:rPr>
              <w:t>Multi-level governance mechanisms between national and subnational levels (e.g., institutional agreements, Committees, etc.)</w:t>
            </w:r>
          </w:p>
        </w:tc>
        <w:tc>
          <w:tcPr>
            <w:tcW w:w="3058" w:type="pct"/>
          </w:tcPr>
          <w:p w14:paraId="5A01E938" w14:textId="77777777" w:rsidR="000F1E59" w:rsidRPr="000F1E59" w:rsidRDefault="000F1E59" w:rsidP="000F1E59">
            <w:pPr>
              <w:pStyle w:val="TableCell"/>
              <w:numPr>
                <w:ilvl w:val="0"/>
                <w:numId w:val="22"/>
              </w:numPr>
              <w:spacing w:before="0" w:after="0" w:line="240" w:lineRule="auto"/>
              <w:ind w:left="179" w:hanging="179"/>
              <w:jc w:val="left"/>
              <w:rPr>
                <w:rFonts w:cs="Arial"/>
                <w:sz w:val="20"/>
                <w:szCs w:val="20"/>
              </w:rPr>
            </w:pPr>
            <w:r w:rsidRPr="000F1E59">
              <w:rPr>
                <w:sz w:val="20"/>
                <w:szCs w:val="20"/>
              </w:rPr>
              <w:t>Forum for sustainable regional development 2022-2030, with politicians and civil servants</w:t>
            </w:r>
          </w:p>
          <w:p w14:paraId="165CEE5A" w14:textId="77777777" w:rsidR="000F1E59" w:rsidRPr="000F1E59" w:rsidRDefault="000F1E59" w:rsidP="000F1E59">
            <w:pPr>
              <w:pStyle w:val="TableCell"/>
              <w:numPr>
                <w:ilvl w:val="0"/>
                <w:numId w:val="22"/>
              </w:numPr>
              <w:spacing w:before="0" w:after="0" w:line="240" w:lineRule="auto"/>
              <w:ind w:left="179" w:hanging="179"/>
              <w:jc w:val="left"/>
              <w:rPr>
                <w:rFonts w:cs="Arial"/>
                <w:sz w:val="20"/>
                <w:szCs w:val="20"/>
              </w:rPr>
            </w:pPr>
            <w:r w:rsidRPr="000F1E59">
              <w:rPr>
                <w:sz w:val="20"/>
                <w:szCs w:val="20"/>
              </w:rPr>
              <w:t>Network of national agencies to improve co-ordination of policies and governance between national and regional level</w:t>
            </w:r>
          </w:p>
          <w:p w14:paraId="0630A07B" w14:textId="77777777" w:rsidR="000F1E59" w:rsidRPr="000F1E59" w:rsidRDefault="000F1E59" w:rsidP="000F1E59">
            <w:pPr>
              <w:pStyle w:val="TableCell"/>
              <w:numPr>
                <w:ilvl w:val="0"/>
                <w:numId w:val="22"/>
              </w:numPr>
              <w:spacing w:before="0" w:after="0" w:line="240" w:lineRule="auto"/>
              <w:ind w:left="179" w:hanging="179"/>
              <w:jc w:val="left"/>
              <w:rPr>
                <w:rFonts w:cs="Arial"/>
                <w:sz w:val="20"/>
                <w:szCs w:val="20"/>
              </w:rPr>
            </w:pPr>
            <w:r w:rsidRPr="000F1E59">
              <w:rPr>
                <w:sz w:val="20"/>
                <w:szCs w:val="20"/>
                <w:lang w:val="sv-SE"/>
              </w:rPr>
              <w:t>ERDF-monitoring committees</w:t>
            </w:r>
          </w:p>
          <w:p w14:paraId="1289417D" w14:textId="77777777" w:rsidR="000F1E59" w:rsidRPr="000F1E59" w:rsidRDefault="000F1E59" w:rsidP="000F1E59">
            <w:pPr>
              <w:pStyle w:val="TableCell"/>
              <w:numPr>
                <w:ilvl w:val="0"/>
                <w:numId w:val="22"/>
              </w:numPr>
              <w:spacing w:before="0" w:after="0" w:line="240" w:lineRule="auto"/>
              <w:ind w:left="179" w:hanging="179"/>
              <w:jc w:val="left"/>
              <w:rPr>
                <w:rFonts w:cs="Arial"/>
                <w:sz w:val="20"/>
                <w:szCs w:val="20"/>
              </w:rPr>
            </w:pPr>
            <w:r w:rsidRPr="000F1E59">
              <w:rPr>
                <w:sz w:val="20"/>
                <w:szCs w:val="20"/>
                <w:lang w:val="sv-SE"/>
              </w:rPr>
              <w:t>JTF-monitoring committe</w:t>
            </w:r>
          </w:p>
        </w:tc>
      </w:tr>
      <w:tr w:rsidR="000F1E59" w:rsidRPr="000F1E59" w14:paraId="7B0129E4" w14:textId="77777777" w:rsidTr="000F1E59">
        <w:trPr>
          <w:trHeight w:val="238"/>
        </w:trPr>
        <w:tc>
          <w:tcPr>
            <w:tcW w:w="1942" w:type="pct"/>
          </w:tcPr>
          <w:p w14:paraId="028F0B0E" w14:textId="77777777" w:rsidR="000F1E59" w:rsidRPr="000F1E59" w:rsidRDefault="000F1E59" w:rsidP="000F1E59">
            <w:pPr>
              <w:pStyle w:val="TableRow"/>
              <w:spacing w:before="0" w:after="0" w:line="240" w:lineRule="auto"/>
              <w:jc w:val="left"/>
              <w:rPr>
                <w:sz w:val="20"/>
              </w:rPr>
            </w:pPr>
            <w:r w:rsidRPr="000F1E59">
              <w:rPr>
                <w:sz w:val="20"/>
              </w:rPr>
              <w:t xml:space="preserve">Policy co-ordination tools at regional level </w:t>
            </w:r>
          </w:p>
        </w:tc>
        <w:tc>
          <w:tcPr>
            <w:tcW w:w="3058" w:type="pct"/>
          </w:tcPr>
          <w:p w14:paraId="44A7BC93" w14:textId="77777777" w:rsidR="000F1E59" w:rsidRPr="000F1E59" w:rsidRDefault="000F1E59" w:rsidP="000F1E59">
            <w:pPr>
              <w:pStyle w:val="TableCell"/>
              <w:numPr>
                <w:ilvl w:val="0"/>
                <w:numId w:val="22"/>
              </w:numPr>
              <w:spacing w:before="0" w:after="0" w:line="240" w:lineRule="auto"/>
              <w:ind w:left="179" w:hanging="179"/>
              <w:jc w:val="left"/>
              <w:rPr>
                <w:rFonts w:cs="Arial"/>
                <w:sz w:val="20"/>
                <w:szCs w:val="20"/>
              </w:rPr>
            </w:pPr>
            <w:r w:rsidRPr="000F1E59">
              <w:rPr>
                <w:sz w:val="20"/>
                <w:szCs w:val="20"/>
                <w:lang w:val="sv-SE"/>
              </w:rPr>
              <w:t>Regional Development Strategies (</w:t>
            </w:r>
            <w:r w:rsidRPr="000F1E59">
              <w:rPr>
                <w:i/>
                <w:iCs/>
                <w:sz w:val="20"/>
                <w:szCs w:val="20"/>
                <w:lang w:val="sv-SE"/>
              </w:rPr>
              <w:t>Regionals utvecklingsstrategier, RUS</w:t>
            </w:r>
            <w:r w:rsidRPr="000F1E59">
              <w:rPr>
                <w:sz w:val="20"/>
                <w:szCs w:val="20"/>
                <w:lang w:val="sv-SE"/>
              </w:rPr>
              <w:t>)</w:t>
            </w:r>
          </w:p>
          <w:p w14:paraId="71FA3ED9" w14:textId="77777777" w:rsidR="000F1E59" w:rsidRPr="000F1E59" w:rsidRDefault="000F1E59" w:rsidP="000F1E59">
            <w:pPr>
              <w:pStyle w:val="TableCell"/>
              <w:numPr>
                <w:ilvl w:val="0"/>
                <w:numId w:val="22"/>
              </w:numPr>
              <w:spacing w:before="0" w:after="0" w:line="240" w:lineRule="auto"/>
              <w:ind w:left="179" w:hanging="179"/>
              <w:jc w:val="left"/>
              <w:rPr>
                <w:rFonts w:cs="Arial"/>
                <w:sz w:val="20"/>
                <w:szCs w:val="20"/>
              </w:rPr>
            </w:pPr>
            <w:r w:rsidRPr="000F1E59">
              <w:rPr>
                <w:rFonts w:cs="Arial"/>
                <w:sz w:val="20"/>
                <w:szCs w:val="20"/>
              </w:rPr>
              <w:t>8 regional ERDF programmes</w:t>
            </w:r>
            <w:r w:rsidRPr="000F1E59">
              <w:rPr>
                <w:sz w:val="20"/>
                <w:szCs w:val="20"/>
              </w:rPr>
              <w:t xml:space="preserve"> </w:t>
            </w:r>
          </w:p>
          <w:p w14:paraId="284A0DCF" w14:textId="77777777" w:rsidR="000F1E59" w:rsidRPr="000F1E59" w:rsidRDefault="000F1E59" w:rsidP="000F1E59">
            <w:pPr>
              <w:pStyle w:val="TableCell"/>
              <w:numPr>
                <w:ilvl w:val="0"/>
                <w:numId w:val="22"/>
              </w:numPr>
              <w:spacing w:before="0" w:after="0" w:line="240" w:lineRule="auto"/>
              <w:ind w:left="179" w:hanging="179"/>
              <w:jc w:val="left"/>
              <w:rPr>
                <w:rFonts w:cs="Arial"/>
                <w:sz w:val="20"/>
                <w:szCs w:val="20"/>
              </w:rPr>
            </w:pPr>
            <w:r w:rsidRPr="000F1E59">
              <w:rPr>
                <w:sz w:val="20"/>
                <w:szCs w:val="20"/>
              </w:rPr>
              <w:t>Service programmes (for developing commercial services</w:t>
            </w:r>
          </w:p>
          <w:p w14:paraId="3C008528" w14:textId="77777777" w:rsidR="000F1E59" w:rsidRPr="000F1E59" w:rsidRDefault="000F1E59" w:rsidP="000F1E59">
            <w:pPr>
              <w:pStyle w:val="TableCell"/>
              <w:numPr>
                <w:ilvl w:val="0"/>
                <w:numId w:val="22"/>
              </w:numPr>
              <w:spacing w:before="0" w:after="0" w:line="240" w:lineRule="auto"/>
              <w:ind w:left="179" w:hanging="179"/>
              <w:jc w:val="left"/>
              <w:rPr>
                <w:rFonts w:cs="Arial"/>
                <w:sz w:val="20"/>
                <w:szCs w:val="20"/>
              </w:rPr>
            </w:pPr>
            <w:r w:rsidRPr="000F1E59">
              <w:rPr>
                <w:sz w:val="20"/>
                <w:szCs w:val="20"/>
              </w:rPr>
              <w:t>Reglab (a regional forum for regional capacity building)</w:t>
            </w:r>
          </w:p>
        </w:tc>
      </w:tr>
      <w:tr w:rsidR="000F1E59" w:rsidRPr="000F1E59" w14:paraId="0CBC016A" w14:textId="77777777" w:rsidTr="000F1E59">
        <w:trPr>
          <w:trHeight w:val="238"/>
        </w:trPr>
        <w:tc>
          <w:tcPr>
            <w:tcW w:w="1942" w:type="pct"/>
          </w:tcPr>
          <w:p w14:paraId="76B11246" w14:textId="77777777" w:rsidR="000F1E59" w:rsidRPr="000F1E59" w:rsidRDefault="000F1E59" w:rsidP="000F1E59">
            <w:pPr>
              <w:pStyle w:val="TableRow"/>
              <w:spacing w:before="0" w:after="0" w:line="240" w:lineRule="auto"/>
              <w:jc w:val="left"/>
              <w:rPr>
                <w:sz w:val="20"/>
              </w:rPr>
            </w:pPr>
            <w:r w:rsidRPr="000F1E59">
              <w:rPr>
                <w:sz w:val="20"/>
              </w:rPr>
              <w:t>Evaluation and monitoring tools</w:t>
            </w:r>
          </w:p>
        </w:tc>
        <w:tc>
          <w:tcPr>
            <w:tcW w:w="3058" w:type="pct"/>
          </w:tcPr>
          <w:p w14:paraId="021710C7" w14:textId="77777777" w:rsidR="000F1E59" w:rsidRPr="000F1E59" w:rsidRDefault="000F1E59" w:rsidP="000F1E59">
            <w:pPr>
              <w:pStyle w:val="TableCell"/>
              <w:spacing w:before="0" w:after="0" w:line="240" w:lineRule="auto"/>
              <w:jc w:val="left"/>
              <w:rPr>
                <w:rFonts w:cs="Arial"/>
                <w:sz w:val="20"/>
                <w:szCs w:val="20"/>
              </w:rPr>
            </w:pPr>
            <w:r w:rsidRPr="000F1E59">
              <w:rPr>
                <w:rFonts w:cs="Arial"/>
                <w:sz w:val="20"/>
                <w:szCs w:val="20"/>
              </w:rPr>
              <w:t>Regional development policy and Cohesion policy:</w:t>
            </w:r>
          </w:p>
          <w:p w14:paraId="49EB53D2" w14:textId="77777777" w:rsidR="000F1E59" w:rsidRPr="000F1E59" w:rsidRDefault="000F1E59" w:rsidP="000F1E59">
            <w:pPr>
              <w:pStyle w:val="TableCell"/>
              <w:numPr>
                <w:ilvl w:val="0"/>
                <w:numId w:val="22"/>
              </w:numPr>
              <w:spacing w:before="0" w:after="0" w:line="240" w:lineRule="auto"/>
              <w:ind w:left="179" w:hanging="179"/>
              <w:jc w:val="left"/>
              <w:rPr>
                <w:rFonts w:cs="Arial"/>
                <w:sz w:val="20"/>
                <w:szCs w:val="20"/>
              </w:rPr>
            </w:pPr>
            <w:r w:rsidRPr="000F1E59">
              <w:rPr>
                <w:rFonts w:cs="Arial"/>
                <w:sz w:val="20"/>
                <w:szCs w:val="20"/>
              </w:rPr>
              <w:t>The National Audit office’s policy reviews i.e.on the outcomes of national regional development policy, RiR 2022:8</w:t>
            </w:r>
          </w:p>
          <w:p w14:paraId="63FB7B9A" w14:textId="77777777" w:rsidR="000F1E59" w:rsidRPr="000F1E59" w:rsidRDefault="000F1E59" w:rsidP="000F1E59">
            <w:pPr>
              <w:pStyle w:val="TableCell"/>
              <w:numPr>
                <w:ilvl w:val="0"/>
                <w:numId w:val="22"/>
              </w:numPr>
              <w:spacing w:before="0" w:after="0" w:line="240" w:lineRule="auto"/>
              <w:ind w:left="179" w:hanging="179"/>
              <w:jc w:val="left"/>
              <w:rPr>
                <w:rFonts w:cs="Arial"/>
                <w:sz w:val="20"/>
                <w:szCs w:val="20"/>
              </w:rPr>
            </w:pPr>
            <w:r w:rsidRPr="000F1E59">
              <w:rPr>
                <w:rFonts w:cs="Arial"/>
                <w:sz w:val="20"/>
                <w:szCs w:val="20"/>
              </w:rPr>
              <w:t>Evaluation plan for ERDF and JTF and diverse EU-COMM requirements of monitoring</w:t>
            </w:r>
          </w:p>
          <w:p w14:paraId="41C1AB65" w14:textId="77777777" w:rsidR="000F1E59" w:rsidRPr="000F1E59" w:rsidRDefault="000F1E59" w:rsidP="000F1E59">
            <w:pPr>
              <w:pStyle w:val="TableCell"/>
              <w:numPr>
                <w:ilvl w:val="0"/>
                <w:numId w:val="22"/>
              </w:numPr>
              <w:spacing w:before="0" w:after="0" w:line="240" w:lineRule="auto"/>
              <w:ind w:left="179" w:hanging="179"/>
              <w:jc w:val="left"/>
              <w:rPr>
                <w:rFonts w:cs="Arial"/>
                <w:sz w:val="20"/>
                <w:szCs w:val="20"/>
              </w:rPr>
            </w:pPr>
            <w:r w:rsidRPr="000F1E59">
              <w:rPr>
                <w:rFonts w:cs="Arial"/>
                <w:sz w:val="20"/>
                <w:szCs w:val="20"/>
              </w:rPr>
              <w:t xml:space="preserve">National monitoring system (Agency for Economic and Regional Growth) for National regional grants (1.1 anslag) used in regions and at the National Agency for Economic and Regional Growth. Includes both quantitative and qualitative measurements. Results are presented in the government’s annual Budget bill. </w:t>
            </w:r>
          </w:p>
          <w:p w14:paraId="3DD92379" w14:textId="77777777" w:rsidR="000F1E59" w:rsidRPr="000F1E59" w:rsidRDefault="000F1E59" w:rsidP="000F1E59">
            <w:pPr>
              <w:pStyle w:val="TableCell"/>
              <w:numPr>
                <w:ilvl w:val="0"/>
                <w:numId w:val="22"/>
              </w:numPr>
              <w:spacing w:before="0" w:after="0" w:line="240" w:lineRule="auto"/>
              <w:ind w:left="179" w:hanging="179"/>
              <w:jc w:val="left"/>
              <w:rPr>
                <w:rFonts w:cs="Arial"/>
                <w:sz w:val="20"/>
                <w:szCs w:val="20"/>
              </w:rPr>
            </w:pPr>
            <w:r w:rsidRPr="000F1E59">
              <w:rPr>
                <w:rFonts w:cs="Arial"/>
                <w:sz w:val="20"/>
                <w:szCs w:val="20"/>
              </w:rPr>
              <w:t xml:space="preserve">Result indicators on regional development policy presented in Government´s annual Budget bill. </w:t>
            </w:r>
          </w:p>
          <w:p w14:paraId="4E32B45E" w14:textId="77777777" w:rsidR="000F1E59" w:rsidRPr="000F1E59" w:rsidRDefault="000F1E59" w:rsidP="000F1E59">
            <w:pPr>
              <w:pStyle w:val="TableCell"/>
              <w:numPr>
                <w:ilvl w:val="0"/>
                <w:numId w:val="22"/>
              </w:numPr>
              <w:spacing w:before="0" w:after="0" w:line="240" w:lineRule="auto"/>
              <w:ind w:left="179" w:hanging="179"/>
              <w:jc w:val="left"/>
              <w:rPr>
                <w:rFonts w:cs="Arial"/>
                <w:sz w:val="20"/>
                <w:szCs w:val="20"/>
              </w:rPr>
            </w:pPr>
            <w:r w:rsidRPr="000F1E59">
              <w:rPr>
                <w:rFonts w:cs="Arial"/>
                <w:sz w:val="20"/>
                <w:szCs w:val="20"/>
              </w:rPr>
              <w:t>Advanced program evaluations by the National Agency for Growth Analysis and others</w:t>
            </w:r>
          </w:p>
          <w:p w14:paraId="0A3E6B12" w14:textId="77777777" w:rsidR="000F1E59" w:rsidRPr="000F1E59" w:rsidRDefault="000F1E59" w:rsidP="000F1E59">
            <w:pPr>
              <w:pStyle w:val="TableCell"/>
              <w:numPr>
                <w:ilvl w:val="0"/>
                <w:numId w:val="22"/>
              </w:numPr>
              <w:spacing w:before="0" w:after="0" w:line="240" w:lineRule="auto"/>
              <w:ind w:left="179" w:hanging="179"/>
              <w:jc w:val="left"/>
              <w:rPr>
                <w:rFonts w:cs="Arial"/>
                <w:sz w:val="20"/>
                <w:szCs w:val="20"/>
              </w:rPr>
            </w:pPr>
            <w:r w:rsidRPr="000F1E59">
              <w:rPr>
                <w:rFonts w:cs="Arial"/>
                <w:sz w:val="20"/>
                <w:szCs w:val="20"/>
              </w:rPr>
              <w:t>Region’s mandatory monitoring and evaluation activities (regulation 2017:583). Incl. indicators (economic, socio-economic and wellbeing) related to region’s development strategies</w:t>
            </w:r>
          </w:p>
          <w:p w14:paraId="179E3AC1" w14:textId="77777777" w:rsidR="000F1E59" w:rsidRPr="000F1E59" w:rsidRDefault="000F1E59" w:rsidP="000F1E59">
            <w:pPr>
              <w:pStyle w:val="TableCell"/>
              <w:numPr>
                <w:ilvl w:val="0"/>
                <w:numId w:val="22"/>
              </w:numPr>
              <w:spacing w:before="0" w:after="0" w:line="240" w:lineRule="auto"/>
              <w:ind w:left="179" w:hanging="179"/>
              <w:jc w:val="left"/>
              <w:rPr>
                <w:rFonts w:cs="Arial"/>
                <w:sz w:val="20"/>
                <w:szCs w:val="20"/>
              </w:rPr>
            </w:pPr>
            <w:r w:rsidRPr="000F1E59">
              <w:rPr>
                <w:rFonts w:cs="Arial"/>
                <w:sz w:val="20"/>
                <w:szCs w:val="20"/>
              </w:rPr>
              <w:t>Furthermore, in Sweden, stakeholders at the national and regional level have developed a system of indicators for assessing the quality of life and sustainability of development at the regional and local level – the so called “GDP+” tool.</w:t>
            </w:r>
          </w:p>
          <w:p w14:paraId="2C40ADD8" w14:textId="77777777" w:rsidR="000F1E59" w:rsidRPr="000F1E59" w:rsidRDefault="000F1E59" w:rsidP="000F1E59">
            <w:pPr>
              <w:pStyle w:val="TableCell"/>
              <w:spacing w:before="0" w:after="0" w:line="240" w:lineRule="auto"/>
              <w:jc w:val="left"/>
              <w:rPr>
                <w:rFonts w:cs="Arial"/>
                <w:sz w:val="20"/>
                <w:szCs w:val="20"/>
              </w:rPr>
            </w:pPr>
            <w:r w:rsidRPr="000F1E59">
              <w:rPr>
                <w:rFonts w:cs="Arial"/>
                <w:sz w:val="20"/>
                <w:szCs w:val="20"/>
              </w:rPr>
              <w:t>Rural policy:</w:t>
            </w:r>
          </w:p>
          <w:p w14:paraId="485A05FE" w14:textId="77777777" w:rsidR="000F1E59" w:rsidRPr="000F1E59" w:rsidRDefault="000F1E59" w:rsidP="000F1E59">
            <w:pPr>
              <w:pStyle w:val="TableCell"/>
              <w:numPr>
                <w:ilvl w:val="0"/>
                <w:numId w:val="22"/>
              </w:numPr>
              <w:spacing w:before="0" w:after="0" w:line="240" w:lineRule="auto"/>
              <w:ind w:left="179" w:hanging="179"/>
              <w:jc w:val="left"/>
              <w:rPr>
                <w:rFonts w:cs="Arial"/>
                <w:sz w:val="20"/>
                <w:szCs w:val="20"/>
              </w:rPr>
            </w:pPr>
            <w:r w:rsidRPr="000F1E59">
              <w:rPr>
                <w:rFonts w:cs="Arial"/>
                <w:sz w:val="20"/>
                <w:szCs w:val="20"/>
              </w:rPr>
              <w:t>The rural development policy is accompanied by a monitoring and evaluation system based on indicators and qualitative methods for assessing the implementation and outcome of rural policy. Furthermore, the Rural development policy is reported as part of the governments process for yearly budgets.</w:t>
            </w:r>
          </w:p>
          <w:p w14:paraId="40A4C8E6" w14:textId="77777777" w:rsidR="000F1E59" w:rsidRPr="000F1E59" w:rsidRDefault="000F1E59" w:rsidP="000F1E59">
            <w:pPr>
              <w:pStyle w:val="TableCell"/>
              <w:numPr>
                <w:ilvl w:val="0"/>
                <w:numId w:val="22"/>
              </w:numPr>
              <w:spacing w:before="0" w:after="0" w:line="240" w:lineRule="auto"/>
              <w:ind w:left="179" w:hanging="179"/>
              <w:jc w:val="left"/>
              <w:rPr>
                <w:rFonts w:cs="Arial"/>
                <w:sz w:val="20"/>
                <w:szCs w:val="20"/>
              </w:rPr>
            </w:pPr>
            <w:r w:rsidRPr="000F1E59">
              <w:rPr>
                <w:rFonts w:cs="Arial"/>
                <w:sz w:val="20"/>
                <w:szCs w:val="20"/>
              </w:rPr>
              <w:t xml:space="preserve">The rural development program (of the CAP) is accompanied by a </w:t>
            </w:r>
            <w:r w:rsidRPr="000F1E59">
              <w:rPr>
                <w:rFonts w:cs="Arial"/>
                <w:sz w:val="20"/>
                <w:szCs w:val="20"/>
              </w:rPr>
              <w:lastRenderedPageBreak/>
              <w:t>monitoring and evaluation plan and evaluations governed by the regulation of the programme (Board of Agriculture).</w:t>
            </w:r>
          </w:p>
        </w:tc>
      </w:tr>
      <w:tr w:rsidR="000F1E59" w:rsidRPr="000F1E59" w14:paraId="23F5C3A3" w14:textId="77777777" w:rsidTr="000F1E59">
        <w:trPr>
          <w:trHeight w:val="238"/>
        </w:trPr>
        <w:tc>
          <w:tcPr>
            <w:tcW w:w="1942" w:type="pct"/>
          </w:tcPr>
          <w:p w14:paraId="238EFB87" w14:textId="77777777" w:rsidR="000F1E59" w:rsidRPr="000F1E59" w:rsidRDefault="000F1E59" w:rsidP="000F1E59">
            <w:pPr>
              <w:pStyle w:val="TableRow"/>
              <w:spacing w:before="0" w:after="0" w:line="240" w:lineRule="auto"/>
              <w:jc w:val="left"/>
              <w:rPr>
                <w:sz w:val="20"/>
              </w:rPr>
            </w:pPr>
            <w:r w:rsidRPr="000F1E59">
              <w:rPr>
                <w:sz w:val="20"/>
              </w:rPr>
              <w:lastRenderedPageBreak/>
              <w:t>Future orientations of regional policy</w:t>
            </w:r>
          </w:p>
        </w:tc>
        <w:tc>
          <w:tcPr>
            <w:tcW w:w="3058" w:type="pct"/>
          </w:tcPr>
          <w:p w14:paraId="3F54307A" w14:textId="77777777" w:rsidR="000F1E59" w:rsidRPr="000F1E59" w:rsidRDefault="000F1E59" w:rsidP="000F1E59">
            <w:pPr>
              <w:pStyle w:val="TableCell"/>
              <w:spacing w:before="0" w:after="0" w:line="240" w:lineRule="auto"/>
              <w:jc w:val="left"/>
              <w:rPr>
                <w:sz w:val="20"/>
                <w:szCs w:val="20"/>
              </w:rPr>
            </w:pPr>
            <w:r w:rsidRPr="000F1E59">
              <w:rPr>
                <w:rFonts w:cs="Arial"/>
                <w:sz w:val="20"/>
                <w:szCs w:val="20"/>
              </w:rPr>
              <w:t xml:space="preserve">In the 2023 Budget Bill, the </w:t>
            </w:r>
            <w:r w:rsidRPr="000F1E59">
              <w:rPr>
                <w:sz w:val="20"/>
                <w:szCs w:val="20"/>
              </w:rPr>
              <w:t>government identified three development areas for the implementation of the National strategy for sustainable regional development throughout Sweden 2021–2030 on national level:</w:t>
            </w:r>
          </w:p>
          <w:p w14:paraId="1BD48845" w14:textId="77777777" w:rsidR="000F1E59" w:rsidRPr="000F1E59" w:rsidRDefault="000F1E59" w:rsidP="000F1E59">
            <w:pPr>
              <w:pStyle w:val="TableCell"/>
              <w:spacing w:before="0" w:after="0" w:line="240" w:lineRule="auto"/>
              <w:jc w:val="left"/>
              <w:rPr>
                <w:sz w:val="20"/>
                <w:szCs w:val="20"/>
              </w:rPr>
            </w:pPr>
            <w:r w:rsidRPr="000F1E59">
              <w:rPr>
                <w:sz w:val="20"/>
                <w:szCs w:val="20"/>
              </w:rPr>
              <w:t>1. transition to sustainable regional development,</w:t>
            </w:r>
          </w:p>
          <w:p w14:paraId="437C91A3" w14:textId="77777777" w:rsidR="000F1E59" w:rsidRPr="000F1E59" w:rsidRDefault="000F1E59" w:rsidP="000F1E59">
            <w:pPr>
              <w:pStyle w:val="TableCell"/>
              <w:spacing w:before="0" w:after="0" w:line="240" w:lineRule="auto"/>
              <w:jc w:val="left"/>
              <w:rPr>
                <w:sz w:val="20"/>
                <w:szCs w:val="20"/>
              </w:rPr>
            </w:pPr>
            <w:r w:rsidRPr="000F1E59">
              <w:rPr>
                <w:sz w:val="20"/>
                <w:szCs w:val="20"/>
              </w:rPr>
              <w:t>2. the importance of a territorial perspective where the whole country is given increased opportunity to develop and</w:t>
            </w:r>
          </w:p>
          <w:p w14:paraId="1CEBFA80" w14:textId="77777777" w:rsidR="000F1E59" w:rsidRPr="000F1E59" w:rsidRDefault="000F1E59" w:rsidP="000F1E59">
            <w:pPr>
              <w:pStyle w:val="TableCell"/>
              <w:spacing w:before="0" w:after="0" w:line="240" w:lineRule="auto"/>
              <w:jc w:val="left"/>
              <w:rPr>
                <w:sz w:val="20"/>
                <w:szCs w:val="20"/>
              </w:rPr>
            </w:pPr>
            <w:r w:rsidRPr="000F1E59">
              <w:rPr>
                <w:sz w:val="20"/>
                <w:szCs w:val="20"/>
              </w:rPr>
              <w:t>3. a coordinated implementation where responsibilities and tasks are clear.</w:t>
            </w:r>
          </w:p>
        </w:tc>
      </w:tr>
    </w:tbl>
    <w:p w14:paraId="66961841" w14:textId="6E4D9BCA" w:rsidR="00FA40FC" w:rsidRDefault="00FA40FC">
      <w:pPr>
        <w:spacing w:line="259" w:lineRule="auto"/>
        <w:jc w:val="left"/>
        <w:rPr>
          <w:b/>
          <w:bCs/>
          <w:color w:val="4E81BD"/>
          <w:sz w:val="22"/>
          <w:szCs w:val="22"/>
        </w:rPr>
      </w:pPr>
    </w:p>
    <w:p w14:paraId="144C8B28" w14:textId="40610F55" w:rsidR="00130E6A" w:rsidRDefault="00130E6A" w:rsidP="00130E6A">
      <w:pPr>
        <w:pStyle w:val="Heading2"/>
      </w:pPr>
      <w:r>
        <w:t xml:space="preserve">Regional Inequality Trends </w:t>
      </w:r>
    </w:p>
    <w:p w14:paraId="0031D5C4" w14:textId="77777777" w:rsidR="00F84859" w:rsidRPr="00F84859" w:rsidRDefault="00F84859" w:rsidP="00F84859">
      <w:pPr>
        <w:rPr>
          <w:lang w:val="en-US"/>
        </w:rPr>
      </w:pPr>
      <w:r w:rsidRPr="00F84859">
        <w:rPr>
          <w:lang w:val="en-US"/>
        </w:rPr>
        <w:t>Sweden experienced an increase in the Theil index of GDP per capita over 2000-2020. Inequality reached its maximum in 2020. The figures are normalized, with values in the year 2000 set to 1.</w:t>
      </w:r>
    </w:p>
    <w:p w14:paraId="65446115" w14:textId="12016878" w:rsidR="00130E6A" w:rsidRPr="00FA40FC" w:rsidRDefault="00F84859" w:rsidP="00F84859">
      <w:pPr>
        <w:rPr>
          <w:lang w:val="en-US"/>
        </w:rPr>
      </w:pPr>
      <w:r w:rsidRPr="00F84859">
        <w:rPr>
          <w:lang w:val="en-US"/>
        </w:rPr>
        <w:t>The Top 20%/Mean ratio was 0.011 higher in 2020 compared to 2000, indicating increased polarisation. The Bottom 20%/Mean ratio was 0.036 lower in the same period, indicating bottom divergence</w:t>
      </w:r>
      <w:r w:rsidR="00FA40FC" w:rsidRPr="00FA40FC">
        <w:rPr>
          <w:lang w:val="en-US"/>
        </w:rPr>
        <w:t>.</w:t>
      </w:r>
    </w:p>
    <w:p w14:paraId="2D663EB5" w14:textId="57992769" w:rsidR="00130E6A" w:rsidRPr="00130E6A" w:rsidRDefault="00130E6A" w:rsidP="00130E6A">
      <w:pPr>
        <w:jc w:val="left"/>
        <w:rPr>
          <w:b/>
          <w:bCs/>
          <w:color w:val="4E81BD"/>
        </w:rPr>
      </w:pPr>
      <w:r w:rsidRPr="00130E6A">
        <w:rPr>
          <w:b/>
          <w:bCs/>
          <w:color w:val="4E81BD"/>
        </w:rPr>
        <w:t>Figure 1. Trends in GDP per capita inequality indicators, TL</w:t>
      </w:r>
      <w:r w:rsidR="00D02557">
        <w:rPr>
          <w:b/>
          <w:bCs/>
          <w:color w:val="4E81BD"/>
        </w:rPr>
        <w:t>3</w:t>
      </w:r>
      <w:r w:rsidRPr="00130E6A">
        <w:rPr>
          <w:b/>
          <w:bCs/>
          <w:color w:val="4E81BD"/>
        </w:rPr>
        <w:t xml:space="preserve"> OECD regions</w:t>
      </w:r>
    </w:p>
    <w:p w14:paraId="48F9AF6B" w14:textId="648D7F9D" w:rsidR="00130E6A" w:rsidRDefault="00F84859" w:rsidP="00130E6A">
      <w:pPr>
        <w:jc w:val="center"/>
      </w:pPr>
      <w:r>
        <w:rPr>
          <w:noProof/>
        </w:rPr>
        <w:drawing>
          <wp:inline distT="0" distB="0" distL="0" distR="0" wp14:anchorId="2365A8F7" wp14:editId="2FEC0A16">
            <wp:extent cx="5731510" cy="307213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072130"/>
                    </a:xfrm>
                    <a:prstGeom prst="rect">
                      <a:avLst/>
                    </a:prstGeom>
                  </pic:spPr>
                </pic:pic>
              </a:graphicData>
            </a:graphic>
          </wp:inline>
        </w:drawing>
      </w:r>
    </w:p>
    <w:p w14:paraId="563AFBB3" w14:textId="34A2C757" w:rsidR="00130E6A" w:rsidRPr="00130E6A" w:rsidRDefault="00130E6A" w:rsidP="00130E6A">
      <w:pPr>
        <w:spacing w:after="0"/>
        <w:rPr>
          <w:sz w:val="16"/>
          <w:szCs w:val="16"/>
        </w:rPr>
      </w:pPr>
      <w:r w:rsidRPr="00130E6A">
        <w:rPr>
          <w:b/>
          <w:bCs/>
          <w:sz w:val="16"/>
          <w:szCs w:val="16"/>
        </w:rPr>
        <w:t>Note</w:t>
      </w:r>
      <w:r w:rsidRPr="00130E6A">
        <w:rPr>
          <w:sz w:val="16"/>
          <w:szCs w:val="16"/>
        </w:rPr>
        <w:t xml:space="preserve">: </w:t>
      </w:r>
      <w:r w:rsidR="00993AE2" w:rsidRPr="00993AE2">
        <w:rPr>
          <w:sz w:val="16"/>
          <w:szCs w:val="16"/>
        </w:rPr>
        <w:t>Top/bottom calculated as population equivalent (top/bottom regions with at least 20% of the population). The interpretation of top/bottom 20% GDP per capita is that 20% of the population in the country holds 20% of the value. Top 20%/Mean calculated as mean GDP per capita in top 20% regions over mean TL3 GDP per capita in a given year. Bottom 20%/Mean calculated as mean TL3 GDP per capita in bottom 20% regions over mean TL3 GDP per capita in a given year. To improve data consistency, input series are aggregated when TL3 regions are part of the same FUA. To improve time series, TL3 missing values have been estimated based on the evolution at higher geographic level.</w:t>
      </w:r>
    </w:p>
    <w:p w14:paraId="403CBC98" w14:textId="7BFC5D81" w:rsidR="00130E6A" w:rsidRDefault="00130E6A" w:rsidP="00130E6A">
      <w:pPr>
        <w:rPr>
          <w:sz w:val="16"/>
          <w:szCs w:val="16"/>
        </w:rPr>
      </w:pPr>
      <w:r w:rsidRPr="00130E6A">
        <w:rPr>
          <w:b/>
          <w:bCs/>
          <w:sz w:val="16"/>
          <w:szCs w:val="16"/>
        </w:rPr>
        <w:t>Source</w:t>
      </w:r>
      <w:r w:rsidRPr="00130E6A">
        <w:rPr>
          <w:sz w:val="16"/>
          <w:szCs w:val="16"/>
        </w:rPr>
        <w:t>: OECD Regional Database (2022).</w:t>
      </w:r>
    </w:p>
    <w:p w14:paraId="1D7DBE5B" w14:textId="77777777" w:rsidR="00EF66F6" w:rsidRDefault="00EF66F6">
      <w:pPr>
        <w:spacing w:line="259" w:lineRule="auto"/>
        <w:jc w:val="left"/>
      </w:pPr>
      <w:r>
        <w:br w:type="page"/>
      </w:r>
    </w:p>
    <w:p w14:paraId="30F72FC8" w14:textId="77777777" w:rsidR="00F84859" w:rsidRPr="00F84859" w:rsidRDefault="00F84859" w:rsidP="00F84859">
      <w:pPr>
        <w:rPr>
          <w:lang w:val="en-US"/>
        </w:rPr>
      </w:pPr>
      <w:r w:rsidRPr="00F84859">
        <w:rPr>
          <w:lang w:val="en-US"/>
        </w:rPr>
        <w:lastRenderedPageBreak/>
        <w:t>In 2020, the gap in GDP per capita between large metropolitan and non-large metropolitan regions was 1.684. For reference, the same value for OECD was 1.475. This gap increased by 0.028 percentage points between 2000 and 2020.</w:t>
      </w:r>
    </w:p>
    <w:p w14:paraId="50F260BD" w14:textId="77777777" w:rsidR="00F84859" w:rsidRPr="00F84859" w:rsidRDefault="00F84859" w:rsidP="00F84859">
      <w:pPr>
        <w:rPr>
          <w:lang w:val="en-US"/>
        </w:rPr>
      </w:pPr>
      <w:r w:rsidRPr="00F84859">
        <w:rPr>
          <w:lang w:val="en-US"/>
        </w:rPr>
        <w:t>Meanwhile, in 2020, the gap in GDP per capita between metropolitan and non-metropolitan regions was 1.263. For reference, the same value for OECD was 1.325. This gap increased by 0.014 percentage points since 2000.</w:t>
      </w:r>
    </w:p>
    <w:p w14:paraId="4DF87DC8" w14:textId="338B4A87" w:rsidR="00130E6A" w:rsidRDefault="00F84859" w:rsidP="00F84859">
      <w:pPr>
        <w:rPr>
          <w:lang w:val="en-US"/>
        </w:rPr>
      </w:pPr>
      <w:r w:rsidRPr="00F84859">
        <w:rPr>
          <w:lang w:val="en-US"/>
        </w:rPr>
        <w:t>In turn, the gap in GDP per capita between regions near and far a Functional Urban Area (FUA) of more than 250 thousand inhabitants was 1.263 in 2020 and increased by 0.014 percentage points since 2000</w:t>
      </w:r>
      <w:r w:rsidR="00993AE2" w:rsidRPr="00993AE2">
        <w:rPr>
          <w:lang w:val="en-US"/>
        </w:rPr>
        <w:t>.</w:t>
      </w:r>
    </w:p>
    <w:p w14:paraId="5D185E54" w14:textId="075EF6BC" w:rsidR="00993AE2" w:rsidRPr="00EF66F6" w:rsidRDefault="00993AE2" w:rsidP="00993AE2">
      <w:pPr>
        <w:jc w:val="left"/>
        <w:rPr>
          <w:b/>
          <w:bCs/>
          <w:color w:val="4E81BD"/>
        </w:rPr>
      </w:pPr>
      <w:r w:rsidRPr="00EF66F6">
        <w:rPr>
          <w:b/>
          <w:bCs/>
          <w:color w:val="4E81BD"/>
        </w:rPr>
        <w:t xml:space="preserve">Figure 2. </w:t>
      </w:r>
      <w:r>
        <w:rPr>
          <w:b/>
          <w:bCs/>
          <w:color w:val="4E81BD"/>
        </w:rPr>
        <w:t xml:space="preserve">GDP per capita </w:t>
      </w:r>
      <w:r w:rsidR="00440A61">
        <w:rPr>
          <w:b/>
          <w:bCs/>
          <w:color w:val="4E81BD"/>
        </w:rPr>
        <w:t>gap by type of region compared to the OECD average</w:t>
      </w:r>
    </w:p>
    <w:p w14:paraId="0AE7B1A2" w14:textId="2274B004" w:rsidR="00993AE2" w:rsidRDefault="00D65CFC" w:rsidP="00993AE2">
      <w:r>
        <w:rPr>
          <w:noProof/>
        </w:rPr>
        <w:drawing>
          <wp:inline distT="0" distB="0" distL="0" distR="0" wp14:anchorId="7191470B" wp14:editId="6455D34C">
            <wp:extent cx="5731510" cy="3098800"/>
            <wp:effectExtent l="0" t="0" r="254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098800"/>
                    </a:xfrm>
                    <a:prstGeom prst="rect">
                      <a:avLst/>
                    </a:prstGeom>
                  </pic:spPr>
                </pic:pic>
              </a:graphicData>
            </a:graphic>
          </wp:inline>
        </w:drawing>
      </w:r>
    </w:p>
    <w:p w14:paraId="2F5A33AB" w14:textId="77777777" w:rsidR="00440A61" w:rsidRDefault="00993AE2" w:rsidP="00440A61">
      <w:pPr>
        <w:spacing w:after="0"/>
        <w:rPr>
          <w:sz w:val="16"/>
          <w:szCs w:val="16"/>
        </w:rPr>
      </w:pPr>
      <w:r w:rsidRPr="00EF66F6">
        <w:rPr>
          <w:b/>
          <w:bCs/>
          <w:sz w:val="16"/>
          <w:szCs w:val="16"/>
        </w:rPr>
        <w:t>Note</w:t>
      </w:r>
      <w:r w:rsidRPr="00EF66F6">
        <w:rPr>
          <w:sz w:val="16"/>
          <w:szCs w:val="16"/>
        </w:rPr>
        <w:t xml:space="preserve">: </w:t>
      </w:r>
      <w:r w:rsidR="00440A61" w:rsidRPr="00440A61">
        <w:rPr>
          <w:sz w:val="16"/>
          <w:szCs w:val="16"/>
        </w:rPr>
        <w:t>Far from a FUA&gt;250K includes regions near/with a small FUA and remote regions. OECD mean gap based on 1 586 TL3 regions in 27 countries with available data (no TL3 data for Australia, Canada, Chile, Colombia, Costa Rica, Iceland, Ireland, Israel, Mexico, Luxembourg and Switzerland).</w:t>
      </w:r>
    </w:p>
    <w:p w14:paraId="20AE5987" w14:textId="708EBF9F" w:rsidR="00993AE2" w:rsidRDefault="00993AE2" w:rsidP="00440A61">
      <w:pPr>
        <w:spacing w:after="0"/>
        <w:rPr>
          <w:sz w:val="16"/>
          <w:szCs w:val="16"/>
        </w:rPr>
      </w:pPr>
      <w:r w:rsidRPr="00EF66F6">
        <w:rPr>
          <w:b/>
          <w:bCs/>
          <w:sz w:val="16"/>
          <w:szCs w:val="16"/>
        </w:rPr>
        <w:t>Source</w:t>
      </w:r>
      <w:r w:rsidRPr="00EF66F6">
        <w:rPr>
          <w:sz w:val="16"/>
          <w:szCs w:val="16"/>
        </w:rPr>
        <w:t>: OECD Regional Database (2022).</w:t>
      </w:r>
    </w:p>
    <w:p w14:paraId="23B56D66" w14:textId="02329529" w:rsidR="00993AE2" w:rsidRDefault="00993AE2" w:rsidP="00993AE2">
      <w:pPr>
        <w:rPr>
          <w:lang w:val="en-US"/>
        </w:rPr>
      </w:pPr>
    </w:p>
    <w:p w14:paraId="6990F4B9" w14:textId="79094B33" w:rsidR="00993AE2" w:rsidRDefault="00993AE2" w:rsidP="00993AE2">
      <w:pPr>
        <w:rPr>
          <w:lang w:val="en-US"/>
        </w:rPr>
      </w:pPr>
    </w:p>
    <w:p w14:paraId="6834B3A9" w14:textId="77777777" w:rsidR="00363D4B" w:rsidRDefault="00363D4B">
      <w:pPr>
        <w:spacing w:line="259" w:lineRule="auto"/>
        <w:jc w:val="left"/>
        <w:rPr>
          <w:lang w:val="en-US"/>
        </w:rPr>
      </w:pPr>
      <w:r>
        <w:rPr>
          <w:lang w:val="en-US"/>
        </w:rPr>
        <w:br w:type="page"/>
      </w:r>
    </w:p>
    <w:p w14:paraId="7496ED3E" w14:textId="5EDB199A" w:rsidR="00993AE2" w:rsidRPr="00993AE2" w:rsidRDefault="00D65CFC" w:rsidP="00993AE2">
      <w:pPr>
        <w:rPr>
          <w:lang w:val="en-US"/>
        </w:rPr>
      </w:pPr>
      <w:r w:rsidRPr="00D65CFC">
        <w:rPr>
          <w:lang w:val="en-US"/>
        </w:rPr>
        <w:lastRenderedPageBreak/>
        <w:t>In Sweden, the gap between the upper and the lower half of regions in terms of labour productivity remained stable between 2001 and 2019. Over this period labour productivity grew roughly by 27% in both groups of regions. During 2020, the gap remained stable. Nevertheless, more years of data are necessary to determine the long-term impact of the COVID-19 pandemic on labour productivity gaps in regions</w:t>
      </w:r>
      <w:r w:rsidR="00363D4B">
        <w:rPr>
          <w:lang w:val="en-US"/>
        </w:rPr>
        <w:t>.</w:t>
      </w:r>
    </w:p>
    <w:p w14:paraId="775704A2" w14:textId="68402F7F" w:rsidR="00130E6A" w:rsidRPr="00EF66F6" w:rsidRDefault="00130E6A" w:rsidP="00EF66F6">
      <w:pPr>
        <w:jc w:val="left"/>
        <w:rPr>
          <w:b/>
          <w:bCs/>
          <w:color w:val="4E81BD"/>
        </w:rPr>
      </w:pPr>
      <w:r w:rsidRPr="00EF66F6">
        <w:rPr>
          <w:b/>
          <w:bCs/>
          <w:color w:val="4E81BD"/>
        </w:rPr>
        <w:t xml:space="preserve">Figure </w:t>
      </w:r>
      <w:r w:rsidR="00363D4B">
        <w:rPr>
          <w:b/>
          <w:bCs/>
          <w:color w:val="4E81BD"/>
        </w:rPr>
        <w:t>3</w:t>
      </w:r>
      <w:r w:rsidRPr="00EF66F6">
        <w:rPr>
          <w:b/>
          <w:bCs/>
          <w:color w:val="4E81BD"/>
        </w:rPr>
        <w:t xml:space="preserve">. </w:t>
      </w:r>
      <w:r w:rsidR="00EF66F6" w:rsidRPr="00EF66F6">
        <w:rPr>
          <w:b/>
          <w:bCs/>
          <w:color w:val="4E81BD"/>
        </w:rPr>
        <w:t>Evolution of labour productivity, TL</w:t>
      </w:r>
      <w:r w:rsidR="002F53E2">
        <w:rPr>
          <w:b/>
          <w:bCs/>
          <w:color w:val="4E81BD"/>
        </w:rPr>
        <w:t>3</w:t>
      </w:r>
      <w:r w:rsidR="00EF66F6" w:rsidRPr="00EF66F6">
        <w:rPr>
          <w:b/>
          <w:bCs/>
          <w:color w:val="4E81BD"/>
        </w:rPr>
        <w:t xml:space="preserve"> OECD regions</w:t>
      </w:r>
    </w:p>
    <w:p w14:paraId="5D2D7421" w14:textId="25F4F79E" w:rsidR="00130E6A" w:rsidRDefault="003955E6" w:rsidP="00130E6A">
      <w:r>
        <w:rPr>
          <w:noProof/>
        </w:rPr>
        <w:drawing>
          <wp:inline distT="0" distB="0" distL="0" distR="0" wp14:anchorId="41CC252A" wp14:editId="5E75F272">
            <wp:extent cx="5731510" cy="3063240"/>
            <wp:effectExtent l="0" t="0" r="254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063240"/>
                    </a:xfrm>
                    <a:prstGeom prst="rect">
                      <a:avLst/>
                    </a:prstGeom>
                  </pic:spPr>
                </pic:pic>
              </a:graphicData>
            </a:graphic>
          </wp:inline>
        </w:drawing>
      </w:r>
    </w:p>
    <w:p w14:paraId="605E66E9" w14:textId="77777777" w:rsidR="00EF66F6" w:rsidRPr="00EF66F6" w:rsidRDefault="00EF66F6" w:rsidP="00EF66F6">
      <w:pPr>
        <w:spacing w:after="0"/>
        <w:rPr>
          <w:sz w:val="16"/>
          <w:szCs w:val="16"/>
        </w:rPr>
      </w:pPr>
      <w:r w:rsidRPr="00EF66F6">
        <w:rPr>
          <w:b/>
          <w:bCs/>
          <w:sz w:val="16"/>
          <w:szCs w:val="16"/>
        </w:rPr>
        <w:t>Note</w:t>
      </w:r>
      <w:r w:rsidRPr="00EF66F6">
        <w:rPr>
          <w:sz w:val="16"/>
          <w:szCs w:val="16"/>
        </w:rPr>
        <w:t>: A region is in the “upper half” if labour productivity was above the country median in the first year with available data and “lower half” if productivity was below the country median. Labour productivity in each group is equal to the sum of Gross Value Added, expressed in USD at constant prices and PPP (base year 2015) within the group, divided by the sum of total employment in regions within the group. Regions are small (TL3) regions, except for Australia, Canada, Chile, Colombia, Ireland, Mexico, Norway, Switzerland, Türkiye and the United States where they are large (TL2) regions due to data availability.</w:t>
      </w:r>
    </w:p>
    <w:p w14:paraId="48AE86CE" w14:textId="18754FEC" w:rsidR="00EF66F6" w:rsidRDefault="00EF66F6" w:rsidP="00EF66F6">
      <w:pPr>
        <w:rPr>
          <w:sz w:val="16"/>
          <w:szCs w:val="16"/>
        </w:rPr>
      </w:pPr>
      <w:r w:rsidRPr="00EF66F6">
        <w:rPr>
          <w:b/>
          <w:bCs/>
          <w:sz w:val="16"/>
          <w:szCs w:val="16"/>
        </w:rPr>
        <w:t>Source</w:t>
      </w:r>
      <w:r w:rsidRPr="00EF66F6">
        <w:rPr>
          <w:sz w:val="16"/>
          <w:szCs w:val="16"/>
        </w:rPr>
        <w:t>: OECD Regional Database (2022).</w:t>
      </w:r>
    </w:p>
    <w:p w14:paraId="08F2D579" w14:textId="77777777" w:rsidR="00EF66F6" w:rsidRDefault="00EF66F6">
      <w:pPr>
        <w:spacing w:line="259" w:lineRule="auto"/>
        <w:jc w:val="left"/>
      </w:pPr>
      <w:r>
        <w:br w:type="page"/>
      </w:r>
    </w:p>
    <w:p w14:paraId="6787C1E3" w14:textId="1BFBBEF5" w:rsidR="00EF66F6" w:rsidRDefault="003955E6" w:rsidP="00EF66F6">
      <w:r w:rsidRPr="003955E6">
        <w:lastRenderedPageBreak/>
        <w:t>Regions where the economic activity shifts towards tradable activities, such as industry and tradable services, tend to grow faster in terms of labour productivity. In Sweden, between 2001 and 2020, the share of workers in the industrial sector went down in all regions but more so in regions that were already in the lower half of the labour productivity distribution. At the same time, the share of workers in the tradable services sector went up in all regions but more so in regions that were already in the upper half of the labour productivity distribution. Hence, the evolution of employment shares both in the industrial and in the tradable services sectors widened the labour productivity gap between regions</w:t>
      </w:r>
      <w:r w:rsidR="00F61089" w:rsidRPr="00F61089">
        <w:t>.</w:t>
      </w:r>
    </w:p>
    <w:p w14:paraId="40550EF5" w14:textId="7BD1DC50" w:rsidR="00EF66F6" w:rsidRPr="00EF66F6" w:rsidRDefault="00EF66F6" w:rsidP="00EF66F6">
      <w:pPr>
        <w:jc w:val="left"/>
        <w:rPr>
          <w:b/>
          <w:bCs/>
          <w:color w:val="4E81BD"/>
        </w:rPr>
      </w:pPr>
      <w:r w:rsidRPr="00EF66F6">
        <w:rPr>
          <w:b/>
          <w:bCs/>
          <w:color w:val="4E81BD"/>
        </w:rPr>
        <w:t xml:space="preserve">Figure </w:t>
      </w:r>
      <w:r w:rsidR="00F61089">
        <w:rPr>
          <w:b/>
          <w:bCs/>
          <w:color w:val="4E81BD"/>
        </w:rPr>
        <w:t>4</w:t>
      </w:r>
      <w:r w:rsidRPr="00EF66F6">
        <w:rPr>
          <w:b/>
          <w:bCs/>
          <w:color w:val="4E81BD"/>
        </w:rPr>
        <w:t>. Share of workers in most productive (tradable) sectors, TL</w:t>
      </w:r>
      <w:r w:rsidR="00EE7700">
        <w:rPr>
          <w:b/>
          <w:bCs/>
          <w:color w:val="4E81BD"/>
        </w:rPr>
        <w:t>3</w:t>
      </w:r>
      <w:r w:rsidRPr="00EF66F6">
        <w:rPr>
          <w:b/>
          <w:bCs/>
          <w:color w:val="4E81BD"/>
        </w:rPr>
        <w:t xml:space="preserve"> OE</w:t>
      </w:r>
      <w:r w:rsidR="00EE7700">
        <w:rPr>
          <w:b/>
          <w:bCs/>
          <w:color w:val="4E81BD"/>
        </w:rPr>
        <w:t>CD</w:t>
      </w:r>
      <w:r w:rsidRPr="00EF66F6">
        <w:rPr>
          <w:b/>
          <w:bCs/>
          <w:color w:val="4E81BD"/>
        </w:rPr>
        <w:t xml:space="preserve"> regions</w:t>
      </w:r>
    </w:p>
    <w:p w14:paraId="3707850B" w14:textId="67FEE14B" w:rsidR="00EF66F6" w:rsidRDefault="003955E6" w:rsidP="00EF66F6">
      <w:r>
        <w:rPr>
          <w:noProof/>
        </w:rPr>
        <w:drawing>
          <wp:inline distT="0" distB="0" distL="0" distR="0" wp14:anchorId="3815EB04" wp14:editId="7CA9C3BD">
            <wp:extent cx="5731510" cy="255524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555240"/>
                    </a:xfrm>
                    <a:prstGeom prst="rect">
                      <a:avLst/>
                    </a:prstGeom>
                  </pic:spPr>
                </pic:pic>
              </a:graphicData>
            </a:graphic>
          </wp:inline>
        </w:drawing>
      </w:r>
    </w:p>
    <w:p w14:paraId="66A7A82D" w14:textId="77777777" w:rsidR="00EF66F6" w:rsidRPr="00EF66F6" w:rsidRDefault="00EF66F6" w:rsidP="00EF66F6">
      <w:pPr>
        <w:spacing w:after="0"/>
        <w:rPr>
          <w:sz w:val="16"/>
          <w:szCs w:val="16"/>
        </w:rPr>
      </w:pPr>
      <w:r w:rsidRPr="00EF66F6">
        <w:rPr>
          <w:b/>
          <w:bCs/>
          <w:sz w:val="16"/>
          <w:szCs w:val="16"/>
        </w:rPr>
        <w:t>Note</w:t>
      </w:r>
      <w:r w:rsidRPr="00EF66F6">
        <w:rPr>
          <w:sz w:val="16"/>
          <w:szCs w:val="16"/>
        </w:rPr>
        <w:t>: A region is in the “upper half” if labour productivity was above the country median in the first year with available data and “lower half” if productivity was below the country median. The share of workers in a given sector for a group of regions is defined as the sum of employment in that sector within the group divided by the sum of total employment within the group. Regions are small (TL3) regions, except for Australia, Canada, Chile, Ireland, Mexico, Norway, Switzerland, Türkiye and the United States where they are large (TL2) regions due to data availability. Industry includes the following tradable goods sectors: Mining and quarrying (B), Manufacturing (C), Electricity, gas, steam and air conditioning supply (D) and Water supply; sewerage; waste management and remediation activities (E) NACE macro sectors. Tradable services include Information and communication (J), Financial and insurance activities (K), Real estate activities (L), Professional, scientific and technical activities (M), Administrative and support service activities (N).</w:t>
      </w:r>
    </w:p>
    <w:p w14:paraId="6902CC66" w14:textId="524B8582" w:rsidR="00EF66F6" w:rsidRDefault="00EF66F6" w:rsidP="00EF66F6">
      <w:pPr>
        <w:rPr>
          <w:sz w:val="16"/>
          <w:szCs w:val="16"/>
        </w:rPr>
      </w:pPr>
      <w:r w:rsidRPr="00EF66F6">
        <w:rPr>
          <w:b/>
          <w:bCs/>
          <w:sz w:val="16"/>
          <w:szCs w:val="16"/>
        </w:rPr>
        <w:t>Source</w:t>
      </w:r>
      <w:r w:rsidRPr="00EF66F6">
        <w:rPr>
          <w:sz w:val="16"/>
          <w:szCs w:val="16"/>
        </w:rPr>
        <w:t>: OECD Regional Database (2022).</w:t>
      </w:r>
    </w:p>
    <w:p w14:paraId="364DB042" w14:textId="77777777" w:rsidR="00EF66F6" w:rsidRPr="00EF66F6" w:rsidRDefault="00EF66F6" w:rsidP="00EF66F6">
      <w:pPr>
        <w:rPr>
          <w:sz w:val="16"/>
          <w:szCs w:val="16"/>
        </w:rPr>
      </w:pPr>
    </w:p>
    <w:p w14:paraId="10B019BE" w14:textId="30F3CEAD" w:rsidR="00130E6A" w:rsidRPr="00130E6A" w:rsidRDefault="00130E6A" w:rsidP="00130E6A">
      <w:pPr>
        <w:pStyle w:val="Heading2"/>
      </w:pPr>
      <w:r w:rsidRPr="00130E6A">
        <w:t>Recent policy developments</w:t>
      </w:r>
    </w:p>
    <w:p w14:paraId="09C3EFB7" w14:textId="77777777" w:rsidR="005D5299" w:rsidRPr="005D5299" w:rsidRDefault="005D5299" w:rsidP="005D5299">
      <w:r w:rsidRPr="005D5299">
        <w:t>The National strategy for sustainable regional development throughout Sweden 2021–2030 is the framework for the regional development policy until 2030. The national strategy was submitted by the previous government in March 2021 in the form of a letter (</w:t>
      </w:r>
      <w:r w:rsidRPr="005D5299">
        <w:rPr>
          <w:i/>
          <w:iCs/>
        </w:rPr>
        <w:t>skr. 2020/21:133</w:t>
      </w:r>
      <w:r w:rsidRPr="005D5299">
        <w:t>) to the Parliament (Riksdag). The Riksdag approved it in June 2022 in accordance with the proposal of the Committee on Industry and Trade. The strategy highlights three basic prerequisites for effective implementation:</w:t>
      </w:r>
    </w:p>
    <w:p w14:paraId="3CCFF488" w14:textId="77777777" w:rsidR="005D5299" w:rsidRPr="005D5299" w:rsidRDefault="005D5299" w:rsidP="005D5299">
      <w:pPr>
        <w:numPr>
          <w:ilvl w:val="0"/>
          <w:numId w:val="23"/>
        </w:numPr>
      </w:pPr>
      <w:r w:rsidRPr="005D5299">
        <w:t>capacity for regional and local development work</w:t>
      </w:r>
    </w:p>
    <w:p w14:paraId="10E4CFF7" w14:textId="77777777" w:rsidR="005D5299" w:rsidRPr="005D5299" w:rsidRDefault="005D5299" w:rsidP="005D5299">
      <w:pPr>
        <w:numPr>
          <w:ilvl w:val="0"/>
          <w:numId w:val="23"/>
        </w:numPr>
      </w:pPr>
      <w:r w:rsidRPr="005D5299">
        <w:t>regional consideration and cooperation between state agencies, regions and other actors, as well as</w:t>
      </w:r>
    </w:p>
    <w:p w14:paraId="350ADFF1" w14:textId="77777777" w:rsidR="005D5299" w:rsidRPr="005D5299" w:rsidRDefault="005D5299" w:rsidP="005D5299">
      <w:pPr>
        <w:numPr>
          <w:ilvl w:val="0"/>
          <w:numId w:val="23"/>
        </w:numPr>
      </w:pPr>
      <w:r w:rsidRPr="005D5299">
        <w:t>learning through analysis, follow-up, evaluation and research.</w:t>
      </w:r>
    </w:p>
    <w:p w14:paraId="7D3DF6A4" w14:textId="77777777" w:rsidR="005D5299" w:rsidRPr="005D5299" w:rsidRDefault="005D5299" w:rsidP="005D5299">
      <w:r w:rsidRPr="005D5299">
        <w:t>In the strategy, there are four strategic areas that will form the basis for the implementation of the regional development policy 2021–2030. The strategy with its strategic areas and priorities is indicative for the regional development strategies of the regions.</w:t>
      </w:r>
    </w:p>
    <w:p w14:paraId="4D2BE677" w14:textId="77777777" w:rsidR="005D5299" w:rsidRPr="005D5299" w:rsidRDefault="005D5299" w:rsidP="005D5299">
      <w:pPr>
        <w:numPr>
          <w:ilvl w:val="0"/>
          <w:numId w:val="24"/>
        </w:numPr>
      </w:pPr>
      <w:r w:rsidRPr="005D5299">
        <w:lastRenderedPageBreak/>
        <w:t>equal opportunities for housing, work and welfare throughout the country</w:t>
      </w:r>
    </w:p>
    <w:p w14:paraId="28354ADC" w14:textId="77777777" w:rsidR="005D5299" w:rsidRPr="005D5299" w:rsidRDefault="005D5299" w:rsidP="005D5299">
      <w:pPr>
        <w:numPr>
          <w:ilvl w:val="0"/>
          <w:numId w:val="24"/>
        </w:numPr>
      </w:pPr>
      <w:r w:rsidRPr="005D5299">
        <w:t>competence supply and competence development throughout the country</w:t>
      </w:r>
    </w:p>
    <w:p w14:paraId="1F85956B" w14:textId="77777777" w:rsidR="005D5299" w:rsidRPr="005D5299" w:rsidRDefault="005D5299" w:rsidP="005D5299">
      <w:pPr>
        <w:numPr>
          <w:ilvl w:val="0"/>
          <w:numId w:val="24"/>
        </w:numPr>
      </w:pPr>
      <w:r w:rsidRPr="005D5299">
        <w:t>innovation and renewal as well as entrepreneurship and business development throughout the country</w:t>
      </w:r>
    </w:p>
    <w:p w14:paraId="62C1E5E3" w14:textId="77777777" w:rsidR="005D5299" w:rsidRPr="005D5299" w:rsidRDefault="005D5299" w:rsidP="005D5299">
      <w:pPr>
        <w:numPr>
          <w:ilvl w:val="0"/>
          <w:numId w:val="24"/>
        </w:numPr>
      </w:pPr>
      <w:r w:rsidRPr="005D5299">
        <w:t>accessibility throughout the country through digital communication and the transport system.</w:t>
      </w:r>
    </w:p>
    <w:p w14:paraId="439D2243" w14:textId="77777777" w:rsidR="005D5299" w:rsidRPr="005D5299" w:rsidRDefault="005D5299" w:rsidP="005D5299">
      <w:r w:rsidRPr="005D5299">
        <w:t xml:space="preserve">The commission approved the Swedish partnership agreement in May 2022. The Partnership Agreement sets out the strategic orientation for the European Regional Development Fund (ERDF), the Just Transition Fund (JTF), the European Social Fund+ (ESF+) and the European Maritime, Fisheries and Aquaculture Fund (EMFAF). </w:t>
      </w:r>
    </w:p>
    <w:p w14:paraId="4ED840AD" w14:textId="66442204" w:rsidR="00130E6A" w:rsidRPr="00130E6A" w:rsidRDefault="005D5299" w:rsidP="00442B3C">
      <w:r w:rsidRPr="005D5299">
        <w:t>All ERDF-programs, including all Interreg programs in which Sweden participates, were approved in 2022. The national program and the eight regional programmes comprise a total of approximately EUR 2,1 billion, including Swedish co-financing during the program period. In addition, the national envelope from ERDF regarding cross-border and transnational cooperation is EUR 358 million. The implementation of the ERDF-programs means that important investments in entrepreneurship, innovations, energy efficiency, climate change, circular economy and cross-regional cooperation can be made around the country</w:t>
      </w:r>
      <w:r w:rsidR="00442B3C">
        <w:t>.</w:t>
      </w:r>
    </w:p>
    <w:p w14:paraId="3499F09A" w14:textId="77777777" w:rsidR="00130E6A" w:rsidRPr="00130E6A" w:rsidRDefault="00130E6A" w:rsidP="00130E6A"/>
    <w:sectPr w:rsidR="00130E6A" w:rsidRPr="00130E6A">
      <w:head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A9E890" w14:textId="77777777" w:rsidR="0077321C" w:rsidRDefault="0077321C" w:rsidP="00B0261A">
      <w:r>
        <w:separator/>
      </w:r>
    </w:p>
  </w:endnote>
  <w:endnote w:type="continuationSeparator" w:id="0">
    <w:p w14:paraId="62930D28" w14:textId="77777777" w:rsidR="0077321C" w:rsidRDefault="0077321C" w:rsidP="00B026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7596D3" w14:textId="77777777" w:rsidR="0077321C" w:rsidRDefault="0077321C" w:rsidP="00B0261A">
      <w:r>
        <w:separator/>
      </w:r>
    </w:p>
  </w:footnote>
  <w:footnote w:type="continuationSeparator" w:id="0">
    <w:p w14:paraId="5A4DF24B" w14:textId="77777777" w:rsidR="0077321C" w:rsidRDefault="0077321C" w:rsidP="00B0261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51C441" w14:textId="1642F243" w:rsidR="00130E6A" w:rsidRDefault="00130E6A">
    <w:pPr>
      <w:pStyle w:val="Header"/>
      <w:jc w:val="right"/>
    </w:pPr>
    <w:r>
      <w:t>|</w:t>
    </w:r>
    <w:sdt>
      <w:sdtPr>
        <w:id w:val="-278415714"/>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42910535" w14:textId="77777777" w:rsidR="00B0261A" w:rsidRDefault="00B0261A" w:rsidP="00B0261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45B4F"/>
    <w:multiLevelType w:val="hybridMultilevel"/>
    <w:tmpl w:val="59104AA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EC260A1"/>
    <w:multiLevelType w:val="hybridMultilevel"/>
    <w:tmpl w:val="7A6618C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1B511EA"/>
    <w:multiLevelType w:val="hybridMultilevel"/>
    <w:tmpl w:val="FFFFFFFF"/>
    <w:lvl w:ilvl="0" w:tplc="080C0001">
      <w:start w:val="1"/>
      <w:numFmt w:val="bullet"/>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hint="default"/>
      </w:rPr>
    </w:lvl>
    <w:lvl w:ilvl="2" w:tplc="080C0005">
      <w:start w:val="1"/>
      <w:numFmt w:val="bullet"/>
      <w:lvlText w:val=""/>
      <w:lvlJc w:val="left"/>
      <w:pPr>
        <w:ind w:left="2160" w:hanging="360"/>
      </w:pPr>
      <w:rPr>
        <w:rFonts w:ascii="Wingdings" w:hAnsi="Wingdings" w:hint="default"/>
      </w:rPr>
    </w:lvl>
    <w:lvl w:ilvl="3" w:tplc="080C0001">
      <w:start w:val="1"/>
      <w:numFmt w:val="bullet"/>
      <w:lvlText w:val=""/>
      <w:lvlJc w:val="left"/>
      <w:pPr>
        <w:ind w:left="2880" w:hanging="360"/>
      </w:pPr>
      <w:rPr>
        <w:rFonts w:ascii="Symbol" w:hAnsi="Symbol" w:hint="default"/>
      </w:rPr>
    </w:lvl>
    <w:lvl w:ilvl="4" w:tplc="080C0003">
      <w:start w:val="1"/>
      <w:numFmt w:val="bullet"/>
      <w:lvlText w:val="o"/>
      <w:lvlJc w:val="left"/>
      <w:pPr>
        <w:ind w:left="3600" w:hanging="360"/>
      </w:pPr>
      <w:rPr>
        <w:rFonts w:ascii="Courier New" w:hAnsi="Courier New" w:hint="default"/>
      </w:rPr>
    </w:lvl>
    <w:lvl w:ilvl="5" w:tplc="080C0005">
      <w:start w:val="1"/>
      <w:numFmt w:val="bullet"/>
      <w:lvlText w:val=""/>
      <w:lvlJc w:val="left"/>
      <w:pPr>
        <w:ind w:left="4320" w:hanging="360"/>
      </w:pPr>
      <w:rPr>
        <w:rFonts w:ascii="Wingdings" w:hAnsi="Wingdings" w:hint="default"/>
      </w:rPr>
    </w:lvl>
    <w:lvl w:ilvl="6" w:tplc="080C0001">
      <w:start w:val="1"/>
      <w:numFmt w:val="bullet"/>
      <w:lvlText w:val=""/>
      <w:lvlJc w:val="left"/>
      <w:pPr>
        <w:ind w:left="5040" w:hanging="360"/>
      </w:pPr>
      <w:rPr>
        <w:rFonts w:ascii="Symbol" w:hAnsi="Symbol" w:hint="default"/>
      </w:rPr>
    </w:lvl>
    <w:lvl w:ilvl="7" w:tplc="080C0003">
      <w:start w:val="1"/>
      <w:numFmt w:val="bullet"/>
      <w:lvlText w:val="o"/>
      <w:lvlJc w:val="left"/>
      <w:pPr>
        <w:ind w:left="5760" w:hanging="360"/>
      </w:pPr>
      <w:rPr>
        <w:rFonts w:ascii="Courier New" w:hAnsi="Courier New" w:hint="default"/>
      </w:rPr>
    </w:lvl>
    <w:lvl w:ilvl="8" w:tplc="080C0005">
      <w:start w:val="1"/>
      <w:numFmt w:val="bullet"/>
      <w:lvlText w:val=""/>
      <w:lvlJc w:val="left"/>
      <w:pPr>
        <w:ind w:left="6480" w:hanging="360"/>
      </w:pPr>
      <w:rPr>
        <w:rFonts w:ascii="Wingdings" w:hAnsi="Wingdings" w:hint="default"/>
      </w:rPr>
    </w:lvl>
  </w:abstractNum>
  <w:abstractNum w:abstractNumId="3" w15:restartNumberingAfterBreak="0">
    <w:nsid w:val="14997735"/>
    <w:multiLevelType w:val="hybridMultilevel"/>
    <w:tmpl w:val="0354EC60"/>
    <w:lvl w:ilvl="0" w:tplc="0813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1265BEA"/>
    <w:multiLevelType w:val="hybridMultilevel"/>
    <w:tmpl w:val="FFFFFFFF"/>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5" w15:restartNumberingAfterBreak="0">
    <w:nsid w:val="22F67D19"/>
    <w:multiLevelType w:val="hybridMultilevel"/>
    <w:tmpl w:val="F1ACFA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342D31"/>
    <w:multiLevelType w:val="hybridMultilevel"/>
    <w:tmpl w:val="910C1400"/>
    <w:lvl w:ilvl="0" w:tplc="0552919E">
      <w:start w:val="1"/>
      <w:numFmt w:val="bullet"/>
      <w:pStyle w:val="Table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29142188"/>
    <w:multiLevelType w:val="hybridMultilevel"/>
    <w:tmpl w:val="FFFFFFFF"/>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8" w15:restartNumberingAfterBreak="0">
    <w:nsid w:val="2DA84352"/>
    <w:multiLevelType w:val="hybridMultilevel"/>
    <w:tmpl w:val="D074A63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37451856"/>
    <w:multiLevelType w:val="hybridMultilevel"/>
    <w:tmpl w:val="FFFFFFFF"/>
    <w:lvl w:ilvl="0" w:tplc="080C0001">
      <w:start w:val="1"/>
      <w:numFmt w:val="bullet"/>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0" w15:restartNumberingAfterBreak="0">
    <w:nsid w:val="38B07112"/>
    <w:multiLevelType w:val="hybridMultilevel"/>
    <w:tmpl w:val="37CACF74"/>
    <w:lvl w:ilvl="0" w:tplc="08130001">
      <w:start w:val="1"/>
      <w:numFmt w:val="bullet"/>
      <w:lvlText w:val=""/>
      <w:lvlJc w:val="left"/>
      <w:pPr>
        <w:ind w:left="764" w:hanging="360"/>
      </w:pPr>
      <w:rPr>
        <w:rFonts w:ascii="Symbol" w:hAnsi="Symbol" w:hint="default"/>
      </w:rPr>
    </w:lvl>
    <w:lvl w:ilvl="1" w:tplc="08130003" w:tentative="1">
      <w:start w:val="1"/>
      <w:numFmt w:val="bullet"/>
      <w:lvlText w:val="o"/>
      <w:lvlJc w:val="left"/>
      <w:pPr>
        <w:ind w:left="1484" w:hanging="360"/>
      </w:pPr>
      <w:rPr>
        <w:rFonts w:ascii="Courier New" w:hAnsi="Courier New" w:cs="Courier New" w:hint="default"/>
      </w:rPr>
    </w:lvl>
    <w:lvl w:ilvl="2" w:tplc="08130005" w:tentative="1">
      <w:start w:val="1"/>
      <w:numFmt w:val="bullet"/>
      <w:lvlText w:val=""/>
      <w:lvlJc w:val="left"/>
      <w:pPr>
        <w:ind w:left="2204" w:hanging="360"/>
      </w:pPr>
      <w:rPr>
        <w:rFonts w:ascii="Wingdings" w:hAnsi="Wingdings" w:hint="default"/>
      </w:rPr>
    </w:lvl>
    <w:lvl w:ilvl="3" w:tplc="08130001" w:tentative="1">
      <w:start w:val="1"/>
      <w:numFmt w:val="bullet"/>
      <w:lvlText w:val=""/>
      <w:lvlJc w:val="left"/>
      <w:pPr>
        <w:ind w:left="2924" w:hanging="360"/>
      </w:pPr>
      <w:rPr>
        <w:rFonts w:ascii="Symbol" w:hAnsi="Symbol" w:hint="default"/>
      </w:rPr>
    </w:lvl>
    <w:lvl w:ilvl="4" w:tplc="08130003" w:tentative="1">
      <w:start w:val="1"/>
      <w:numFmt w:val="bullet"/>
      <w:lvlText w:val="o"/>
      <w:lvlJc w:val="left"/>
      <w:pPr>
        <w:ind w:left="3644" w:hanging="360"/>
      </w:pPr>
      <w:rPr>
        <w:rFonts w:ascii="Courier New" w:hAnsi="Courier New" w:cs="Courier New" w:hint="default"/>
      </w:rPr>
    </w:lvl>
    <w:lvl w:ilvl="5" w:tplc="08130005" w:tentative="1">
      <w:start w:val="1"/>
      <w:numFmt w:val="bullet"/>
      <w:lvlText w:val=""/>
      <w:lvlJc w:val="left"/>
      <w:pPr>
        <w:ind w:left="4364" w:hanging="360"/>
      </w:pPr>
      <w:rPr>
        <w:rFonts w:ascii="Wingdings" w:hAnsi="Wingdings" w:hint="default"/>
      </w:rPr>
    </w:lvl>
    <w:lvl w:ilvl="6" w:tplc="08130001" w:tentative="1">
      <w:start w:val="1"/>
      <w:numFmt w:val="bullet"/>
      <w:lvlText w:val=""/>
      <w:lvlJc w:val="left"/>
      <w:pPr>
        <w:ind w:left="5084" w:hanging="360"/>
      </w:pPr>
      <w:rPr>
        <w:rFonts w:ascii="Symbol" w:hAnsi="Symbol" w:hint="default"/>
      </w:rPr>
    </w:lvl>
    <w:lvl w:ilvl="7" w:tplc="08130003" w:tentative="1">
      <w:start w:val="1"/>
      <w:numFmt w:val="bullet"/>
      <w:lvlText w:val="o"/>
      <w:lvlJc w:val="left"/>
      <w:pPr>
        <w:ind w:left="5804" w:hanging="360"/>
      </w:pPr>
      <w:rPr>
        <w:rFonts w:ascii="Courier New" w:hAnsi="Courier New" w:cs="Courier New" w:hint="default"/>
      </w:rPr>
    </w:lvl>
    <w:lvl w:ilvl="8" w:tplc="08130005" w:tentative="1">
      <w:start w:val="1"/>
      <w:numFmt w:val="bullet"/>
      <w:lvlText w:val=""/>
      <w:lvlJc w:val="left"/>
      <w:pPr>
        <w:ind w:left="6524" w:hanging="360"/>
      </w:pPr>
      <w:rPr>
        <w:rFonts w:ascii="Wingdings" w:hAnsi="Wingdings" w:hint="default"/>
      </w:rPr>
    </w:lvl>
  </w:abstractNum>
  <w:abstractNum w:abstractNumId="11" w15:restartNumberingAfterBreak="0">
    <w:nsid w:val="3AF50439"/>
    <w:multiLevelType w:val="hybridMultilevel"/>
    <w:tmpl w:val="93828450"/>
    <w:lvl w:ilvl="0" w:tplc="08130001">
      <w:start w:val="1"/>
      <w:numFmt w:val="bullet"/>
      <w:lvlText w:val=""/>
      <w:lvlJc w:val="left"/>
      <w:pPr>
        <w:ind w:left="720" w:hanging="360"/>
      </w:pPr>
      <w:rPr>
        <w:rFonts w:ascii="Symbol" w:hAnsi="Symbol" w:hint="default"/>
      </w:rPr>
    </w:lvl>
    <w:lvl w:ilvl="1" w:tplc="6E22A8E0">
      <w:numFmt w:val="bullet"/>
      <w:lvlText w:val="•"/>
      <w:lvlJc w:val="left"/>
      <w:pPr>
        <w:ind w:left="1800" w:hanging="720"/>
      </w:pPr>
      <w:rPr>
        <w:rFonts w:ascii="Arial Narrow" w:eastAsiaTheme="minorHAnsi" w:hAnsi="Arial Narrow" w:cstheme="minorBidi"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2" w15:restartNumberingAfterBreak="0">
    <w:nsid w:val="4BD035A0"/>
    <w:multiLevelType w:val="hybridMultilevel"/>
    <w:tmpl w:val="6D802CC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3" w15:restartNumberingAfterBreak="0">
    <w:nsid w:val="4D0B6CEB"/>
    <w:multiLevelType w:val="hybridMultilevel"/>
    <w:tmpl w:val="805A74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4E263BA7"/>
    <w:multiLevelType w:val="hybridMultilevel"/>
    <w:tmpl w:val="9170F6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0B31131"/>
    <w:multiLevelType w:val="hybridMultilevel"/>
    <w:tmpl w:val="133C6A96"/>
    <w:lvl w:ilvl="0" w:tplc="080C0001">
      <w:start w:val="1"/>
      <w:numFmt w:val="bullet"/>
      <w:lvlText w:val=""/>
      <w:lvlJc w:val="left"/>
      <w:pPr>
        <w:ind w:left="720" w:hanging="360"/>
      </w:pPr>
      <w:rPr>
        <w:rFonts w:ascii="Symbol" w:hAnsi="Symbol" w:hint="default"/>
      </w:rPr>
    </w:lvl>
    <w:lvl w:ilvl="1" w:tplc="6B74A1EE">
      <w:numFmt w:val="bullet"/>
      <w:lvlText w:val="-"/>
      <w:lvlJc w:val="left"/>
      <w:pPr>
        <w:ind w:left="1800" w:hanging="720"/>
      </w:pPr>
      <w:rPr>
        <w:rFonts w:ascii="Arial" w:eastAsiaTheme="minorHAnsi" w:hAnsi="Arial" w:cs="Arial"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6" w15:restartNumberingAfterBreak="0">
    <w:nsid w:val="61F008E5"/>
    <w:multiLevelType w:val="hybridMultilevel"/>
    <w:tmpl w:val="B16C2CC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7" w15:restartNumberingAfterBreak="0">
    <w:nsid w:val="637F5601"/>
    <w:multiLevelType w:val="hybridMultilevel"/>
    <w:tmpl w:val="72DE381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68EA23AE"/>
    <w:multiLevelType w:val="hybridMultilevel"/>
    <w:tmpl w:val="027A719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6BD45F6C"/>
    <w:multiLevelType w:val="hybridMultilevel"/>
    <w:tmpl w:val="F5266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31C559B"/>
    <w:multiLevelType w:val="hybridMultilevel"/>
    <w:tmpl w:val="D49E5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7763ED6"/>
    <w:multiLevelType w:val="hybridMultilevel"/>
    <w:tmpl w:val="36AE1FB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786D3EB9"/>
    <w:multiLevelType w:val="hybridMultilevel"/>
    <w:tmpl w:val="1A940E8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7FA8332C"/>
    <w:multiLevelType w:val="hybridMultilevel"/>
    <w:tmpl w:val="BF12C31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922765929">
    <w:abstractNumId w:val="19"/>
  </w:num>
  <w:num w:numId="2" w16cid:durableId="442264828">
    <w:abstractNumId w:val="6"/>
  </w:num>
  <w:num w:numId="3" w16cid:durableId="1036737201">
    <w:abstractNumId w:val="18"/>
  </w:num>
  <w:num w:numId="4" w16cid:durableId="2100321986">
    <w:abstractNumId w:val="12"/>
  </w:num>
  <w:num w:numId="5" w16cid:durableId="200703605">
    <w:abstractNumId w:val="13"/>
  </w:num>
  <w:num w:numId="6" w16cid:durableId="647786490">
    <w:abstractNumId w:val="21"/>
  </w:num>
  <w:num w:numId="7" w16cid:durableId="243229222">
    <w:abstractNumId w:val="22"/>
  </w:num>
  <w:num w:numId="8" w16cid:durableId="343627830">
    <w:abstractNumId w:val="23"/>
  </w:num>
  <w:num w:numId="9" w16cid:durableId="1178739638">
    <w:abstractNumId w:val="10"/>
  </w:num>
  <w:num w:numId="10" w16cid:durableId="1000810014">
    <w:abstractNumId w:val="11"/>
  </w:num>
  <w:num w:numId="11" w16cid:durableId="293869881">
    <w:abstractNumId w:val="8"/>
  </w:num>
  <w:num w:numId="12" w16cid:durableId="1633779472">
    <w:abstractNumId w:val="0"/>
  </w:num>
  <w:num w:numId="13" w16cid:durableId="1394887564">
    <w:abstractNumId w:val="17"/>
  </w:num>
  <w:num w:numId="14" w16cid:durableId="1989936522">
    <w:abstractNumId w:val="1"/>
  </w:num>
  <w:num w:numId="15" w16cid:durableId="828525225">
    <w:abstractNumId w:val="3"/>
  </w:num>
  <w:num w:numId="16" w16cid:durableId="91363023">
    <w:abstractNumId w:val="9"/>
  </w:num>
  <w:num w:numId="17" w16cid:durableId="1053239916">
    <w:abstractNumId w:val="4"/>
  </w:num>
  <w:num w:numId="18" w16cid:durableId="863639562">
    <w:abstractNumId w:val="2"/>
  </w:num>
  <w:num w:numId="19" w16cid:durableId="1803618516">
    <w:abstractNumId w:val="15"/>
  </w:num>
  <w:num w:numId="20" w16cid:durableId="1712918437">
    <w:abstractNumId w:val="7"/>
  </w:num>
  <w:num w:numId="21" w16cid:durableId="1776099911">
    <w:abstractNumId w:val="20"/>
  </w:num>
  <w:num w:numId="22" w16cid:durableId="1383869380">
    <w:abstractNumId w:val="16"/>
  </w:num>
  <w:num w:numId="23" w16cid:durableId="1523863933">
    <w:abstractNumId w:val="5"/>
  </w:num>
  <w:num w:numId="24" w16cid:durableId="209952024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261A"/>
    <w:rsid w:val="00004FB8"/>
    <w:rsid w:val="0002290D"/>
    <w:rsid w:val="00095321"/>
    <w:rsid w:val="000F1E59"/>
    <w:rsid w:val="00106D54"/>
    <w:rsid w:val="00130E6A"/>
    <w:rsid w:val="00137DF2"/>
    <w:rsid w:val="001F15FE"/>
    <w:rsid w:val="0022593F"/>
    <w:rsid w:val="002932C5"/>
    <w:rsid w:val="002D46F5"/>
    <w:rsid w:val="002F53E2"/>
    <w:rsid w:val="00304085"/>
    <w:rsid w:val="00330C8E"/>
    <w:rsid w:val="00363D4B"/>
    <w:rsid w:val="003942E7"/>
    <w:rsid w:val="003955E6"/>
    <w:rsid w:val="00415A0D"/>
    <w:rsid w:val="00423248"/>
    <w:rsid w:val="0042788E"/>
    <w:rsid w:val="00427B70"/>
    <w:rsid w:val="00440A61"/>
    <w:rsid w:val="00442B3C"/>
    <w:rsid w:val="00475017"/>
    <w:rsid w:val="004D79BD"/>
    <w:rsid w:val="004E2635"/>
    <w:rsid w:val="004E3228"/>
    <w:rsid w:val="00536A5C"/>
    <w:rsid w:val="005D5299"/>
    <w:rsid w:val="00616A18"/>
    <w:rsid w:val="00616F61"/>
    <w:rsid w:val="006B4ECA"/>
    <w:rsid w:val="006C7C5E"/>
    <w:rsid w:val="0071794A"/>
    <w:rsid w:val="007651C5"/>
    <w:rsid w:val="0077321C"/>
    <w:rsid w:val="00781257"/>
    <w:rsid w:val="007C6BE8"/>
    <w:rsid w:val="007D4DD7"/>
    <w:rsid w:val="007D63ED"/>
    <w:rsid w:val="0080379C"/>
    <w:rsid w:val="00810830"/>
    <w:rsid w:val="00821B89"/>
    <w:rsid w:val="008E48C7"/>
    <w:rsid w:val="0090630C"/>
    <w:rsid w:val="00953666"/>
    <w:rsid w:val="009728D5"/>
    <w:rsid w:val="00993AE2"/>
    <w:rsid w:val="009B7678"/>
    <w:rsid w:val="009C0325"/>
    <w:rsid w:val="009D01B2"/>
    <w:rsid w:val="009F3217"/>
    <w:rsid w:val="00A14CFB"/>
    <w:rsid w:val="00A31747"/>
    <w:rsid w:val="00A94AEA"/>
    <w:rsid w:val="00B0261A"/>
    <w:rsid w:val="00C46A24"/>
    <w:rsid w:val="00C74CCF"/>
    <w:rsid w:val="00C91C46"/>
    <w:rsid w:val="00D02557"/>
    <w:rsid w:val="00D354B7"/>
    <w:rsid w:val="00D65CFC"/>
    <w:rsid w:val="00DD7B45"/>
    <w:rsid w:val="00E00B59"/>
    <w:rsid w:val="00E1409A"/>
    <w:rsid w:val="00E35041"/>
    <w:rsid w:val="00EE7700"/>
    <w:rsid w:val="00EF5E68"/>
    <w:rsid w:val="00EF66F6"/>
    <w:rsid w:val="00F341DB"/>
    <w:rsid w:val="00F37D0C"/>
    <w:rsid w:val="00F61089"/>
    <w:rsid w:val="00F66C99"/>
    <w:rsid w:val="00F84859"/>
    <w:rsid w:val="00FA40FC"/>
    <w:rsid w:val="00FD02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E29299"/>
  <w15:chartTrackingRefBased/>
  <w15:docId w15:val="{70AB1E4F-1CC7-43B2-BF70-58E1D334C3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261A"/>
    <w:pPr>
      <w:spacing w:line="276" w:lineRule="auto"/>
      <w:jc w:val="both"/>
    </w:pPr>
    <w:rPr>
      <w:rFonts w:ascii="Arial" w:hAnsi="Arial" w:cs="Arial"/>
      <w:sz w:val="20"/>
      <w:szCs w:val="20"/>
      <w:lang w:val="en-GB"/>
    </w:rPr>
  </w:style>
  <w:style w:type="paragraph" w:styleId="Heading1">
    <w:name w:val="heading 1"/>
    <w:basedOn w:val="Title"/>
    <w:next w:val="Normal"/>
    <w:link w:val="Heading1Char"/>
    <w:uiPriority w:val="9"/>
    <w:qFormat/>
    <w:rsid w:val="00B0261A"/>
    <w:pPr>
      <w:outlineLvl w:val="0"/>
    </w:pPr>
    <w:rPr>
      <w:rFonts w:ascii="Arial Narrow" w:eastAsia="MS Mincho" w:hAnsi="Arial Narrow"/>
      <w:b/>
      <w:bCs/>
      <w:color w:val="4E81BD"/>
    </w:rPr>
  </w:style>
  <w:style w:type="paragraph" w:styleId="Heading2">
    <w:name w:val="heading 2"/>
    <w:basedOn w:val="Normal"/>
    <w:next w:val="Normal"/>
    <w:link w:val="Heading2Char"/>
    <w:uiPriority w:val="9"/>
    <w:unhideWhenUsed/>
    <w:qFormat/>
    <w:rsid w:val="00130E6A"/>
    <w:pPr>
      <w:spacing w:before="240"/>
      <w:outlineLvl w:val="1"/>
    </w:pPr>
    <w:rPr>
      <w:b/>
      <w:bCs/>
      <w:color w:val="4E81BD"/>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0261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261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0261A"/>
    <w:rPr>
      <w:rFonts w:ascii="Arial Narrow" w:eastAsia="MS Mincho" w:hAnsi="Arial Narrow" w:cstheme="majorBidi"/>
      <w:b/>
      <w:bCs/>
      <w:color w:val="4E81BD"/>
      <w:spacing w:val="-10"/>
      <w:kern w:val="28"/>
      <w:sz w:val="56"/>
      <w:szCs w:val="56"/>
      <w:lang w:val="en-GB"/>
    </w:rPr>
  </w:style>
  <w:style w:type="paragraph" w:styleId="Header">
    <w:name w:val="header"/>
    <w:basedOn w:val="Normal"/>
    <w:link w:val="HeaderChar"/>
    <w:uiPriority w:val="99"/>
    <w:unhideWhenUsed/>
    <w:rsid w:val="00B0261A"/>
    <w:pPr>
      <w:tabs>
        <w:tab w:val="center" w:pos="4513"/>
        <w:tab w:val="right" w:pos="9026"/>
      </w:tabs>
      <w:spacing w:after="0" w:line="240" w:lineRule="auto"/>
    </w:pPr>
  </w:style>
  <w:style w:type="character" w:customStyle="1" w:styleId="HeaderChar">
    <w:name w:val="Header Char"/>
    <w:basedOn w:val="DefaultParagraphFont"/>
    <w:link w:val="Header"/>
    <w:uiPriority w:val="99"/>
    <w:rsid w:val="00B0261A"/>
  </w:style>
  <w:style w:type="paragraph" w:styleId="Footer">
    <w:name w:val="footer"/>
    <w:basedOn w:val="Normal"/>
    <w:link w:val="FooterChar"/>
    <w:uiPriority w:val="99"/>
    <w:unhideWhenUsed/>
    <w:rsid w:val="00B0261A"/>
    <w:pPr>
      <w:tabs>
        <w:tab w:val="center" w:pos="4513"/>
        <w:tab w:val="right" w:pos="9026"/>
      </w:tabs>
      <w:spacing w:after="0" w:line="240" w:lineRule="auto"/>
    </w:pPr>
  </w:style>
  <w:style w:type="character" w:customStyle="1" w:styleId="FooterChar">
    <w:name w:val="Footer Char"/>
    <w:basedOn w:val="DefaultParagraphFont"/>
    <w:link w:val="Footer"/>
    <w:uiPriority w:val="99"/>
    <w:rsid w:val="00B0261A"/>
  </w:style>
  <w:style w:type="character" w:styleId="Hyperlink">
    <w:name w:val="Hyperlink"/>
    <w:basedOn w:val="DefaultParagraphFont"/>
    <w:uiPriority w:val="99"/>
    <w:unhideWhenUsed/>
    <w:rsid w:val="00B0261A"/>
    <w:rPr>
      <w:color w:val="0563C1" w:themeColor="hyperlink"/>
      <w:u w:val="single"/>
    </w:rPr>
  </w:style>
  <w:style w:type="character" w:styleId="UnresolvedMention">
    <w:name w:val="Unresolved Mention"/>
    <w:basedOn w:val="DefaultParagraphFont"/>
    <w:uiPriority w:val="99"/>
    <w:semiHidden/>
    <w:unhideWhenUsed/>
    <w:rsid w:val="00B0261A"/>
    <w:rPr>
      <w:color w:val="605E5C"/>
      <w:shd w:val="clear" w:color="auto" w:fill="E1DFDD"/>
    </w:rPr>
  </w:style>
  <w:style w:type="paragraph" w:styleId="ListParagraph">
    <w:name w:val="List Paragraph"/>
    <w:basedOn w:val="Normal"/>
    <w:uiPriority w:val="34"/>
    <w:qFormat/>
    <w:rsid w:val="00B0261A"/>
    <w:pPr>
      <w:ind w:left="720"/>
      <w:contextualSpacing/>
    </w:pPr>
  </w:style>
  <w:style w:type="character" w:customStyle="1" w:styleId="Heading2Char">
    <w:name w:val="Heading 2 Char"/>
    <w:basedOn w:val="DefaultParagraphFont"/>
    <w:link w:val="Heading2"/>
    <w:uiPriority w:val="9"/>
    <w:rsid w:val="00130E6A"/>
    <w:rPr>
      <w:rFonts w:ascii="Arial" w:hAnsi="Arial" w:cs="Arial"/>
      <w:b/>
      <w:bCs/>
      <w:color w:val="4E81BD"/>
      <w:lang w:val="en-GB"/>
    </w:rPr>
  </w:style>
  <w:style w:type="paragraph" w:customStyle="1" w:styleId="Title2">
    <w:name w:val="Title 2"/>
    <w:next w:val="Normal"/>
    <w:uiPriority w:val="1"/>
    <w:qFormat/>
    <w:rsid w:val="00130E6A"/>
    <w:pPr>
      <w:keepNext/>
      <w:spacing w:before="360" w:after="240" w:line="320" w:lineRule="exact"/>
      <w:outlineLvl w:val="1"/>
    </w:pPr>
    <w:rPr>
      <w:rFonts w:eastAsiaTheme="majorEastAsia" w:cstheme="majorBidi"/>
      <w:b/>
      <w:color w:val="4472C4" w:themeColor="accent1"/>
      <w:sz w:val="24"/>
      <w:szCs w:val="26"/>
      <w:lang w:val="en-GB"/>
    </w:rPr>
  </w:style>
  <w:style w:type="paragraph" w:customStyle="1" w:styleId="TableCell">
    <w:name w:val="Table Cell"/>
    <w:basedOn w:val="Normal"/>
    <w:uiPriority w:val="9"/>
    <w:qFormat/>
    <w:rsid w:val="00130E6A"/>
    <w:pPr>
      <w:widowControl w:val="0"/>
      <w:spacing w:before="10" w:after="20" w:line="200" w:lineRule="exact"/>
      <w:jc w:val="right"/>
    </w:pPr>
    <w:rPr>
      <w:rFonts w:ascii="Arial Narrow" w:hAnsi="Arial Narrow" w:cstheme="minorBidi"/>
      <w:color w:val="000000" w:themeColor="text1"/>
      <w:sz w:val="17"/>
      <w:szCs w:val="22"/>
    </w:rPr>
  </w:style>
  <w:style w:type="paragraph" w:customStyle="1" w:styleId="TableRow">
    <w:name w:val="Table Row"/>
    <w:qFormat/>
    <w:rsid w:val="00130E6A"/>
    <w:pPr>
      <w:spacing w:before="10" w:after="20" w:line="200" w:lineRule="exact"/>
    </w:pPr>
    <w:rPr>
      <w:rFonts w:ascii="Arial Narrow" w:hAnsi="Arial Narrow"/>
      <w:color w:val="000000" w:themeColor="text1"/>
      <w:sz w:val="17"/>
      <w:lang w:val="en-GB"/>
    </w:rPr>
  </w:style>
  <w:style w:type="table" w:customStyle="1" w:styleId="OECD">
    <w:name w:val="OECD"/>
    <w:basedOn w:val="TableSimple1"/>
    <w:uiPriority w:val="99"/>
    <w:rsid w:val="00130E6A"/>
    <w:pPr>
      <w:spacing w:before="10" w:after="20" w:line="200" w:lineRule="exact"/>
    </w:pPr>
    <w:rPr>
      <w:rFonts w:ascii="Arial Narrow" w:hAnsi="Arial Narrow"/>
      <w:sz w:val="17"/>
      <w:szCs w:val="20"/>
      <w:lang w:eastAsia="en-GB"/>
    </w:rPr>
    <w:tblPr>
      <w:tblBorders>
        <w:top w:val="single" w:sz="12" w:space="0" w:color="4472C4" w:themeColor="accent1"/>
        <w:bottom w:val="single" w:sz="12" w:space="0" w:color="4472C4" w:themeColor="accent1"/>
        <w:insideH w:val="single" w:sz="6" w:space="0" w:color="BFBFBF" w:themeColor="background1" w:themeShade="BF"/>
        <w:insideV w:val="single" w:sz="6" w:space="0" w:color="BFBFBF" w:themeColor="background1" w:themeShade="BF"/>
      </w:tblBorders>
    </w:tblPr>
    <w:tcPr>
      <w:shd w:val="clear" w:color="auto" w:fill="auto"/>
    </w:tcPr>
    <w:tblStylePr w:type="firstRow">
      <w:tblPr/>
      <w:tcPr>
        <w:tcBorders>
          <w:bottom w:val="single" w:sz="6" w:space="0" w:color="4472C4" w:themeColor="accent1"/>
          <w:tl2br w:val="none" w:sz="0" w:space="0" w:color="auto"/>
          <w:tr2bl w:val="none" w:sz="0" w:space="0" w:color="auto"/>
        </w:tcBorders>
        <w:shd w:val="clear" w:color="auto" w:fill="auto"/>
      </w:tcPr>
    </w:tblStylePr>
    <w:tblStylePr w:type="lastRow">
      <w:tblPr/>
      <w:tcPr>
        <w:tcBorders>
          <w:top w:val="nil"/>
          <w:tl2br w:val="none" w:sz="0" w:space="0" w:color="auto"/>
          <w:tr2bl w:val="none" w:sz="0" w:space="0" w:color="auto"/>
        </w:tcBorders>
        <w:shd w:val="clear" w:color="auto" w:fill="auto"/>
      </w:tcPr>
    </w:tblStylePr>
  </w:style>
  <w:style w:type="paragraph" w:customStyle="1" w:styleId="Tablebullet">
    <w:name w:val="Table bullet"/>
    <w:basedOn w:val="Normal"/>
    <w:qFormat/>
    <w:rsid w:val="00130E6A"/>
    <w:pPr>
      <w:numPr>
        <w:numId w:val="2"/>
      </w:numPr>
      <w:spacing w:before="60" w:after="20" w:line="240" w:lineRule="auto"/>
      <w:jc w:val="left"/>
    </w:pPr>
    <w:rPr>
      <w:rFonts w:eastAsia="Times New Roman" w:cs="Times New Roman"/>
      <w:sz w:val="16"/>
      <w:lang w:val="en-AU" w:eastAsia="en-AU"/>
    </w:rPr>
  </w:style>
  <w:style w:type="paragraph" w:customStyle="1" w:styleId="TableTextCentred">
    <w:name w:val="Table Text Centred"/>
    <w:basedOn w:val="Normal"/>
    <w:rsid w:val="00130E6A"/>
    <w:pPr>
      <w:spacing w:before="20" w:after="20" w:line="240" w:lineRule="auto"/>
      <w:jc w:val="center"/>
    </w:pPr>
    <w:rPr>
      <w:rFonts w:eastAsia="Times New Roman" w:cs="Times New Roman"/>
      <w:sz w:val="16"/>
      <w:lang w:val="en-AU" w:eastAsia="en-AU"/>
    </w:rPr>
  </w:style>
  <w:style w:type="paragraph" w:customStyle="1" w:styleId="BoswellMediaHeader">
    <w:name w:val="BoswellMediaHeader"/>
    <w:rsid w:val="00130E6A"/>
    <w:pPr>
      <w:spacing w:after="0" w:line="240" w:lineRule="auto"/>
      <w:jc w:val="right"/>
    </w:pPr>
    <w:rPr>
      <w:rFonts w:ascii="Arial" w:eastAsia="Times New Roman" w:hAnsi="Arial" w:cs="Times New Roman"/>
      <w:noProof/>
      <w:sz w:val="23"/>
      <w:szCs w:val="20"/>
      <w:lang w:val="en-AU" w:eastAsia="en-AU"/>
    </w:rPr>
  </w:style>
  <w:style w:type="table" w:styleId="TableSimple1">
    <w:name w:val="Table Simple 1"/>
    <w:basedOn w:val="TableNormal"/>
    <w:uiPriority w:val="99"/>
    <w:semiHidden/>
    <w:unhideWhenUsed/>
    <w:rsid w:val="00130E6A"/>
    <w:pPr>
      <w:spacing w:line="276" w:lineRule="auto"/>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customStyle="1" w:styleId="Para">
    <w:name w:val="Para"/>
    <w:link w:val="ParaChar"/>
    <w:uiPriority w:val="4"/>
    <w:qFormat/>
    <w:rsid w:val="00130E6A"/>
    <w:pPr>
      <w:spacing w:before="120" w:after="120" w:line="260" w:lineRule="atLeast"/>
      <w:jc w:val="both"/>
    </w:pPr>
    <w:rPr>
      <w:color w:val="000000" w:themeColor="text1"/>
      <w:sz w:val="20"/>
      <w:lang w:val="en-GB"/>
    </w:rPr>
  </w:style>
  <w:style w:type="character" w:customStyle="1" w:styleId="ParaChar">
    <w:name w:val="Para Char"/>
    <w:basedOn w:val="DefaultParagraphFont"/>
    <w:link w:val="Para"/>
    <w:uiPriority w:val="4"/>
    <w:rsid w:val="00130E6A"/>
    <w:rPr>
      <w:color w:val="000000" w:themeColor="text1"/>
      <w:sz w:val="20"/>
      <w:lang w:val="en-GB"/>
    </w:rPr>
  </w:style>
  <w:style w:type="character" w:customStyle="1" w:styleId="hgkelc">
    <w:name w:val="hgkelc"/>
    <w:basedOn w:val="DefaultParagraphFont"/>
    <w:rsid w:val="00616A18"/>
  </w:style>
  <w:style w:type="paragraph" w:customStyle="1" w:styleId="Default">
    <w:name w:val="Default"/>
    <w:rsid w:val="00616A18"/>
    <w:pPr>
      <w:autoSpaceDE w:val="0"/>
      <w:autoSpaceDN w:val="0"/>
      <w:adjustRightInd w:val="0"/>
      <w:spacing w:after="0" w:line="240" w:lineRule="auto"/>
    </w:pPr>
    <w:rPr>
      <w:rFonts w:ascii="Arial" w:hAnsi="Arial" w:cs="Arial"/>
      <w:color w:val="000000"/>
      <w:sz w:val="24"/>
      <w:szCs w:val="24"/>
      <w:lang w:val="de-AT"/>
    </w:rPr>
  </w:style>
  <w:style w:type="paragraph" w:styleId="CommentText">
    <w:name w:val="annotation text"/>
    <w:basedOn w:val="Normal"/>
    <w:link w:val="CommentTextChar"/>
    <w:uiPriority w:val="99"/>
    <w:unhideWhenUsed/>
    <w:rsid w:val="00EF5E68"/>
    <w:pPr>
      <w:widowControl w:val="0"/>
      <w:spacing w:after="0" w:line="240" w:lineRule="auto"/>
    </w:pPr>
    <w:rPr>
      <w:rFonts w:asciiTheme="minorHAnsi" w:hAnsiTheme="minorHAnsi" w:cstheme="minorBidi"/>
    </w:rPr>
  </w:style>
  <w:style w:type="character" w:customStyle="1" w:styleId="CommentTextChar">
    <w:name w:val="Comment Text Char"/>
    <w:basedOn w:val="DefaultParagraphFont"/>
    <w:link w:val="CommentText"/>
    <w:uiPriority w:val="99"/>
    <w:rsid w:val="00EF5E68"/>
    <w:rPr>
      <w:sz w:val="20"/>
      <w:szCs w:val="20"/>
      <w:lang w:val="en-GB"/>
    </w:rPr>
  </w:style>
  <w:style w:type="character" w:customStyle="1" w:styleId="normaltextrun">
    <w:name w:val="normaltextrun"/>
    <w:basedOn w:val="DefaultParagraphFont"/>
    <w:rsid w:val="00EF5E68"/>
  </w:style>
  <w:style w:type="character" w:customStyle="1" w:styleId="markedcontent">
    <w:name w:val="markedcontent"/>
    <w:basedOn w:val="DefaultParagraphFont"/>
    <w:rsid w:val="00EF5E68"/>
  </w:style>
  <w:style w:type="character" w:customStyle="1" w:styleId="highlight">
    <w:name w:val="highlight"/>
    <w:basedOn w:val="DefaultParagraphFont"/>
    <w:rsid w:val="00EF5E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2382264">
      <w:bodyDiv w:val="1"/>
      <w:marLeft w:val="0"/>
      <w:marRight w:val="0"/>
      <w:marTop w:val="0"/>
      <w:marBottom w:val="0"/>
      <w:divBdr>
        <w:top w:val="none" w:sz="0" w:space="0" w:color="auto"/>
        <w:left w:val="none" w:sz="0" w:space="0" w:color="auto"/>
        <w:bottom w:val="none" w:sz="0" w:space="0" w:color="auto"/>
        <w:right w:val="none" w:sz="0" w:space="0" w:color="auto"/>
      </w:divBdr>
    </w:div>
    <w:div w:id="1392655606">
      <w:bodyDiv w:val="1"/>
      <w:marLeft w:val="0"/>
      <w:marRight w:val="0"/>
      <w:marTop w:val="0"/>
      <w:marBottom w:val="0"/>
      <w:divBdr>
        <w:top w:val="none" w:sz="0" w:space="0" w:color="auto"/>
        <w:left w:val="none" w:sz="0" w:space="0" w:color="auto"/>
        <w:bottom w:val="none" w:sz="0" w:space="0" w:color="auto"/>
        <w:right w:val="none" w:sz="0" w:space="0" w:color="auto"/>
      </w:divBdr>
    </w:div>
    <w:div w:id="1866215840">
      <w:bodyDiv w:val="1"/>
      <w:marLeft w:val="0"/>
      <w:marRight w:val="0"/>
      <w:marTop w:val="0"/>
      <w:marBottom w:val="0"/>
      <w:divBdr>
        <w:top w:val="none" w:sz="0" w:space="0" w:color="auto"/>
        <w:left w:val="none" w:sz="0" w:space="0" w:color="auto"/>
        <w:bottom w:val="none" w:sz="0" w:space="0" w:color="auto"/>
        <w:right w:val="none" w:sz="0" w:space="0" w:color="auto"/>
      </w:divBdr>
    </w:div>
    <w:div w:id="1966349873">
      <w:bodyDiv w:val="1"/>
      <w:marLeft w:val="0"/>
      <w:marRight w:val="0"/>
      <w:marTop w:val="0"/>
      <w:marBottom w:val="0"/>
      <w:divBdr>
        <w:top w:val="none" w:sz="0" w:space="0" w:color="auto"/>
        <w:left w:val="none" w:sz="0" w:space="0" w:color="auto"/>
        <w:bottom w:val="none" w:sz="0" w:space="0" w:color="auto"/>
        <w:right w:val="none" w:sz="0" w:space="0" w:color="auto"/>
      </w:divBdr>
    </w:div>
    <w:div w:id="2093620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ecdcode.org/disclaimers/territories.html" TargetMode="Externa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oecdcode.org/disclaimers/territories.html" TargetMode="Externa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stats.oecd.org/Index.aspx?DataSetCode=SNGF" TargetMode="External"/><Relationship Id="rId4" Type="http://schemas.openxmlformats.org/officeDocument/2006/relationships/webSettings" Target="webSettings.xml"/><Relationship Id="rId9" Type="http://schemas.openxmlformats.org/officeDocument/2006/relationships/hyperlink" Target="https://www.oecd-ilibrary.org/urban-rural-and-regional-development/oecd-regional-outlook_2dafc8cf-en"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8</Pages>
  <Words>2199</Words>
  <Characters>13310</Characters>
  <Application>Microsoft Office Word</Application>
  <DocSecurity>0</DocSecurity>
  <Lines>260</Lines>
  <Paragraphs>134</Paragraphs>
  <ScaleCrop>false</ScaleCrop>
  <HeadingPairs>
    <vt:vector size="2" baseType="variant">
      <vt:variant>
        <vt:lpstr>Title</vt:lpstr>
      </vt:variant>
      <vt:variant>
        <vt:i4>1</vt:i4>
      </vt:variant>
    </vt:vector>
  </HeadingPairs>
  <TitlesOfParts>
    <vt:vector size="1" baseType="lpstr">
      <vt:lpstr/>
    </vt:vector>
  </TitlesOfParts>
  <Company>OECD</Company>
  <LinksUpToDate>false</LinksUpToDate>
  <CharactersWithSpaces>15375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SOUZA PACHECO Taina, CFE/EDS</dc:creator>
  <cp:keywords/>
  <dc:description/>
  <cp:lastModifiedBy>SOUZA PACHECO Taina, CFE/EDS</cp:lastModifiedBy>
  <cp:revision>8</cp:revision>
  <cp:lastPrinted>2023-11-06T10:10:00Z</cp:lastPrinted>
  <dcterms:created xsi:type="dcterms:W3CDTF">2023-11-07T16:30:00Z</dcterms:created>
  <dcterms:modified xsi:type="dcterms:W3CDTF">2023-11-07T17:09:00Z</dcterms:modified>
</cp:coreProperties>
</file>