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45D6BE34" w:rsidR="00B0261A" w:rsidRDefault="00AE0372" w:rsidP="00B0261A">
      <w:pPr>
        <w:pStyle w:val="Heading1"/>
      </w:pPr>
      <w:r>
        <w:t>T</w:t>
      </w:r>
      <w:r w:rsidR="00D17268" w:rsidRPr="00D17268">
        <w:t>Ü</w:t>
      </w:r>
      <w:r>
        <w:t>RKIYE</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w:t>
      </w:r>
      <w:proofErr w:type="gramStart"/>
      <w:r w:rsidRPr="00B0261A">
        <w:t>guidance</w:t>
      </w:r>
      <w:proofErr w:type="gramEnd"/>
      <w:r w:rsidRPr="00B0261A">
        <w:t xml:space="preserv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5576" w:type="pct"/>
        <w:tblInd w:w="-284" w:type="dxa"/>
        <w:tblLook w:val="0420" w:firstRow="1" w:lastRow="0" w:firstColumn="0" w:lastColumn="0" w:noHBand="0" w:noVBand="1"/>
      </w:tblPr>
      <w:tblGrid>
        <w:gridCol w:w="3829"/>
        <w:gridCol w:w="6237"/>
      </w:tblGrid>
      <w:tr w:rsidR="00061874" w:rsidRPr="00061874" w14:paraId="405CDDB1" w14:textId="77777777" w:rsidTr="0094042B">
        <w:trPr>
          <w:cnfStyle w:val="100000000000" w:firstRow="1" w:lastRow="0" w:firstColumn="0" w:lastColumn="0" w:oddVBand="0" w:evenVBand="0" w:oddHBand="0" w:evenHBand="0" w:firstRowFirstColumn="0" w:firstRowLastColumn="0" w:lastRowFirstColumn="0" w:lastRowLastColumn="0"/>
          <w:trHeight w:val="238"/>
        </w:trPr>
        <w:tc>
          <w:tcPr>
            <w:tcW w:w="1902" w:type="pct"/>
          </w:tcPr>
          <w:p w14:paraId="6AFE574C" w14:textId="77777777" w:rsidR="00061874" w:rsidRPr="00061874" w:rsidRDefault="00061874" w:rsidP="00061874">
            <w:pPr>
              <w:pStyle w:val="TableRow"/>
              <w:spacing w:before="0" w:after="0" w:line="240" w:lineRule="auto"/>
              <w:jc w:val="left"/>
              <w:rPr>
                <w:sz w:val="20"/>
              </w:rPr>
            </w:pPr>
            <w:r w:rsidRPr="00061874">
              <w:rPr>
                <w:sz w:val="20"/>
              </w:rPr>
              <w:t xml:space="preserve">Population </w:t>
            </w:r>
            <w:r w:rsidRPr="00061874">
              <w:rPr>
                <w:i/>
                <w:iCs/>
                <w:sz w:val="20"/>
              </w:rPr>
              <w:t>(specify date)</w:t>
            </w:r>
            <w:r w:rsidRPr="00061874">
              <w:rPr>
                <w:sz w:val="20"/>
              </w:rPr>
              <w:t xml:space="preserve"> and territory </w:t>
            </w:r>
          </w:p>
        </w:tc>
        <w:tc>
          <w:tcPr>
            <w:tcW w:w="3098" w:type="pct"/>
          </w:tcPr>
          <w:p w14:paraId="3A67EF87" w14:textId="77777777" w:rsidR="00061874" w:rsidRPr="00061874" w:rsidRDefault="00061874" w:rsidP="00061874">
            <w:pPr>
              <w:pStyle w:val="TableRow"/>
              <w:spacing w:before="0" w:after="0" w:line="240" w:lineRule="auto"/>
              <w:jc w:val="left"/>
              <w:rPr>
                <w:sz w:val="20"/>
              </w:rPr>
            </w:pPr>
            <w:r w:rsidRPr="00061874">
              <w:rPr>
                <w:sz w:val="20"/>
              </w:rPr>
              <w:t>84.680.273 (as of December 31, 2022), 780.043 km²</w:t>
            </w:r>
          </w:p>
        </w:tc>
      </w:tr>
      <w:tr w:rsidR="00061874" w:rsidRPr="00061874" w14:paraId="23E1B771" w14:textId="77777777" w:rsidTr="0094042B">
        <w:trPr>
          <w:trHeight w:val="238"/>
        </w:trPr>
        <w:tc>
          <w:tcPr>
            <w:tcW w:w="1902" w:type="pct"/>
          </w:tcPr>
          <w:p w14:paraId="45B1AC5D" w14:textId="77777777" w:rsidR="00061874" w:rsidRPr="00061874" w:rsidRDefault="00061874" w:rsidP="00061874">
            <w:pPr>
              <w:pStyle w:val="TableRow"/>
              <w:spacing w:before="0" w:after="0" w:line="240" w:lineRule="auto"/>
              <w:jc w:val="left"/>
              <w:rPr>
                <w:sz w:val="20"/>
              </w:rPr>
            </w:pPr>
            <w:r w:rsidRPr="00061874">
              <w:rPr>
                <w:sz w:val="20"/>
              </w:rPr>
              <w:t xml:space="preserve">Administrative structure </w:t>
            </w:r>
            <w:r w:rsidRPr="00061874">
              <w:rPr>
                <w:rFonts w:cs="Arial"/>
                <w:i/>
                <w:iCs/>
                <w:sz w:val="20"/>
              </w:rPr>
              <w:t>(unitary/federal)</w:t>
            </w:r>
          </w:p>
        </w:tc>
        <w:tc>
          <w:tcPr>
            <w:tcW w:w="3098" w:type="pct"/>
          </w:tcPr>
          <w:p w14:paraId="4C2E3630" w14:textId="77777777" w:rsidR="00061874" w:rsidRPr="00061874" w:rsidRDefault="00061874" w:rsidP="00061874">
            <w:pPr>
              <w:pStyle w:val="TableCell"/>
              <w:spacing w:before="0" w:after="0" w:line="240" w:lineRule="auto"/>
              <w:jc w:val="left"/>
              <w:rPr>
                <w:sz w:val="20"/>
                <w:szCs w:val="20"/>
              </w:rPr>
            </w:pPr>
            <w:r w:rsidRPr="00061874">
              <w:rPr>
                <w:sz w:val="20"/>
                <w:szCs w:val="20"/>
              </w:rPr>
              <w:t>Unitary country</w:t>
            </w:r>
          </w:p>
        </w:tc>
      </w:tr>
      <w:tr w:rsidR="00061874" w:rsidRPr="00061874" w14:paraId="1EB13850" w14:textId="77777777" w:rsidTr="0094042B">
        <w:trPr>
          <w:trHeight w:val="238"/>
        </w:trPr>
        <w:tc>
          <w:tcPr>
            <w:tcW w:w="1902" w:type="pct"/>
          </w:tcPr>
          <w:p w14:paraId="25472206" w14:textId="77777777" w:rsidR="00061874" w:rsidRPr="00061874" w:rsidRDefault="00061874" w:rsidP="00061874">
            <w:pPr>
              <w:pStyle w:val="TableRow"/>
              <w:spacing w:before="0" w:after="0" w:line="240" w:lineRule="auto"/>
              <w:jc w:val="right"/>
              <w:rPr>
                <w:sz w:val="20"/>
              </w:rPr>
            </w:pPr>
            <w:r w:rsidRPr="00061874">
              <w:rPr>
                <w:sz w:val="20"/>
              </w:rPr>
              <w:t xml:space="preserve">Regional or state-level governments </w:t>
            </w:r>
            <w:r w:rsidRPr="00061874">
              <w:rPr>
                <w:i/>
                <w:iCs/>
                <w:sz w:val="20"/>
              </w:rPr>
              <w:t>(number)</w:t>
            </w:r>
          </w:p>
        </w:tc>
        <w:tc>
          <w:tcPr>
            <w:tcW w:w="3098" w:type="pct"/>
          </w:tcPr>
          <w:p w14:paraId="34F10DF5" w14:textId="77777777" w:rsidR="00061874" w:rsidRPr="00061874" w:rsidRDefault="00061874" w:rsidP="00061874">
            <w:pPr>
              <w:pStyle w:val="TableCell"/>
              <w:spacing w:before="0" w:after="0" w:line="240" w:lineRule="auto"/>
              <w:jc w:val="left"/>
              <w:rPr>
                <w:sz w:val="20"/>
                <w:szCs w:val="20"/>
              </w:rPr>
            </w:pPr>
            <w:r w:rsidRPr="00061874">
              <w:rPr>
                <w:rFonts w:cs="Arial"/>
                <w:sz w:val="20"/>
                <w:szCs w:val="20"/>
              </w:rPr>
              <w:t>26 NUTS-II Regions</w:t>
            </w:r>
          </w:p>
        </w:tc>
      </w:tr>
      <w:tr w:rsidR="00061874" w:rsidRPr="00061874" w14:paraId="6A9B1D5F" w14:textId="77777777" w:rsidTr="0094042B">
        <w:trPr>
          <w:trHeight w:val="238"/>
        </w:trPr>
        <w:tc>
          <w:tcPr>
            <w:tcW w:w="1902" w:type="pct"/>
          </w:tcPr>
          <w:p w14:paraId="0FCA1368" w14:textId="77777777" w:rsidR="00061874" w:rsidRPr="00061874" w:rsidRDefault="00061874" w:rsidP="00061874">
            <w:pPr>
              <w:pStyle w:val="TableRow"/>
              <w:spacing w:before="0" w:after="0" w:line="240" w:lineRule="auto"/>
              <w:jc w:val="right"/>
              <w:rPr>
                <w:sz w:val="20"/>
              </w:rPr>
            </w:pPr>
            <w:r w:rsidRPr="00061874">
              <w:rPr>
                <w:sz w:val="20"/>
              </w:rPr>
              <w:t xml:space="preserve">Intermediate-level governments </w:t>
            </w:r>
            <w:r w:rsidRPr="00061874">
              <w:rPr>
                <w:i/>
                <w:iCs/>
                <w:sz w:val="20"/>
              </w:rPr>
              <w:t>(number)</w:t>
            </w:r>
          </w:p>
        </w:tc>
        <w:tc>
          <w:tcPr>
            <w:tcW w:w="3098" w:type="pct"/>
          </w:tcPr>
          <w:p w14:paraId="5657350D" w14:textId="77777777" w:rsidR="00061874" w:rsidRPr="00061874" w:rsidRDefault="00061874" w:rsidP="00061874">
            <w:pPr>
              <w:pStyle w:val="TableCell"/>
              <w:spacing w:before="0" w:after="0" w:line="240" w:lineRule="auto"/>
              <w:jc w:val="left"/>
              <w:rPr>
                <w:sz w:val="20"/>
                <w:szCs w:val="20"/>
              </w:rPr>
            </w:pPr>
            <w:r w:rsidRPr="00061874">
              <w:rPr>
                <w:sz w:val="20"/>
                <w:szCs w:val="20"/>
              </w:rPr>
              <w:t>-</w:t>
            </w:r>
          </w:p>
        </w:tc>
      </w:tr>
      <w:tr w:rsidR="00061874" w:rsidRPr="00061874" w14:paraId="4DE6BBF9" w14:textId="77777777" w:rsidTr="0094042B">
        <w:trPr>
          <w:trHeight w:val="238"/>
        </w:trPr>
        <w:tc>
          <w:tcPr>
            <w:tcW w:w="1902" w:type="pct"/>
          </w:tcPr>
          <w:p w14:paraId="5BC2A3B2" w14:textId="77777777" w:rsidR="00061874" w:rsidRPr="00061874" w:rsidRDefault="00061874" w:rsidP="00061874">
            <w:pPr>
              <w:pStyle w:val="TableRow"/>
              <w:spacing w:before="0" w:after="0" w:line="240" w:lineRule="auto"/>
              <w:jc w:val="right"/>
              <w:rPr>
                <w:sz w:val="20"/>
              </w:rPr>
            </w:pPr>
            <w:r w:rsidRPr="00061874">
              <w:rPr>
                <w:sz w:val="20"/>
              </w:rPr>
              <w:t xml:space="preserve">Municipal-level governments </w:t>
            </w:r>
            <w:r w:rsidRPr="00061874">
              <w:rPr>
                <w:i/>
                <w:iCs/>
                <w:sz w:val="20"/>
              </w:rPr>
              <w:t>(number)</w:t>
            </w:r>
          </w:p>
        </w:tc>
        <w:tc>
          <w:tcPr>
            <w:tcW w:w="3098" w:type="pct"/>
          </w:tcPr>
          <w:p w14:paraId="550EC9DE" w14:textId="77777777" w:rsidR="00061874" w:rsidRPr="00061874" w:rsidRDefault="00061874" w:rsidP="00061874">
            <w:pPr>
              <w:pStyle w:val="TableCell"/>
              <w:spacing w:before="0" w:after="0" w:line="240" w:lineRule="auto"/>
              <w:jc w:val="left"/>
              <w:rPr>
                <w:sz w:val="20"/>
                <w:szCs w:val="20"/>
                <w:lang w:val="fr-FR"/>
              </w:rPr>
            </w:pPr>
            <w:r w:rsidRPr="00061874">
              <w:rPr>
                <w:sz w:val="20"/>
                <w:szCs w:val="20"/>
                <w:lang w:val="fr-FR"/>
              </w:rPr>
              <w:t xml:space="preserve">30 </w:t>
            </w:r>
            <w:proofErr w:type="spellStart"/>
            <w:r w:rsidRPr="00061874">
              <w:rPr>
                <w:sz w:val="20"/>
                <w:szCs w:val="20"/>
                <w:lang w:val="fr-FR"/>
              </w:rPr>
              <w:t>Metropolitan</w:t>
            </w:r>
            <w:proofErr w:type="spellEnd"/>
            <w:r w:rsidRPr="00061874">
              <w:rPr>
                <w:sz w:val="20"/>
                <w:szCs w:val="20"/>
                <w:lang w:val="fr-FR"/>
              </w:rPr>
              <w:t xml:space="preserve"> </w:t>
            </w:r>
            <w:proofErr w:type="spellStart"/>
            <w:r w:rsidRPr="00061874">
              <w:rPr>
                <w:sz w:val="20"/>
                <w:szCs w:val="20"/>
                <w:lang w:val="fr-FR"/>
              </w:rPr>
              <w:t>Municipalities</w:t>
            </w:r>
            <w:proofErr w:type="spellEnd"/>
          </w:p>
          <w:p w14:paraId="33631A33" w14:textId="77777777" w:rsidR="00061874" w:rsidRPr="00061874" w:rsidRDefault="00061874" w:rsidP="00061874">
            <w:pPr>
              <w:pStyle w:val="TableCell"/>
              <w:spacing w:before="0" w:after="0" w:line="240" w:lineRule="auto"/>
              <w:jc w:val="left"/>
              <w:rPr>
                <w:sz w:val="20"/>
                <w:szCs w:val="20"/>
                <w:lang w:val="fr-FR"/>
              </w:rPr>
            </w:pPr>
            <w:r w:rsidRPr="00061874">
              <w:rPr>
                <w:sz w:val="20"/>
                <w:szCs w:val="20"/>
                <w:lang w:val="fr-FR"/>
              </w:rPr>
              <w:t xml:space="preserve">1.362 </w:t>
            </w:r>
            <w:proofErr w:type="spellStart"/>
            <w:r w:rsidRPr="00061874">
              <w:rPr>
                <w:sz w:val="20"/>
                <w:szCs w:val="20"/>
                <w:lang w:val="fr-FR"/>
              </w:rPr>
              <w:t>Municipalities</w:t>
            </w:r>
            <w:proofErr w:type="spellEnd"/>
          </w:p>
          <w:p w14:paraId="7BF0D41D" w14:textId="77777777" w:rsidR="00061874" w:rsidRPr="00061874" w:rsidRDefault="00061874" w:rsidP="00061874">
            <w:pPr>
              <w:pStyle w:val="TableCell"/>
              <w:spacing w:before="0" w:after="0" w:line="240" w:lineRule="auto"/>
              <w:jc w:val="left"/>
              <w:rPr>
                <w:rFonts w:cs="Arial"/>
                <w:sz w:val="20"/>
                <w:szCs w:val="20"/>
                <w:lang w:val="fr-FR"/>
              </w:rPr>
            </w:pPr>
            <w:r w:rsidRPr="00061874">
              <w:rPr>
                <w:rFonts w:cs="Arial"/>
                <w:sz w:val="20"/>
                <w:szCs w:val="20"/>
                <w:lang w:val="fr-FR"/>
              </w:rPr>
              <w:t xml:space="preserve">51 </w:t>
            </w:r>
            <w:proofErr w:type="spellStart"/>
            <w:r w:rsidRPr="00061874">
              <w:rPr>
                <w:rFonts w:cs="Arial"/>
                <w:sz w:val="20"/>
                <w:szCs w:val="20"/>
                <w:lang w:val="fr-FR"/>
              </w:rPr>
              <w:t>Special</w:t>
            </w:r>
            <w:proofErr w:type="spellEnd"/>
            <w:r w:rsidRPr="00061874">
              <w:rPr>
                <w:rFonts w:cs="Arial"/>
                <w:sz w:val="20"/>
                <w:szCs w:val="20"/>
                <w:lang w:val="fr-FR"/>
              </w:rPr>
              <w:t xml:space="preserve"> Provincial Administrations</w:t>
            </w:r>
          </w:p>
          <w:p w14:paraId="61066893" w14:textId="77777777" w:rsidR="00061874" w:rsidRPr="00061874" w:rsidRDefault="00061874" w:rsidP="00061874">
            <w:pPr>
              <w:pStyle w:val="TableCell"/>
              <w:spacing w:before="0" w:after="0" w:line="240" w:lineRule="auto"/>
              <w:jc w:val="left"/>
              <w:rPr>
                <w:sz w:val="20"/>
                <w:szCs w:val="20"/>
              </w:rPr>
            </w:pPr>
            <w:r w:rsidRPr="00061874">
              <w:rPr>
                <w:sz w:val="20"/>
                <w:szCs w:val="20"/>
              </w:rPr>
              <w:t>18.278 Village Authorities</w:t>
            </w:r>
          </w:p>
        </w:tc>
      </w:tr>
      <w:tr w:rsidR="00061874" w:rsidRPr="00061874" w14:paraId="14E269B3" w14:textId="77777777" w:rsidTr="0094042B">
        <w:trPr>
          <w:trHeight w:val="238"/>
        </w:trPr>
        <w:tc>
          <w:tcPr>
            <w:tcW w:w="1902" w:type="pct"/>
          </w:tcPr>
          <w:p w14:paraId="27C620DE" w14:textId="77777777" w:rsidR="00061874" w:rsidRPr="00061874" w:rsidRDefault="00061874" w:rsidP="00061874">
            <w:pPr>
              <w:pStyle w:val="TableRow"/>
              <w:spacing w:before="0" w:after="0" w:line="240" w:lineRule="auto"/>
              <w:jc w:val="left"/>
              <w:rPr>
                <w:sz w:val="20"/>
              </w:rPr>
            </w:pPr>
            <w:r w:rsidRPr="00061874">
              <w:rPr>
                <w:sz w:val="20"/>
              </w:rPr>
              <w:t>Share of subnational government in total expenditure/revenues (2021)</w:t>
            </w:r>
          </w:p>
        </w:tc>
        <w:tc>
          <w:tcPr>
            <w:tcW w:w="3098" w:type="pct"/>
          </w:tcPr>
          <w:p w14:paraId="76E79D37" w14:textId="77777777" w:rsidR="00061874" w:rsidRPr="00061874" w:rsidRDefault="00061874" w:rsidP="00061874">
            <w:pPr>
              <w:spacing w:after="0" w:line="240" w:lineRule="auto"/>
              <w:jc w:val="left"/>
              <w:rPr>
                <w:rFonts w:ascii="Arial Narrow" w:hAnsi="Arial Narrow"/>
              </w:rPr>
            </w:pPr>
            <w:r w:rsidRPr="00061874">
              <w:rPr>
                <w:rFonts w:ascii="Arial Narrow" w:hAnsi="Arial Narrow"/>
              </w:rPr>
              <w:t>8.6% of total expenditure</w:t>
            </w:r>
          </w:p>
          <w:p w14:paraId="178EBEB7" w14:textId="7FD3A05A" w:rsidR="00061874" w:rsidRPr="00061874" w:rsidRDefault="00061874" w:rsidP="00061874">
            <w:pPr>
              <w:spacing w:after="0" w:line="240" w:lineRule="auto"/>
              <w:jc w:val="left"/>
              <w:rPr>
                <w:rFonts w:ascii="Arial Narrow" w:hAnsi="Arial Narrow"/>
              </w:rPr>
            </w:pPr>
            <w:r w:rsidRPr="00061874">
              <w:rPr>
                <w:rFonts w:ascii="Arial Narrow" w:hAnsi="Arial Narrow"/>
              </w:rPr>
              <w:t>10.1% of total revenues</w:t>
            </w:r>
          </w:p>
          <w:p w14:paraId="5A3741C1" w14:textId="77777777" w:rsidR="00061874" w:rsidRPr="00061874" w:rsidRDefault="00061874" w:rsidP="00061874">
            <w:pPr>
              <w:pStyle w:val="TableCell"/>
              <w:spacing w:before="0" w:after="0" w:line="240" w:lineRule="auto"/>
              <w:jc w:val="both"/>
              <w:rPr>
                <w:color w:val="auto"/>
                <w:sz w:val="20"/>
                <w:szCs w:val="20"/>
              </w:rPr>
            </w:pPr>
            <w:r w:rsidRPr="00061874">
              <w:rPr>
                <w:sz w:val="20"/>
                <w:szCs w:val="20"/>
              </w:rPr>
              <w:t xml:space="preserve">[Source: </w:t>
            </w:r>
            <w:hyperlink r:id="rId10" w:history="1">
              <w:r w:rsidRPr="00061874">
                <w:rPr>
                  <w:rStyle w:val="Hyperlink"/>
                  <w:sz w:val="20"/>
                  <w:szCs w:val="20"/>
                </w:rPr>
                <w:t>Subnational governments in OECD countries: key data, 2023 edition</w:t>
              </w:r>
            </w:hyperlink>
            <w:r w:rsidRPr="00061874">
              <w:rPr>
                <w:sz w:val="20"/>
                <w:szCs w:val="20"/>
              </w:rPr>
              <w:t>]</w:t>
            </w:r>
          </w:p>
        </w:tc>
      </w:tr>
      <w:tr w:rsidR="00061874" w:rsidRPr="00061874" w14:paraId="1765A9AF" w14:textId="77777777" w:rsidTr="0094042B">
        <w:trPr>
          <w:trHeight w:val="238"/>
        </w:trPr>
        <w:tc>
          <w:tcPr>
            <w:tcW w:w="1902" w:type="pct"/>
          </w:tcPr>
          <w:p w14:paraId="4CFDB0AC" w14:textId="77777777" w:rsidR="00061874" w:rsidRPr="00061874" w:rsidRDefault="00061874" w:rsidP="00061874">
            <w:pPr>
              <w:pStyle w:val="TableRow"/>
              <w:spacing w:before="0" w:after="0" w:line="240" w:lineRule="auto"/>
              <w:jc w:val="left"/>
              <w:rPr>
                <w:sz w:val="20"/>
              </w:rPr>
            </w:pPr>
            <w:r w:rsidRPr="00061874">
              <w:rPr>
                <w:sz w:val="20"/>
              </w:rPr>
              <w:t>Key regional development challenges</w:t>
            </w:r>
          </w:p>
        </w:tc>
        <w:tc>
          <w:tcPr>
            <w:tcW w:w="3098" w:type="pct"/>
          </w:tcPr>
          <w:p w14:paraId="3B6F9C9D" w14:textId="77777777" w:rsidR="00061874" w:rsidRPr="00061874" w:rsidRDefault="00061874" w:rsidP="00061874">
            <w:pPr>
              <w:pStyle w:val="TableCell"/>
              <w:spacing w:before="0" w:after="0" w:line="240" w:lineRule="auto"/>
              <w:jc w:val="both"/>
              <w:rPr>
                <w:rFonts w:cs="Arial"/>
                <w:sz w:val="20"/>
                <w:szCs w:val="20"/>
              </w:rPr>
            </w:pPr>
            <w:r w:rsidRPr="00061874">
              <w:rPr>
                <w:sz w:val="20"/>
                <w:szCs w:val="20"/>
              </w:rPr>
              <w:t xml:space="preserve">- </w:t>
            </w:r>
            <w:r w:rsidRPr="00061874">
              <w:rPr>
                <w:rFonts w:cs="Arial"/>
                <w:sz w:val="20"/>
                <w:szCs w:val="20"/>
              </w:rPr>
              <w:t>Income differences between regions</w:t>
            </w:r>
          </w:p>
          <w:p w14:paraId="43D7FC9D" w14:textId="77777777" w:rsidR="00061874" w:rsidRPr="00061874" w:rsidRDefault="00061874" w:rsidP="00061874">
            <w:pPr>
              <w:pStyle w:val="TableCell"/>
              <w:spacing w:before="0" w:after="0" w:line="240" w:lineRule="auto"/>
              <w:jc w:val="both"/>
              <w:rPr>
                <w:rFonts w:cs="Arial"/>
                <w:sz w:val="20"/>
                <w:szCs w:val="20"/>
              </w:rPr>
            </w:pPr>
            <w:r w:rsidRPr="00061874">
              <w:rPr>
                <w:sz w:val="20"/>
                <w:szCs w:val="20"/>
              </w:rPr>
              <w:t xml:space="preserve">- </w:t>
            </w:r>
            <w:r w:rsidRPr="00061874">
              <w:rPr>
                <w:rFonts w:cs="Arial"/>
                <w:sz w:val="20"/>
                <w:szCs w:val="20"/>
              </w:rPr>
              <w:t>Immigration: International migration and migration from small cities to big cities</w:t>
            </w:r>
          </w:p>
          <w:p w14:paraId="5002FB1C" w14:textId="77777777" w:rsidR="00061874" w:rsidRPr="00061874" w:rsidRDefault="00061874" w:rsidP="00061874">
            <w:pPr>
              <w:pStyle w:val="TableCell"/>
              <w:spacing w:before="0" w:after="0" w:line="240" w:lineRule="auto"/>
              <w:jc w:val="both"/>
              <w:rPr>
                <w:rFonts w:cs="Arial"/>
                <w:sz w:val="20"/>
                <w:szCs w:val="20"/>
              </w:rPr>
            </w:pPr>
            <w:r w:rsidRPr="00061874">
              <w:rPr>
                <w:sz w:val="20"/>
                <w:szCs w:val="20"/>
              </w:rPr>
              <w:t xml:space="preserve">- </w:t>
            </w:r>
            <w:r w:rsidRPr="00061874">
              <w:rPr>
                <w:rFonts w:cs="Arial"/>
                <w:sz w:val="20"/>
                <w:szCs w:val="20"/>
              </w:rPr>
              <w:t>Urban population growth and the expansion of urban areas</w:t>
            </w:r>
          </w:p>
          <w:p w14:paraId="1D68467A" w14:textId="77777777" w:rsidR="00061874" w:rsidRPr="00061874" w:rsidRDefault="00061874" w:rsidP="00061874">
            <w:pPr>
              <w:pStyle w:val="TableCell"/>
              <w:spacing w:before="0" w:after="0" w:line="240" w:lineRule="auto"/>
              <w:jc w:val="both"/>
              <w:rPr>
                <w:rFonts w:cs="Arial"/>
                <w:sz w:val="20"/>
                <w:szCs w:val="20"/>
              </w:rPr>
            </w:pPr>
            <w:r w:rsidRPr="00061874">
              <w:rPr>
                <w:sz w:val="20"/>
                <w:szCs w:val="20"/>
              </w:rPr>
              <w:t xml:space="preserve">- </w:t>
            </w:r>
            <w:r w:rsidRPr="00061874">
              <w:rPr>
                <w:rFonts w:cs="Arial"/>
                <w:sz w:val="20"/>
                <w:szCs w:val="20"/>
              </w:rPr>
              <w:t>The need to increase the quality of life in urban and rural areas</w:t>
            </w:r>
          </w:p>
          <w:p w14:paraId="44647FFA" w14:textId="77777777" w:rsidR="00061874" w:rsidRPr="00061874" w:rsidRDefault="00061874" w:rsidP="00061874">
            <w:pPr>
              <w:pStyle w:val="TableCell"/>
              <w:spacing w:before="0" w:after="0" w:line="240" w:lineRule="auto"/>
              <w:jc w:val="both"/>
              <w:rPr>
                <w:rFonts w:cs="Arial"/>
                <w:sz w:val="20"/>
                <w:szCs w:val="20"/>
              </w:rPr>
            </w:pPr>
            <w:r w:rsidRPr="00061874">
              <w:rPr>
                <w:sz w:val="20"/>
                <w:szCs w:val="20"/>
              </w:rPr>
              <w:t xml:space="preserve">- </w:t>
            </w:r>
            <w:r w:rsidRPr="00061874">
              <w:rPr>
                <w:rFonts w:cs="Arial"/>
                <w:sz w:val="20"/>
                <w:szCs w:val="20"/>
              </w:rPr>
              <w:t>Extreme weather events, heavy rainfalls, drought and sea-level-rise due to climate change</w:t>
            </w:r>
          </w:p>
          <w:p w14:paraId="5E8E6280" w14:textId="77777777" w:rsidR="00061874" w:rsidRPr="00061874" w:rsidRDefault="00061874" w:rsidP="00061874">
            <w:pPr>
              <w:pStyle w:val="TableCell"/>
              <w:spacing w:before="0" w:after="0" w:line="240" w:lineRule="auto"/>
              <w:jc w:val="both"/>
              <w:rPr>
                <w:rFonts w:cs="Arial"/>
                <w:sz w:val="20"/>
                <w:szCs w:val="20"/>
              </w:rPr>
            </w:pPr>
            <w:r w:rsidRPr="00061874">
              <w:rPr>
                <w:sz w:val="20"/>
                <w:szCs w:val="20"/>
              </w:rPr>
              <w:t xml:space="preserve">- </w:t>
            </w:r>
            <w:r w:rsidRPr="00061874">
              <w:rPr>
                <w:rFonts w:cs="Arial"/>
                <w:sz w:val="20"/>
                <w:szCs w:val="20"/>
              </w:rPr>
              <w:t xml:space="preserve">Disaster risks (earthquake, </w:t>
            </w:r>
            <w:proofErr w:type="gramStart"/>
            <w:r w:rsidRPr="00061874">
              <w:rPr>
                <w:rFonts w:cs="Arial"/>
                <w:sz w:val="20"/>
                <w:szCs w:val="20"/>
              </w:rPr>
              <w:t>flood</w:t>
            </w:r>
            <w:proofErr w:type="gramEnd"/>
            <w:r w:rsidRPr="00061874">
              <w:rPr>
                <w:rFonts w:cs="Arial"/>
                <w:sz w:val="20"/>
                <w:szCs w:val="20"/>
              </w:rPr>
              <w:t xml:space="preserve"> and forest fires)</w:t>
            </w:r>
          </w:p>
        </w:tc>
      </w:tr>
      <w:tr w:rsidR="00061874" w:rsidRPr="00061874" w14:paraId="51CB21E1" w14:textId="77777777" w:rsidTr="0094042B">
        <w:trPr>
          <w:trHeight w:val="238"/>
        </w:trPr>
        <w:tc>
          <w:tcPr>
            <w:tcW w:w="1902" w:type="pct"/>
          </w:tcPr>
          <w:p w14:paraId="322B689B" w14:textId="77777777" w:rsidR="00061874" w:rsidRPr="00061874" w:rsidRDefault="00061874" w:rsidP="00061874">
            <w:pPr>
              <w:pStyle w:val="TableRow"/>
              <w:spacing w:before="0" w:after="0" w:line="240" w:lineRule="auto"/>
              <w:jc w:val="left"/>
              <w:rPr>
                <w:sz w:val="20"/>
              </w:rPr>
            </w:pPr>
            <w:r w:rsidRPr="00061874">
              <w:rPr>
                <w:sz w:val="20"/>
              </w:rPr>
              <w:t>Objectives of regional policy</w:t>
            </w:r>
          </w:p>
        </w:tc>
        <w:tc>
          <w:tcPr>
            <w:tcW w:w="3098" w:type="pct"/>
          </w:tcPr>
          <w:p w14:paraId="4658C778" w14:textId="77777777" w:rsidR="00061874" w:rsidRPr="00061874" w:rsidRDefault="00061874" w:rsidP="00061874">
            <w:pPr>
              <w:pStyle w:val="TableRow"/>
              <w:spacing w:before="0" w:after="0" w:line="240" w:lineRule="auto"/>
              <w:rPr>
                <w:rFonts w:cs="Arial"/>
                <w:sz w:val="20"/>
              </w:rPr>
            </w:pPr>
            <w:r w:rsidRPr="00061874">
              <w:rPr>
                <w:rFonts w:cs="Arial"/>
                <w:sz w:val="20"/>
              </w:rPr>
              <w:t>- A more balanced spread of welfare across the country by reducing regional development disparities.</w:t>
            </w:r>
          </w:p>
          <w:p w14:paraId="56E9132B" w14:textId="77777777" w:rsidR="00061874" w:rsidRPr="00061874" w:rsidRDefault="00061874" w:rsidP="00061874">
            <w:pPr>
              <w:pStyle w:val="TableRow"/>
              <w:spacing w:before="0" w:after="0" w:line="240" w:lineRule="auto"/>
              <w:rPr>
                <w:rFonts w:cs="Arial"/>
                <w:sz w:val="20"/>
              </w:rPr>
            </w:pPr>
            <w:r w:rsidRPr="00061874">
              <w:rPr>
                <w:rFonts w:cs="Arial"/>
                <w:sz w:val="20"/>
              </w:rPr>
              <w:t>- All regions contribute to national development at the maximum level by utilizing their potential and increasing their competitiveness.</w:t>
            </w:r>
          </w:p>
          <w:p w14:paraId="46914AE3" w14:textId="77777777" w:rsidR="00061874" w:rsidRPr="00061874" w:rsidRDefault="00061874" w:rsidP="00061874">
            <w:pPr>
              <w:pStyle w:val="TableRow"/>
              <w:spacing w:before="0" w:after="0" w:line="240" w:lineRule="auto"/>
              <w:rPr>
                <w:rFonts w:cs="Arial"/>
                <w:sz w:val="20"/>
              </w:rPr>
            </w:pPr>
            <w:r w:rsidRPr="00061874">
              <w:rPr>
                <w:rFonts w:cs="Arial"/>
                <w:sz w:val="20"/>
              </w:rPr>
              <w:t>- Strengthening economic and social integration.</w:t>
            </w:r>
          </w:p>
          <w:p w14:paraId="4EF2C061" w14:textId="77777777" w:rsidR="00061874" w:rsidRPr="00061874" w:rsidRDefault="00061874" w:rsidP="00061874">
            <w:pPr>
              <w:pStyle w:val="TableCell"/>
              <w:spacing w:before="0" w:after="0" w:line="240" w:lineRule="auto"/>
              <w:jc w:val="both"/>
              <w:rPr>
                <w:sz w:val="20"/>
                <w:szCs w:val="20"/>
              </w:rPr>
            </w:pPr>
            <w:r w:rsidRPr="00061874">
              <w:rPr>
                <w:rFonts w:cs="Arial"/>
                <w:sz w:val="20"/>
                <w:szCs w:val="20"/>
              </w:rPr>
              <w:t>- Establishing a more balanced settlement system throughout the country.</w:t>
            </w:r>
          </w:p>
        </w:tc>
      </w:tr>
      <w:tr w:rsidR="00061874" w:rsidRPr="00061874" w14:paraId="32FAC6DE" w14:textId="77777777" w:rsidTr="0094042B">
        <w:trPr>
          <w:trHeight w:val="238"/>
        </w:trPr>
        <w:tc>
          <w:tcPr>
            <w:tcW w:w="1902" w:type="pct"/>
          </w:tcPr>
          <w:p w14:paraId="78DF8A01" w14:textId="77777777" w:rsidR="00061874" w:rsidRPr="00061874" w:rsidRDefault="00061874" w:rsidP="00061874">
            <w:pPr>
              <w:pStyle w:val="TableRow"/>
              <w:spacing w:before="0" w:after="0" w:line="240" w:lineRule="auto"/>
              <w:jc w:val="left"/>
              <w:rPr>
                <w:sz w:val="20"/>
              </w:rPr>
            </w:pPr>
            <w:r w:rsidRPr="00061874">
              <w:rPr>
                <w:sz w:val="20"/>
              </w:rPr>
              <w:t>Legal/institutional framework for regional policy</w:t>
            </w:r>
          </w:p>
        </w:tc>
        <w:tc>
          <w:tcPr>
            <w:tcW w:w="3098" w:type="pct"/>
          </w:tcPr>
          <w:p w14:paraId="32BE3D54" w14:textId="77777777" w:rsidR="00061874" w:rsidRPr="00061874" w:rsidRDefault="00061874" w:rsidP="00061874">
            <w:pPr>
              <w:pStyle w:val="TableCell"/>
              <w:spacing w:before="0" w:after="0" w:line="240" w:lineRule="auto"/>
              <w:jc w:val="both"/>
              <w:rPr>
                <w:sz w:val="20"/>
                <w:szCs w:val="20"/>
              </w:rPr>
            </w:pPr>
            <w:r w:rsidRPr="00061874">
              <w:rPr>
                <w:sz w:val="20"/>
                <w:szCs w:val="20"/>
              </w:rPr>
              <w:t xml:space="preserve">Turkish Constitution, Article 166 </w:t>
            </w:r>
          </w:p>
          <w:p w14:paraId="474387D2" w14:textId="77777777" w:rsidR="00061874" w:rsidRPr="00061874" w:rsidRDefault="00061874" w:rsidP="00061874">
            <w:pPr>
              <w:pStyle w:val="TableCell"/>
              <w:spacing w:before="0" w:after="0" w:line="240" w:lineRule="auto"/>
              <w:jc w:val="both"/>
              <w:rPr>
                <w:sz w:val="20"/>
                <w:szCs w:val="20"/>
              </w:rPr>
            </w:pPr>
            <w:r w:rsidRPr="00061874">
              <w:rPr>
                <w:sz w:val="20"/>
                <w:szCs w:val="20"/>
              </w:rPr>
              <w:t>Presidential Decree No. 1</w:t>
            </w:r>
          </w:p>
          <w:p w14:paraId="04BE67FF" w14:textId="77777777" w:rsidR="00061874" w:rsidRPr="00061874" w:rsidRDefault="00061874" w:rsidP="00061874">
            <w:pPr>
              <w:pStyle w:val="TableCell"/>
              <w:spacing w:before="0" w:after="0" w:line="240" w:lineRule="auto"/>
              <w:jc w:val="both"/>
              <w:rPr>
                <w:sz w:val="20"/>
                <w:szCs w:val="20"/>
              </w:rPr>
            </w:pPr>
            <w:r w:rsidRPr="00061874">
              <w:rPr>
                <w:sz w:val="20"/>
                <w:szCs w:val="20"/>
              </w:rPr>
              <w:t xml:space="preserve">Presidential Decree No. 4 </w:t>
            </w:r>
          </w:p>
          <w:p w14:paraId="17A859E9" w14:textId="77777777" w:rsidR="00061874" w:rsidRPr="00061874" w:rsidRDefault="00061874" w:rsidP="00061874">
            <w:pPr>
              <w:pStyle w:val="TableCell"/>
              <w:spacing w:before="0" w:after="0" w:line="240" w:lineRule="auto"/>
              <w:jc w:val="both"/>
              <w:rPr>
                <w:sz w:val="20"/>
                <w:szCs w:val="20"/>
              </w:rPr>
            </w:pPr>
            <w:r w:rsidRPr="00061874">
              <w:rPr>
                <w:sz w:val="20"/>
                <w:szCs w:val="20"/>
              </w:rPr>
              <w:t>The Law No. 5449, "Law on the Establishment, Coordination, and Duties of Development Agencies"</w:t>
            </w:r>
          </w:p>
          <w:p w14:paraId="308E02EE" w14:textId="77777777" w:rsidR="00061874" w:rsidRPr="00061874" w:rsidRDefault="00061874" w:rsidP="00061874">
            <w:pPr>
              <w:pStyle w:val="TableCell"/>
              <w:spacing w:before="0" w:after="0" w:line="240" w:lineRule="auto"/>
              <w:jc w:val="both"/>
              <w:rPr>
                <w:sz w:val="20"/>
                <w:szCs w:val="20"/>
              </w:rPr>
            </w:pPr>
            <w:r w:rsidRPr="00061874">
              <w:rPr>
                <w:sz w:val="20"/>
                <w:szCs w:val="20"/>
              </w:rPr>
              <w:t>11</w:t>
            </w:r>
            <w:r w:rsidRPr="00061874">
              <w:rPr>
                <w:sz w:val="20"/>
                <w:szCs w:val="20"/>
                <w:vertAlign w:val="superscript"/>
              </w:rPr>
              <w:t>th</w:t>
            </w:r>
            <w:r w:rsidRPr="00061874">
              <w:rPr>
                <w:sz w:val="20"/>
                <w:szCs w:val="20"/>
              </w:rPr>
              <w:t xml:space="preserve"> National Development Plan</w:t>
            </w:r>
          </w:p>
          <w:p w14:paraId="531342A5" w14:textId="77777777" w:rsidR="00061874" w:rsidRPr="00061874" w:rsidRDefault="00061874" w:rsidP="00061874">
            <w:pPr>
              <w:pStyle w:val="TableCell"/>
              <w:spacing w:before="0" w:after="0" w:line="240" w:lineRule="auto"/>
              <w:jc w:val="both"/>
              <w:rPr>
                <w:sz w:val="20"/>
                <w:szCs w:val="20"/>
              </w:rPr>
            </w:pPr>
            <w:r w:rsidRPr="00061874">
              <w:rPr>
                <w:sz w:val="20"/>
                <w:szCs w:val="20"/>
              </w:rPr>
              <w:t>12</w:t>
            </w:r>
            <w:r w:rsidRPr="00061874">
              <w:rPr>
                <w:sz w:val="20"/>
                <w:szCs w:val="20"/>
                <w:vertAlign w:val="superscript"/>
              </w:rPr>
              <w:t>th</w:t>
            </w:r>
            <w:r w:rsidRPr="00061874">
              <w:rPr>
                <w:sz w:val="20"/>
                <w:szCs w:val="20"/>
              </w:rPr>
              <w:t xml:space="preserve"> National Development Plan (preparation phase)</w:t>
            </w:r>
          </w:p>
          <w:p w14:paraId="24F09A25" w14:textId="77777777" w:rsidR="00061874" w:rsidRPr="00061874" w:rsidRDefault="00061874" w:rsidP="00061874">
            <w:pPr>
              <w:pStyle w:val="TableCell"/>
              <w:spacing w:before="0" w:after="0" w:line="240" w:lineRule="auto"/>
              <w:jc w:val="both"/>
              <w:rPr>
                <w:rFonts w:cs="Arial"/>
                <w:sz w:val="20"/>
                <w:szCs w:val="20"/>
              </w:rPr>
            </w:pPr>
            <w:r w:rsidRPr="00061874">
              <w:rPr>
                <w:rFonts w:cs="Arial"/>
                <w:sz w:val="20"/>
                <w:szCs w:val="20"/>
              </w:rPr>
              <w:t>National Strategy of Regional Development (NSRD) (2014-2023)</w:t>
            </w:r>
          </w:p>
          <w:p w14:paraId="3D564DFD" w14:textId="77777777" w:rsidR="00061874" w:rsidRPr="00061874" w:rsidRDefault="00061874" w:rsidP="00061874">
            <w:pPr>
              <w:pStyle w:val="TableCell"/>
              <w:spacing w:before="0" w:after="0" w:line="240" w:lineRule="auto"/>
              <w:jc w:val="both"/>
              <w:rPr>
                <w:sz w:val="20"/>
                <w:szCs w:val="20"/>
              </w:rPr>
            </w:pPr>
            <w:r w:rsidRPr="00061874">
              <w:rPr>
                <w:rFonts w:cs="Arial"/>
                <w:sz w:val="20"/>
                <w:szCs w:val="20"/>
              </w:rPr>
              <w:t>National Strategy of Regional Development (NSRD) (2024-2028)</w:t>
            </w:r>
            <w:r w:rsidRPr="00061874">
              <w:rPr>
                <w:sz w:val="20"/>
                <w:szCs w:val="20"/>
              </w:rPr>
              <w:t xml:space="preserve"> (preparation phase)</w:t>
            </w:r>
          </w:p>
        </w:tc>
      </w:tr>
      <w:tr w:rsidR="00061874" w:rsidRPr="00061874" w14:paraId="1E0519C7" w14:textId="77777777" w:rsidTr="0094042B">
        <w:trPr>
          <w:trHeight w:val="238"/>
        </w:trPr>
        <w:tc>
          <w:tcPr>
            <w:tcW w:w="1902" w:type="pct"/>
          </w:tcPr>
          <w:p w14:paraId="59ABF1F6" w14:textId="77777777" w:rsidR="00061874" w:rsidRPr="00061874" w:rsidRDefault="00061874" w:rsidP="00061874">
            <w:pPr>
              <w:pStyle w:val="TableRow"/>
              <w:spacing w:before="0" w:after="0" w:line="240" w:lineRule="auto"/>
              <w:rPr>
                <w:sz w:val="20"/>
              </w:rPr>
            </w:pPr>
            <w:r w:rsidRPr="00061874">
              <w:rPr>
                <w:sz w:val="20"/>
              </w:rPr>
              <w:t>Budget allocated to regional development (i.e., amount) and fiscal equalisation mechanisms between jurisdictions (if any)</w:t>
            </w:r>
          </w:p>
        </w:tc>
        <w:tc>
          <w:tcPr>
            <w:tcW w:w="3098" w:type="pct"/>
          </w:tcPr>
          <w:p w14:paraId="346E56DD" w14:textId="77777777" w:rsidR="00061874" w:rsidRPr="00061874" w:rsidRDefault="00061874" w:rsidP="00061874">
            <w:pPr>
              <w:pStyle w:val="TableCell"/>
              <w:spacing w:before="0" w:after="0" w:line="240" w:lineRule="auto"/>
              <w:jc w:val="left"/>
              <w:rPr>
                <w:sz w:val="20"/>
                <w:szCs w:val="20"/>
              </w:rPr>
            </w:pPr>
            <w:r w:rsidRPr="00061874">
              <w:rPr>
                <w:sz w:val="20"/>
                <w:szCs w:val="20"/>
              </w:rPr>
              <w:t xml:space="preserve">For Development Agencies: </w:t>
            </w:r>
          </w:p>
          <w:p w14:paraId="080736BA" w14:textId="77777777" w:rsidR="00061874" w:rsidRPr="00061874" w:rsidRDefault="00061874" w:rsidP="00061874">
            <w:pPr>
              <w:pStyle w:val="TableCell"/>
              <w:spacing w:before="0" w:after="0" w:line="240" w:lineRule="auto"/>
              <w:jc w:val="both"/>
              <w:rPr>
                <w:sz w:val="20"/>
                <w:szCs w:val="20"/>
              </w:rPr>
            </w:pPr>
            <w:r w:rsidRPr="00061874">
              <w:rPr>
                <w:sz w:val="20"/>
                <w:szCs w:val="20"/>
              </w:rPr>
              <w:t>- The central budget allocation was 974,5 million TL in 2022 and 907.8 million TL in 2023.</w:t>
            </w:r>
          </w:p>
          <w:p w14:paraId="17CB3A44" w14:textId="77777777" w:rsidR="00061874" w:rsidRPr="00061874" w:rsidRDefault="00061874" w:rsidP="00061874">
            <w:pPr>
              <w:pStyle w:val="TableCell"/>
              <w:spacing w:before="0" w:after="0" w:line="240" w:lineRule="auto"/>
              <w:jc w:val="both"/>
              <w:rPr>
                <w:sz w:val="20"/>
                <w:szCs w:val="20"/>
              </w:rPr>
            </w:pPr>
            <w:r w:rsidRPr="00061874">
              <w:rPr>
                <w:sz w:val="20"/>
                <w:szCs w:val="20"/>
              </w:rPr>
              <w:t>- Local revenues were 667,7 million TL in 2022 and expected to be 910.8 million TL in 2023.</w:t>
            </w:r>
          </w:p>
          <w:p w14:paraId="6A86FB1F" w14:textId="77777777" w:rsidR="00061874" w:rsidRPr="00061874" w:rsidRDefault="00061874" w:rsidP="00061874">
            <w:pPr>
              <w:pStyle w:val="TableCell"/>
              <w:spacing w:before="0" w:after="0" w:line="240" w:lineRule="auto"/>
              <w:jc w:val="both"/>
              <w:rPr>
                <w:sz w:val="20"/>
                <w:szCs w:val="20"/>
              </w:rPr>
            </w:pPr>
            <w:r w:rsidRPr="00061874">
              <w:rPr>
                <w:sz w:val="20"/>
                <w:szCs w:val="20"/>
              </w:rPr>
              <w:t>For Regional Development Administrations:</w:t>
            </w:r>
          </w:p>
          <w:p w14:paraId="575CCBD9" w14:textId="77777777" w:rsidR="00061874" w:rsidRPr="00061874" w:rsidRDefault="00061874" w:rsidP="00061874">
            <w:pPr>
              <w:pStyle w:val="TableCell"/>
              <w:spacing w:before="0" w:after="0" w:line="240" w:lineRule="auto"/>
              <w:jc w:val="both"/>
              <w:rPr>
                <w:sz w:val="20"/>
                <w:szCs w:val="20"/>
              </w:rPr>
            </w:pPr>
            <w:r w:rsidRPr="00061874">
              <w:rPr>
                <w:sz w:val="20"/>
                <w:szCs w:val="20"/>
              </w:rPr>
              <w:t xml:space="preserve">- The central budget allocation was 504,8 million TL in 2021 and 1509,2 million TL in 2022. </w:t>
            </w:r>
          </w:p>
        </w:tc>
      </w:tr>
      <w:tr w:rsidR="00061874" w:rsidRPr="00061874" w14:paraId="0C05261C" w14:textId="77777777" w:rsidTr="0094042B">
        <w:trPr>
          <w:trHeight w:val="238"/>
        </w:trPr>
        <w:tc>
          <w:tcPr>
            <w:tcW w:w="1902" w:type="pct"/>
          </w:tcPr>
          <w:p w14:paraId="44BAA7E2" w14:textId="77777777" w:rsidR="00061874" w:rsidRPr="00061874" w:rsidRDefault="00061874" w:rsidP="00061874">
            <w:pPr>
              <w:pStyle w:val="TableRow"/>
              <w:spacing w:before="0" w:after="0" w:line="240" w:lineRule="auto"/>
              <w:rPr>
                <w:sz w:val="20"/>
              </w:rPr>
            </w:pPr>
            <w:r w:rsidRPr="00061874">
              <w:rPr>
                <w:sz w:val="20"/>
              </w:rPr>
              <w:t>National regional development policy framework</w:t>
            </w:r>
          </w:p>
        </w:tc>
        <w:tc>
          <w:tcPr>
            <w:tcW w:w="3098" w:type="pct"/>
          </w:tcPr>
          <w:p w14:paraId="47C7529B" w14:textId="77777777" w:rsidR="00061874" w:rsidRPr="00061874" w:rsidRDefault="00061874" w:rsidP="00061874">
            <w:pPr>
              <w:pStyle w:val="TableCell"/>
              <w:spacing w:before="0" w:after="0" w:line="240" w:lineRule="auto"/>
              <w:jc w:val="both"/>
              <w:rPr>
                <w:rFonts w:cs="Arial"/>
                <w:sz w:val="20"/>
                <w:szCs w:val="20"/>
              </w:rPr>
            </w:pPr>
            <w:r w:rsidRPr="00061874">
              <w:rPr>
                <w:rFonts w:cs="Arial"/>
                <w:sz w:val="20"/>
                <w:szCs w:val="20"/>
              </w:rPr>
              <w:t xml:space="preserve">The current National Strategy of Regional Development (NSRD) </w:t>
            </w:r>
          </w:p>
          <w:p w14:paraId="44B8E56A" w14:textId="77777777" w:rsidR="00061874" w:rsidRPr="00061874" w:rsidRDefault="00061874" w:rsidP="00061874">
            <w:pPr>
              <w:pStyle w:val="TableCell"/>
              <w:spacing w:before="0" w:after="0" w:line="240" w:lineRule="auto"/>
              <w:jc w:val="both"/>
              <w:rPr>
                <w:rFonts w:cs="Arial"/>
                <w:sz w:val="20"/>
                <w:szCs w:val="20"/>
              </w:rPr>
            </w:pPr>
            <w:r w:rsidRPr="00061874">
              <w:rPr>
                <w:rFonts w:cs="Arial"/>
                <w:sz w:val="20"/>
                <w:szCs w:val="20"/>
              </w:rPr>
              <w:t xml:space="preserve">(2014-2023) expires in 2023. </w:t>
            </w:r>
          </w:p>
          <w:p w14:paraId="0445FCF0" w14:textId="77777777" w:rsidR="00061874" w:rsidRPr="00061874" w:rsidRDefault="00061874" w:rsidP="00061874">
            <w:pPr>
              <w:pStyle w:val="TableCell"/>
              <w:spacing w:before="0" w:after="0" w:line="240" w:lineRule="auto"/>
              <w:jc w:val="both"/>
              <w:rPr>
                <w:rFonts w:cs="Arial"/>
                <w:sz w:val="20"/>
                <w:szCs w:val="20"/>
              </w:rPr>
            </w:pPr>
            <w:r w:rsidRPr="00061874">
              <w:rPr>
                <w:rFonts w:cs="Arial"/>
                <w:sz w:val="20"/>
                <w:szCs w:val="20"/>
              </w:rPr>
              <w:t xml:space="preserve">New NSRD (2024-2028) is under preparation </w:t>
            </w:r>
          </w:p>
        </w:tc>
      </w:tr>
      <w:tr w:rsidR="00061874" w:rsidRPr="00061874" w14:paraId="5238E01C" w14:textId="77777777" w:rsidTr="0094042B">
        <w:trPr>
          <w:trHeight w:val="238"/>
        </w:trPr>
        <w:tc>
          <w:tcPr>
            <w:tcW w:w="1902" w:type="pct"/>
          </w:tcPr>
          <w:p w14:paraId="3C93A603" w14:textId="77777777" w:rsidR="00061874" w:rsidRPr="00061874" w:rsidRDefault="00061874" w:rsidP="00061874">
            <w:pPr>
              <w:pStyle w:val="TableRow"/>
              <w:spacing w:before="0" w:after="0" w:line="240" w:lineRule="auto"/>
              <w:jc w:val="left"/>
              <w:rPr>
                <w:sz w:val="20"/>
              </w:rPr>
            </w:pPr>
            <w:r w:rsidRPr="00061874">
              <w:rPr>
                <w:sz w:val="20"/>
              </w:rPr>
              <w:t>Urban policy framework</w:t>
            </w:r>
          </w:p>
        </w:tc>
        <w:tc>
          <w:tcPr>
            <w:tcW w:w="3098" w:type="pct"/>
          </w:tcPr>
          <w:p w14:paraId="07549085" w14:textId="77777777" w:rsidR="00061874" w:rsidRPr="00061874" w:rsidRDefault="00061874" w:rsidP="00061874">
            <w:pPr>
              <w:pStyle w:val="TableCell"/>
              <w:spacing w:before="0" w:after="0" w:line="240" w:lineRule="auto"/>
              <w:jc w:val="both"/>
              <w:rPr>
                <w:rFonts w:cs="Arial"/>
                <w:sz w:val="20"/>
                <w:szCs w:val="20"/>
              </w:rPr>
            </w:pPr>
            <w:r w:rsidRPr="00061874">
              <w:rPr>
                <w:rFonts w:cs="Arial"/>
                <w:sz w:val="20"/>
                <w:szCs w:val="20"/>
              </w:rPr>
              <w:t>Integrated Urban Development Strategy and Action Plan (2010-2023)</w:t>
            </w:r>
          </w:p>
        </w:tc>
      </w:tr>
      <w:tr w:rsidR="00061874" w:rsidRPr="00061874" w14:paraId="32279CCA" w14:textId="77777777" w:rsidTr="0094042B">
        <w:trPr>
          <w:trHeight w:val="238"/>
        </w:trPr>
        <w:tc>
          <w:tcPr>
            <w:tcW w:w="1902" w:type="pct"/>
          </w:tcPr>
          <w:p w14:paraId="6AFA68F0" w14:textId="77777777" w:rsidR="00061874" w:rsidRPr="00061874" w:rsidRDefault="00061874" w:rsidP="00061874">
            <w:pPr>
              <w:pStyle w:val="TableRow"/>
              <w:spacing w:before="0" w:after="0" w:line="240" w:lineRule="auto"/>
              <w:jc w:val="left"/>
              <w:rPr>
                <w:sz w:val="20"/>
              </w:rPr>
            </w:pPr>
            <w:r w:rsidRPr="00061874">
              <w:rPr>
                <w:sz w:val="20"/>
              </w:rPr>
              <w:t>Rural policy framework</w:t>
            </w:r>
          </w:p>
        </w:tc>
        <w:tc>
          <w:tcPr>
            <w:tcW w:w="3098" w:type="pct"/>
          </w:tcPr>
          <w:p w14:paraId="2398A611" w14:textId="77777777" w:rsidR="00061874" w:rsidRPr="00061874" w:rsidRDefault="00061874" w:rsidP="00061874">
            <w:pPr>
              <w:pStyle w:val="TableCell"/>
              <w:spacing w:before="0" w:after="0" w:line="240" w:lineRule="auto"/>
              <w:jc w:val="left"/>
              <w:rPr>
                <w:sz w:val="20"/>
                <w:szCs w:val="20"/>
              </w:rPr>
            </w:pPr>
            <w:r w:rsidRPr="00061874">
              <w:rPr>
                <w:sz w:val="20"/>
                <w:szCs w:val="20"/>
              </w:rPr>
              <w:t>National Rural Development Strategy (2021-2023)</w:t>
            </w:r>
          </w:p>
        </w:tc>
      </w:tr>
      <w:tr w:rsidR="00061874" w:rsidRPr="00061874" w14:paraId="418DD83A" w14:textId="77777777" w:rsidTr="0094042B">
        <w:trPr>
          <w:trHeight w:val="238"/>
        </w:trPr>
        <w:tc>
          <w:tcPr>
            <w:tcW w:w="1902" w:type="pct"/>
          </w:tcPr>
          <w:p w14:paraId="34B6B738" w14:textId="77777777" w:rsidR="00061874" w:rsidRPr="00061874" w:rsidRDefault="00061874" w:rsidP="00061874">
            <w:pPr>
              <w:pStyle w:val="TableRow"/>
              <w:spacing w:before="0" w:after="0" w:line="240" w:lineRule="auto"/>
              <w:jc w:val="left"/>
              <w:rPr>
                <w:sz w:val="20"/>
              </w:rPr>
            </w:pPr>
            <w:r w:rsidRPr="00061874">
              <w:rPr>
                <w:sz w:val="20"/>
              </w:rPr>
              <w:t>Major regional policy tools (e.g., funds, plans, policy initiatives, institutional agreements, etc.)</w:t>
            </w:r>
          </w:p>
        </w:tc>
        <w:tc>
          <w:tcPr>
            <w:tcW w:w="3098" w:type="pct"/>
          </w:tcPr>
          <w:p w14:paraId="609F9DE8" w14:textId="77777777" w:rsidR="00061874" w:rsidRPr="00061874" w:rsidRDefault="00061874" w:rsidP="00061874">
            <w:pPr>
              <w:pStyle w:val="TableCell"/>
              <w:spacing w:before="0" w:after="0" w:line="240" w:lineRule="auto"/>
              <w:jc w:val="left"/>
              <w:rPr>
                <w:sz w:val="20"/>
                <w:szCs w:val="20"/>
              </w:rPr>
            </w:pPr>
            <w:r w:rsidRPr="00061874">
              <w:rPr>
                <w:sz w:val="20"/>
                <w:szCs w:val="20"/>
              </w:rPr>
              <w:t>- Producing Cities Program</w:t>
            </w:r>
          </w:p>
          <w:p w14:paraId="6679C0D2" w14:textId="77777777" w:rsidR="00061874" w:rsidRPr="00061874" w:rsidRDefault="00061874" w:rsidP="00061874">
            <w:pPr>
              <w:pStyle w:val="TableCell"/>
              <w:spacing w:before="0" w:after="0" w:line="240" w:lineRule="auto"/>
              <w:jc w:val="both"/>
              <w:rPr>
                <w:sz w:val="20"/>
                <w:szCs w:val="20"/>
              </w:rPr>
            </w:pPr>
            <w:r w:rsidRPr="00061874">
              <w:rPr>
                <w:sz w:val="20"/>
                <w:szCs w:val="20"/>
              </w:rPr>
              <w:t>- Program for Supporting Growth Centres</w:t>
            </w:r>
          </w:p>
          <w:p w14:paraId="67E71593" w14:textId="77777777" w:rsidR="00061874" w:rsidRPr="00061874" w:rsidRDefault="00061874" w:rsidP="00061874">
            <w:pPr>
              <w:pStyle w:val="TableCell"/>
              <w:spacing w:before="0" w:after="0" w:line="240" w:lineRule="auto"/>
              <w:jc w:val="left"/>
              <w:rPr>
                <w:sz w:val="20"/>
                <w:szCs w:val="20"/>
              </w:rPr>
            </w:pPr>
            <w:r w:rsidRPr="00061874">
              <w:rPr>
                <w:sz w:val="20"/>
                <w:szCs w:val="20"/>
              </w:rPr>
              <w:t>- Program for Supporting Social Development</w:t>
            </w:r>
          </w:p>
          <w:p w14:paraId="273387B7" w14:textId="77777777" w:rsidR="00061874" w:rsidRPr="00061874" w:rsidRDefault="00061874" w:rsidP="00061874">
            <w:pPr>
              <w:pStyle w:val="TableCell"/>
              <w:spacing w:before="0" w:after="0" w:line="240" w:lineRule="auto"/>
              <w:jc w:val="both"/>
              <w:rPr>
                <w:sz w:val="20"/>
                <w:szCs w:val="20"/>
              </w:rPr>
            </w:pPr>
            <w:r w:rsidRPr="00061874">
              <w:rPr>
                <w:sz w:val="20"/>
                <w:szCs w:val="20"/>
              </w:rPr>
              <w:t>- Working and Producing Young People Program</w:t>
            </w:r>
          </w:p>
          <w:p w14:paraId="7EEA2CC0" w14:textId="77777777" w:rsidR="00061874" w:rsidRPr="00061874" w:rsidRDefault="00061874" w:rsidP="00061874">
            <w:pPr>
              <w:pStyle w:val="TableCell"/>
              <w:spacing w:before="0" w:after="0" w:line="240" w:lineRule="auto"/>
              <w:jc w:val="both"/>
              <w:rPr>
                <w:sz w:val="20"/>
                <w:szCs w:val="20"/>
              </w:rPr>
            </w:pPr>
            <w:r w:rsidRPr="00061874">
              <w:rPr>
                <w:sz w:val="20"/>
                <w:szCs w:val="20"/>
              </w:rPr>
              <w:t>- Institutional Transformation and Sustainability Support Program</w:t>
            </w:r>
          </w:p>
          <w:p w14:paraId="78C3C792" w14:textId="77777777" w:rsidR="00061874" w:rsidRPr="00061874" w:rsidRDefault="00061874" w:rsidP="00061874">
            <w:pPr>
              <w:pStyle w:val="TableCell"/>
              <w:spacing w:before="0" w:after="0" w:line="240" w:lineRule="auto"/>
              <w:jc w:val="both"/>
              <w:rPr>
                <w:sz w:val="20"/>
                <w:szCs w:val="20"/>
              </w:rPr>
            </w:pPr>
            <w:r w:rsidRPr="00061874">
              <w:rPr>
                <w:sz w:val="20"/>
                <w:szCs w:val="20"/>
              </w:rPr>
              <w:t xml:space="preserve">- Regional Development Fund  </w:t>
            </w:r>
          </w:p>
          <w:p w14:paraId="09CC15C4" w14:textId="77777777" w:rsidR="00061874" w:rsidRPr="00061874" w:rsidRDefault="00061874" w:rsidP="00061874">
            <w:pPr>
              <w:pStyle w:val="TableCell"/>
              <w:spacing w:before="0" w:after="0" w:line="240" w:lineRule="auto"/>
              <w:jc w:val="both"/>
              <w:rPr>
                <w:sz w:val="20"/>
                <w:szCs w:val="20"/>
              </w:rPr>
            </w:pPr>
            <w:r w:rsidRPr="00061874">
              <w:rPr>
                <w:sz w:val="20"/>
                <w:szCs w:val="20"/>
              </w:rPr>
              <w:t>- Social Entrepreneurship, Empowerment &amp; Cohesion Project (SEECO)</w:t>
            </w:r>
          </w:p>
          <w:p w14:paraId="756BBF11" w14:textId="77777777" w:rsidR="00061874" w:rsidRPr="00061874" w:rsidRDefault="00061874" w:rsidP="00061874">
            <w:pPr>
              <w:pStyle w:val="TableCell"/>
              <w:spacing w:before="0" w:after="0" w:line="240" w:lineRule="auto"/>
              <w:jc w:val="both"/>
              <w:rPr>
                <w:sz w:val="20"/>
                <w:szCs w:val="20"/>
              </w:rPr>
            </w:pPr>
            <w:r w:rsidRPr="00061874">
              <w:rPr>
                <w:sz w:val="20"/>
                <w:szCs w:val="20"/>
              </w:rPr>
              <w:t>- Enhancement of Entrepreneurship Capacities for Sustainable Socio-Economic Integration (ENHANCER) Project</w:t>
            </w:r>
          </w:p>
        </w:tc>
      </w:tr>
      <w:tr w:rsidR="00061874" w:rsidRPr="00061874" w14:paraId="7B9F2F17" w14:textId="77777777" w:rsidTr="0094042B">
        <w:trPr>
          <w:trHeight w:val="238"/>
        </w:trPr>
        <w:tc>
          <w:tcPr>
            <w:tcW w:w="1902" w:type="pct"/>
          </w:tcPr>
          <w:p w14:paraId="79ACF605" w14:textId="77777777" w:rsidR="00061874" w:rsidRPr="00061874" w:rsidRDefault="00061874" w:rsidP="00061874">
            <w:pPr>
              <w:pStyle w:val="TableRow"/>
              <w:spacing w:before="0" w:after="0" w:line="240" w:lineRule="auto"/>
              <w:jc w:val="left"/>
              <w:rPr>
                <w:sz w:val="20"/>
              </w:rPr>
            </w:pPr>
            <w:r w:rsidRPr="00061874">
              <w:rPr>
                <w:sz w:val="20"/>
              </w:rPr>
              <w:lastRenderedPageBreak/>
              <w:t xml:space="preserve">Policy co-ordination tools at national level </w:t>
            </w:r>
          </w:p>
        </w:tc>
        <w:tc>
          <w:tcPr>
            <w:tcW w:w="3098" w:type="pct"/>
          </w:tcPr>
          <w:p w14:paraId="7B670C8F" w14:textId="77777777" w:rsidR="00061874" w:rsidRPr="00061874" w:rsidRDefault="00061874" w:rsidP="00061874">
            <w:pPr>
              <w:pStyle w:val="TableCell"/>
              <w:spacing w:before="0" w:after="0" w:line="240" w:lineRule="auto"/>
              <w:jc w:val="left"/>
              <w:rPr>
                <w:rFonts w:cs="Arial"/>
                <w:sz w:val="20"/>
                <w:szCs w:val="20"/>
              </w:rPr>
            </w:pPr>
            <w:r w:rsidRPr="00061874">
              <w:rPr>
                <w:rFonts w:cs="Arial"/>
                <w:sz w:val="20"/>
                <w:szCs w:val="20"/>
              </w:rPr>
              <w:t xml:space="preserve">DG Development Agencies at </w:t>
            </w:r>
            <w:r w:rsidRPr="00061874">
              <w:rPr>
                <w:sz w:val="20"/>
                <w:szCs w:val="20"/>
              </w:rPr>
              <w:t>Ministry of Industry and Technology</w:t>
            </w:r>
          </w:p>
          <w:p w14:paraId="3B59B5C6" w14:textId="77777777" w:rsidR="00061874" w:rsidRPr="00061874" w:rsidRDefault="00061874" w:rsidP="00061874">
            <w:pPr>
              <w:pStyle w:val="TableCell"/>
              <w:spacing w:before="0" w:after="0" w:line="240" w:lineRule="auto"/>
              <w:jc w:val="left"/>
              <w:rPr>
                <w:sz w:val="20"/>
                <w:szCs w:val="20"/>
              </w:rPr>
            </w:pPr>
            <w:r w:rsidRPr="00061874">
              <w:rPr>
                <w:sz w:val="20"/>
                <w:szCs w:val="20"/>
              </w:rPr>
              <w:t xml:space="preserve">Presidential Board for Economy Policies </w:t>
            </w:r>
          </w:p>
        </w:tc>
      </w:tr>
      <w:tr w:rsidR="00061874" w:rsidRPr="00061874" w14:paraId="2DC5451E" w14:textId="77777777" w:rsidTr="0094042B">
        <w:trPr>
          <w:trHeight w:val="238"/>
        </w:trPr>
        <w:tc>
          <w:tcPr>
            <w:tcW w:w="1902" w:type="pct"/>
          </w:tcPr>
          <w:p w14:paraId="24DE6E1B" w14:textId="77777777" w:rsidR="00061874" w:rsidRPr="00061874" w:rsidRDefault="00061874" w:rsidP="00061874">
            <w:pPr>
              <w:pStyle w:val="TableRow"/>
              <w:spacing w:before="0" w:after="0" w:line="240" w:lineRule="auto"/>
              <w:jc w:val="left"/>
              <w:rPr>
                <w:sz w:val="20"/>
              </w:rPr>
            </w:pPr>
            <w:r w:rsidRPr="00061874">
              <w:rPr>
                <w:sz w:val="20"/>
              </w:rPr>
              <w:t>Multi-level governance mechanisms between national and subnational levels (e.g., institutional agreements, Committees, etc.)</w:t>
            </w:r>
          </w:p>
        </w:tc>
        <w:tc>
          <w:tcPr>
            <w:tcW w:w="3098" w:type="pct"/>
          </w:tcPr>
          <w:p w14:paraId="0432D941" w14:textId="77777777" w:rsidR="00061874" w:rsidRPr="00061874" w:rsidRDefault="00061874" w:rsidP="00061874">
            <w:pPr>
              <w:pStyle w:val="TableCell"/>
              <w:spacing w:before="0" w:after="0" w:line="240" w:lineRule="auto"/>
              <w:jc w:val="left"/>
              <w:rPr>
                <w:sz w:val="20"/>
                <w:szCs w:val="20"/>
              </w:rPr>
            </w:pPr>
            <w:r w:rsidRPr="00061874">
              <w:rPr>
                <w:sz w:val="20"/>
                <w:szCs w:val="20"/>
              </w:rPr>
              <w:t>Presidential Board for Local Administrations</w:t>
            </w:r>
          </w:p>
        </w:tc>
      </w:tr>
      <w:tr w:rsidR="00061874" w:rsidRPr="00061874" w14:paraId="6AEECE8E" w14:textId="77777777" w:rsidTr="0094042B">
        <w:trPr>
          <w:trHeight w:val="238"/>
        </w:trPr>
        <w:tc>
          <w:tcPr>
            <w:tcW w:w="1902" w:type="pct"/>
          </w:tcPr>
          <w:p w14:paraId="03F953B6" w14:textId="77777777" w:rsidR="00061874" w:rsidRPr="00061874" w:rsidRDefault="00061874" w:rsidP="00061874">
            <w:pPr>
              <w:pStyle w:val="TableRow"/>
              <w:spacing w:before="0" w:after="0" w:line="240" w:lineRule="auto"/>
              <w:jc w:val="left"/>
              <w:rPr>
                <w:sz w:val="20"/>
              </w:rPr>
            </w:pPr>
            <w:r w:rsidRPr="00061874">
              <w:rPr>
                <w:sz w:val="20"/>
              </w:rPr>
              <w:t xml:space="preserve">Policy co-ordination tools at regional level </w:t>
            </w:r>
          </w:p>
        </w:tc>
        <w:tc>
          <w:tcPr>
            <w:tcW w:w="3098" w:type="pct"/>
          </w:tcPr>
          <w:p w14:paraId="0F0D2F5B" w14:textId="77777777" w:rsidR="00061874" w:rsidRPr="00061874" w:rsidRDefault="00061874" w:rsidP="00061874">
            <w:pPr>
              <w:pStyle w:val="TableCell"/>
              <w:spacing w:before="0" w:after="0" w:line="240" w:lineRule="auto"/>
              <w:jc w:val="left"/>
              <w:rPr>
                <w:sz w:val="20"/>
                <w:szCs w:val="20"/>
              </w:rPr>
            </w:pPr>
            <w:r w:rsidRPr="00061874">
              <w:rPr>
                <w:sz w:val="20"/>
                <w:szCs w:val="20"/>
              </w:rPr>
              <w:t>Regional plans</w:t>
            </w:r>
          </w:p>
          <w:p w14:paraId="07DE7F6B" w14:textId="77777777" w:rsidR="00061874" w:rsidRPr="00061874" w:rsidRDefault="00061874" w:rsidP="00061874">
            <w:pPr>
              <w:pStyle w:val="TableCell"/>
              <w:spacing w:before="0" w:after="0" w:line="240" w:lineRule="auto"/>
              <w:jc w:val="left"/>
              <w:rPr>
                <w:sz w:val="20"/>
                <w:szCs w:val="20"/>
              </w:rPr>
            </w:pPr>
            <w:r w:rsidRPr="00061874">
              <w:rPr>
                <w:sz w:val="20"/>
                <w:szCs w:val="20"/>
              </w:rPr>
              <w:t>Result Oriented Programs</w:t>
            </w:r>
          </w:p>
          <w:p w14:paraId="7DCAD8AD" w14:textId="77777777" w:rsidR="00061874" w:rsidRPr="00061874" w:rsidRDefault="00061874" w:rsidP="00061874">
            <w:pPr>
              <w:pStyle w:val="TableCell"/>
              <w:spacing w:before="0" w:after="0" w:line="240" w:lineRule="auto"/>
              <w:jc w:val="left"/>
              <w:rPr>
                <w:sz w:val="20"/>
                <w:szCs w:val="20"/>
              </w:rPr>
            </w:pPr>
            <w:r w:rsidRPr="00061874">
              <w:rPr>
                <w:sz w:val="20"/>
                <w:szCs w:val="20"/>
              </w:rPr>
              <w:t xml:space="preserve">Regional Development Programmes (GAP, DAP, DOKAP, KOP) </w:t>
            </w:r>
          </w:p>
          <w:p w14:paraId="69E75683" w14:textId="77777777" w:rsidR="00061874" w:rsidRPr="00061874" w:rsidRDefault="00061874" w:rsidP="00061874">
            <w:pPr>
              <w:pStyle w:val="TableCell"/>
              <w:spacing w:before="0" w:after="0" w:line="240" w:lineRule="auto"/>
              <w:jc w:val="left"/>
              <w:rPr>
                <w:sz w:val="20"/>
                <w:szCs w:val="20"/>
              </w:rPr>
            </w:pPr>
            <w:r w:rsidRPr="00061874">
              <w:rPr>
                <w:sz w:val="20"/>
                <w:szCs w:val="20"/>
              </w:rPr>
              <w:t xml:space="preserve">(2021-2023) </w:t>
            </w:r>
          </w:p>
        </w:tc>
      </w:tr>
      <w:tr w:rsidR="00061874" w:rsidRPr="00061874" w14:paraId="215003F0" w14:textId="77777777" w:rsidTr="0094042B">
        <w:trPr>
          <w:trHeight w:val="238"/>
        </w:trPr>
        <w:tc>
          <w:tcPr>
            <w:tcW w:w="1902" w:type="pct"/>
          </w:tcPr>
          <w:p w14:paraId="66771E29" w14:textId="77777777" w:rsidR="00061874" w:rsidRPr="00061874" w:rsidRDefault="00061874" w:rsidP="00061874">
            <w:pPr>
              <w:pStyle w:val="TableRow"/>
              <w:spacing w:before="0" w:after="0" w:line="240" w:lineRule="auto"/>
              <w:jc w:val="left"/>
              <w:rPr>
                <w:sz w:val="20"/>
              </w:rPr>
            </w:pPr>
            <w:r w:rsidRPr="00061874">
              <w:rPr>
                <w:sz w:val="20"/>
              </w:rPr>
              <w:t>Evaluation and monitoring tools</w:t>
            </w:r>
          </w:p>
        </w:tc>
        <w:tc>
          <w:tcPr>
            <w:tcW w:w="3098" w:type="pct"/>
          </w:tcPr>
          <w:p w14:paraId="02CCFF69" w14:textId="77777777" w:rsidR="00061874" w:rsidRPr="00061874" w:rsidRDefault="00061874" w:rsidP="00061874">
            <w:pPr>
              <w:pStyle w:val="TableRow"/>
              <w:spacing w:before="0" w:after="0" w:line="240" w:lineRule="auto"/>
              <w:rPr>
                <w:rFonts w:cs="Arial"/>
                <w:sz w:val="20"/>
              </w:rPr>
            </w:pPr>
            <w:r w:rsidRPr="00061874">
              <w:rPr>
                <w:rFonts w:cs="Arial"/>
                <w:sz w:val="20"/>
              </w:rPr>
              <w:t xml:space="preserve">- Development Agencies Management System (KAYS) </w:t>
            </w:r>
          </w:p>
          <w:p w14:paraId="0D6F23EF" w14:textId="77777777" w:rsidR="00061874" w:rsidRPr="00061874" w:rsidRDefault="00061874" w:rsidP="00061874">
            <w:pPr>
              <w:pStyle w:val="TableRow"/>
              <w:spacing w:before="0" w:after="0" w:line="240" w:lineRule="auto"/>
              <w:rPr>
                <w:rFonts w:cs="Arial"/>
                <w:sz w:val="20"/>
              </w:rPr>
            </w:pPr>
            <w:r w:rsidRPr="00061874">
              <w:rPr>
                <w:rFonts w:cs="Arial"/>
                <w:sz w:val="20"/>
              </w:rPr>
              <w:t>- Programme evaluation</w:t>
            </w:r>
          </w:p>
          <w:p w14:paraId="7BC2318F" w14:textId="77777777" w:rsidR="00061874" w:rsidRPr="00061874" w:rsidRDefault="00061874" w:rsidP="00061874">
            <w:pPr>
              <w:pStyle w:val="TableRow"/>
              <w:spacing w:before="0" w:after="0" w:line="240" w:lineRule="auto"/>
              <w:rPr>
                <w:sz w:val="20"/>
              </w:rPr>
            </w:pPr>
            <w:r w:rsidRPr="00061874">
              <w:rPr>
                <w:rFonts w:cs="Arial"/>
                <w:sz w:val="20"/>
              </w:rPr>
              <w:t xml:space="preserve">- </w:t>
            </w:r>
            <w:r w:rsidRPr="00061874">
              <w:rPr>
                <w:sz w:val="20"/>
              </w:rPr>
              <w:t>Urban and Rural Settlement Systems in Turkey Research Project</w:t>
            </w:r>
          </w:p>
          <w:p w14:paraId="63F43275" w14:textId="77777777" w:rsidR="00061874" w:rsidRPr="00061874" w:rsidRDefault="00061874" w:rsidP="00061874">
            <w:pPr>
              <w:pStyle w:val="TableRow"/>
              <w:spacing w:before="0" w:after="0" w:line="240" w:lineRule="auto"/>
              <w:rPr>
                <w:sz w:val="20"/>
              </w:rPr>
            </w:pPr>
            <w:r w:rsidRPr="00061874">
              <w:rPr>
                <w:sz w:val="20"/>
              </w:rPr>
              <w:t>- Socio-economic Development Index (SEDI)</w:t>
            </w:r>
          </w:p>
          <w:p w14:paraId="2A40A7EB" w14:textId="77777777" w:rsidR="00061874" w:rsidRPr="00061874" w:rsidRDefault="00061874" w:rsidP="00061874">
            <w:pPr>
              <w:pStyle w:val="TableRow"/>
              <w:spacing w:before="0" w:after="0" w:line="240" w:lineRule="auto"/>
              <w:rPr>
                <w:sz w:val="20"/>
              </w:rPr>
            </w:pPr>
            <w:r w:rsidRPr="00061874">
              <w:rPr>
                <w:sz w:val="20"/>
              </w:rPr>
              <w:t>- Monitoring visits of central authorities to Development Agencies and Regional Development Administrations</w:t>
            </w:r>
          </w:p>
          <w:p w14:paraId="0D76AE0D" w14:textId="77777777" w:rsidR="00061874" w:rsidRPr="00061874" w:rsidRDefault="00061874" w:rsidP="00061874">
            <w:pPr>
              <w:pStyle w:val="TableRow"/>
              <w:spacing w:before="0" w:after="0" w:line="240" w:lineRule="auto"/>
              <w:rPr>
                <w:sz w:val="20"/>
              </w:rPr>
            </w:pPr>
            <w:r w:rsidRPr="00061874">
              <w:rPr>
                <w:sz w:val="20"/>
              </w:rPr>
              <w:t>- Monitoring visits for the regional programmes or projects implemented by national/regional authorities</w:t>
            </w:r>
          </w:p>
          <w:p w14:paraId="1CFFEDBC" w14:textId="77777777" w:rsidR="00061874" w:rsidRPr="00061874" w:rsidRDefault="00061874" w:rsidP="00061874">
            <w:pPr>
              <w:pStyle w:val="TableRow"/>
              <w:spacing w:before="0" w:after="0" w:line="240" w:lineRule="auto"/>
              <w:rPr>
                <w:sz w:val="20"/>
              </w:rPr>
            </w:pPr>
            <w:r w:rsidRPr="00061874">
              <w:rPr>
                <w:sz w:val="20"/>
              </w:rPr>
              <w:t>- Legal documents, rules and procedures for monitoring and evaluation</w:t>
            </w:r>
          </w:p>
        </w:tc>
      </w:tr>
      <w:tr w:rsidR="00061874" w:rsidRPr="00061874" w14:paraId="069FB460" w14:textId="77777777" w:rsidTr="0094042B">
        <w:trPr>
          <w:trHeight w:val="1410"/>
        </w:trPr>
        <w:tc>
          <w:tcPr>
            <w:tcW w:w="1902" w:type="pct"/>
          </w:tcPr>
          <w:p w14:paraId="15B3E256" w14:textId="77777777" w:rsidR="00061874" w:rsidRPr="00061874" w:rsidRDefault="00061874" w:rsidP="00061874">
            <w:pPr>
              <w:pStyle w:val="TableRow"/>
              <w:spacing w:before="0" w:after="0" w:line="240" w:lineRule="auto"/>
              <w:jc w:val="left"/>
              <w:rPr>
                <w:sz w:val="20"/>
              </w:rPr>
            </w:pPr>
            <w:r w:rsidRPr="00061874">
              <w:rPr>
                <w:sz w:val="20"/>
              </w:rPr>
              <w:t>Future orientations of regional policy</w:t>
            </w:r>
          </w:p>
        </w:tc>
        <w:tc>
          <w:tcPr>
            <w:tcW w:w="3098" w:type="pct"/>
          </w:tcPr>
          <w:p w14:paraId="30FEB00B" w14:textId="77777777" w:rsidR="00061874" w:rsidRPr="00061874" w:rsidRDefault="00061874" w:rsidP="00061874">
            <w:pPr>
              <w:pStyle w:val="TableRow"/>
              <w:spacing w:before="0" w:after="0" w:line="240" w:lineRule="auto"/>
              <w:rPr>
                <w:rFonts w:cs="Arial"/>
                <w:sz w:val="20"/>
              </w:rPr>
            </w:pPr>
            <w:r w:rsidRPr="00061874">
              <w:rPr>
                <w:rFonts w:cs="Arial"/>
                <w:sz w:val="20"/>
              </w:rPr>
              <w:t>- Digitalization</w:t>
            </w:r>
          </w:p>
          <w:p w14:paraId="35B475AE" w14:textId="77777777" w:rsidR="00061874" w:rsidRPr="00061874" w:rsidRDefault="00061874" w:rsidP="00061874">
            <w:pPr>
              <w:pStyle w:val="TableRow"/>
              <w:spacing w:before="0" w:after="0" w:line="240" w:lineRule="auto"/>
              <w:rPr>
                <w:rFonts w:cs="Arial"/>
                <w:sz w:val="20"/>
              </w:rPr>
            </w:pPr>
            <w:r w:rsidRPr="00061874">
              <w:rPr>
                <w:rFonts w:cs="Arial"/>
                <w:sz w:val="20"/>
              </w:rPr>
              <w:t>- Green Transition</w:t>
            </w:r>
          </w:p>
          <w:p w14:paraId="67136C53" w14:textId="77777777" w:rsidR="00061874" w:rsidRPr="00061874" w:rsidRDefault="00061874" w:rsidP="00061874">
            <w:pPr>
              <w:pStyle w:val="TableRow"/>
              <w:spacing w:before="0" w:after="0" w:line="240" w:lineRule="auto"/>
              <w:rPr>
                <w:rFonts w:cs="Arial"/>
                <w:sz w:val="20"/>
              </w:rPr>
            </w:pPr>
            <w:r w:rsidRPr="00061874">
              <w:rPr>
                <w:rFonts w:cs="Arial"/>
                <w:sz w:val="20"/>
              </w:rPr>
              <w:t>- Environmental Sustainability &amp; Resilience</w:t>
            </w:r>
          </w:p>
          <w:p w14:paraId="6F2F9D5E" w14:textId="77777777" w:rsidR="00061874" w:rsidRPr="00061874" w:rsidRDefault="00061874" w:rsidP="00061874">
            <w:pPr>
              <w:pStyle w:val="TableRow"/>
              <w:spacing w:before="0" w:after="0" w:line="240" w:lineRule="auto"/>
              <w:rPr>
                <w:rFonts w:cs="Arial"/>
                <w:sz w:val="20"/>
              </w:rPr>
            </w:pPr>
            <w:r w:rsidRPr="00061874">
              <w:rPr>
                <w:rFonts w:cs="Arial"/>
                <w:sz w:val="20"/>
              </w:rPr>
              <w:t>- Aging</w:t>
            </w:r>
          </w:p>
          <w:p w14:paraId="10B50A99" w14:textId="77777777" w:rsidR="00061874" w:rsidRPr="00061874" w:rsidRDefault="00061874" w:rsidP="00061874">
            <w:pPr>
              <w:pStyle w:val="TableRow"/>
              <w:spacing w:before="0" w:after="0" w:line="240" w:lineRule="auto"/>
              <w:rPr>
                <w:rFonts w:cs="Arial"/>
                <w:sz w:val="20"/>
              </w:rPr>
            </w:pPr>
            <w:r w:rsidRPr="00061874">
              <w:rPr>
                <w:rFonts w:cs="Arial"/>
                <w:sz w:val="20"/>
              </w:rPr>
              <w:t>- International Migration</w:t>
            </w:r>
          </w:p>
          <w:p w14:paraId="0C645558" w14:textId="77777777" w:rsidR="00061874" w:rsidRPr="00061874" w:rsidRDefault="00061874" w:rsidP="00061874">
            <w:pPr>
              <w:pStyle w:val="TableRow"/>
              <w:spacing w:before="0" w:after="0" w:line="240" w:lineRule="auto"/>
              <w:rPr>
                <w:rFonts w:cs="Arial"/>
                <w:sz w:val="20"/>
              </w:rPr>
            </w:pPr>
            <w:r w:rsidRPr="00061874">
              <w:rPr>
                <w:rFonts w:cs="Arial"/>
                <w:sz w:val="20"/>
              </w:rPr>
              <w:t>- Social Inclusion</w:t>
            </w:r>
          </w:p>
          <w:p w14:paraId="002AC892" w14:textId="77777777" w:rsidR="00061874" w:rsidRPr="00061874" w:rsidRDefault="00061874" w:rsidP="00061874">
            <w:pPr>
              <w:pStyle w:val="TableRow"/>
              <w:spacing w:before="0" w:after="0" w:line="240" w:lineRule="auto"/>
              <w:rPr>
                <w:rFonts w:cs="Arial"/>
                <w:sz w:val="20"/>
              </w:rPr>
            </w:pPr>
            <w:r w:rsidRPr="00061874">
              <w:rPr>
                <w:rFonts w:cs="Arial"/>
                <w:sz w:val="20"/>
              </w:rPr>
              <w:t>- Urban Population Growth</w:t>
            </w:r>
          </w:p>
          <w:p w14:paraId="045D33FA" w14:textId="77777777" w:rsidR="00061874" w:rsidRPr="00061874" w:rsidRDefault="00061874" w:rsidP="00061874">
            <w:pPr>
              <w:pStyle w:val="TableRow"/>
              <w:spacing w:before="0" w:after="0" w:line="240" w:lineRule="auto"/>
              <w:rPr>
                <w:rFonts w:cs="Arial"/>
                <w:sz w:val="20"/>
              </w:rPr>
            </w:pPr>
            <w:r w:rsidRPr="00061874">
              <w:rPr>
                <w:rFonts w:cs="Arial"/>
                <w:sz w:val="20"/>
              </w:rPr>
              <w:t>- Disaster Management</w:t>
            </w:r>
          </w:p>
        </w:tc>
      </w:tr>
    </w:tbl>
    <w:p w14:paraId="38663CAF" w14:textId="32723336" w:rsidR="00B0261A" w:rsidRDefault="00B0261A" w:rsidP="00B0261A"/>
    <w:p w14:paraId="144C8B28" w14:textId="40610F55" w:rsidR="00130E6A" w:rsidRDefault="00130E6A" w:rsidP="00130E6A">
      <w:pPr>
        <w:pStyle w:val="Heading2"/>
      </w:pPr>
      <w:r>
        <w:t xml:space="preserve">Regional Inequality Trends </w:t>
      </w:r>
    </w:p>
    <w:p w14:paraId="5D932F31" w14:textId="77777777" w:rsidR="00061874" w:rsidRPr="00061874" w:rsidRDefault="00061874" w:rsidP="00061874">
      <w:pPr>
        <w:rPr>
          <w:lang w:val="en-US"/>
        </w:rPr>
      </w:pPr>
      <w:r w:rsidRPr="00061874">
        <w:rPr>
          <w:lang w:val="en-US"/>
        </w:rPr>
        <w:t>Türkiye experienced a decline in the Theil index of GDP per capita over 2000-2020. Inequality reached its maximum in 2007. The figures are normalized, with values in the year 2004 set to 1.</w:t>
      </w:r>
    </w:p>
    <w:p w14:paraId="65446115" w14:textId="265FBE18" w:rsidR="00130E6A" w:rsidRPr="00FA40FC" w:rsidRDefault="00061874" w:rsidP="00061874">
      <w:pPr>
        <w:rPr>
          <w:lang w:val="en-US"/>
        </w:rPr>
      </w:pPr>
      <w:r w:rsidRPr="00061874">
        <w:rPr>
          <w:lang w:val="en-US"/>
        </w:rPr>
        <w:t xml:space="preserve">The Top 20%/Mean ratio was 0.075 lower in 2020 compared to 2000, indicating decreased </w:t>
      </w:r>
      <w:proofErr w:type="spellStart"/>
      <w:r w:rsidRPr="00061874">
        <w:rPr>
          <w:lang w:val="en-US"/>
        </w:rPr>
        <w:t>polarisation</w:t>
      </w:r>
      <w:proofErr w:type="spellEnd"/>
      <w:r w:rsidRPr="00061874">
        <w:rPr>
          <w:lang w:val="en-US"/>
        </w:rPr>
        <w:t>. The Bottom 20%/Mean ratio was 0.056 higher in the same period, indicating bottom convergence</w:t>
      </w:r>
      <w:r w:rsidR="00FA40FC" w:rsidRPr="00FA40FC">
        <w:rPr>
          <w:lang w:val="en-US"/>
        </w:rPr>
        <w:t>.</w:t>
      </w:r>
    </w:p>
    <w:p w14:paraId="2D663EB5" w14:textId="16067A4C" w:rsidR="00130E6A" w:rsidRPr="00130E6A" w:rsidRDefault="00130E6A" w:rsidP="00130E6A">
      <w:pPr>
        <w:jc w:val="left"/>
        <w:rPr>
          <w:b/>
          <w:bCs/>
          <w:color w:val="4E81BD"/>
        </w:rPr>
      </w:pPr>
      <w:r w:rsidRPr="00130E6A">
        <w:rPr>
          <w:b/>
          <w:bCs/>
          <w:color w:val="4E81BD"/>
        </w:rPr>
        <w:t>Figure 1. Trends in GDP per capita inequality indicators, TL</w:t>
      </w:r>
      <w:r w:rsidR="00847EB6">
        <w:rPr>
          <w:b/>
          <w:bCs/>
          <w:color w:val="4E81BD"/>
        </w:rPr>
        <w:t>2</w:t>
      </w:r>
      <w:r w:rsidRPr="00130E6A">
        <w:rPr>
          <w:b/>
          <w:bCs/>
          <w:color w:val="4E81BD"/>
        </w:rPr>
        <w:t xml:space="preserve"> OECD regions</w:t>
      </w:r>
    </w:p>
    <w:p w14:paraId="48F9AF6B" w14:textId="42FAF779" w:rsidR="00130E6A" w:rsidRDefault="002E4110" w:rsidP="00130E6A">
      <w:pPr>
        <w:jc w:val="center"/>
      </w:pPr>
      <w:r>
        <w:rPr>
          <w:noProof/>
        </w:rPr>
        <w:drawing>
          <wp:inline distT="0" distB="0" distL="0" distR="0" wp14:anchorId="30F4C34F" wp14:editId="69EF530F">
            <wp:extent cx="5731510" cy="31349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34995"/>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lastRenderedPageBreak/>
        <w:t>Note</w:t>
      </w:r>
      <w:r w:rsidRPr="00130E6A">
        <w:rPr>
          <w:sz w:val="16"/>
          <w:szCs w:val="16"/>
        </w:rPr>
        <w:t xml:space="preserve">: </w:t>
      </w:r>
      <w:r w:rsidR="00993AE2" w:rsidRPr="00993AE2">
        <w:rPr>
          <w:sz w:val="16"/>
          <w:szCs w:val="16"/>
        </w:rPr>
        <w:t xml:space="preserve">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w:t>
      </w:r>
      <w:proofErr w:type="gramStart"/>
      <w:r w:rsidR="00993AE2" w:rsidRPr="00993AE2">
        <w:rPr>
          <w:sz w:val="16"/>
          <w:szCs w:val="16"/>
        </w:rPr>
        <w:t>in a given year</w:t>
      </w:r>
      <w:proofErr w:type="gramEnd"/>
      <w:r w:rsidR="00993AE2" w:rsidRPr="00993AE2">
        <w:rPr>
          <w:sz w:val="16"/>
          <w:szCs w:val="16"/>
        </w:rPr>
        <w:t xml:space="preserve">. Bottom 20%/Mean calculated as mean TL3 GDP per capita in bottom 20% regions over mean TL3 GDP per capita </w:t>
      </w:r>
      <w:proofErr w:type="gramStart"/>
      <w:r w:rsidR="00993AE2" w:rsidRPr="00993AE2">
        <w:rPr>
          <w:sz w:val="16"/>
          <w:szCs w:val="16"/>
        </w:rPr>
        <w:t>in a given year</w:t>
      </w:r>
      <w:proofErr w:type="gramEnd"/>
      <w:r w:rsidR="00993AE2" w:rsidRPr="00993AE2">
        <w:rPr>
          <w:sz w:val="16"/>
          <w:szCs w:val="16"/>
        </w:rPr>
        <w:t>.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79C4A59C" w14:textId="77777777" w:rsidR="002E4110" w:rsidRPr="002E4110" w:rsidRDefault="002E4110" w:rsidP="002E4110">
      <w:pPr>
        <w:rPr>
          <w:lang w:val="en-US"/>
        </w:rPr>
      </w:pPr>
      <w:r w:rsidRPr="002E4110">
        <w:rPr>
          <w:lang w:val="en-US"/>
        </w:rPr>
        <w:lastRenderedPageBreak/>
        <w:t>In 2020, the gap in GDP per capita between large metropolitan and non-large metropolitan regions was 1.619. For reference, the same value for OECD was 1.475. This gap decreased by 0.131 percentage points between 2000 and 2020.</w:t>
      </w:r>
    </w:p>
    <w:p w14:paraId="3E387A06" w14:textId="77777777" w:rsidR="002E4110" w:rsidRPr="002E4110" w:rsidRDefault="002E4110" w:rsidP="002E4110">
      <w:pPr>
        <w:rPr>
          <w:lang w:val="en-US"/>
        </w:rPr>
      </w:pPr>
      <w:r w:rsidRPr="002E4110">
        <w:rPr>
          <w:lang w:val="en-US"/>
        </w:rPr>
        <w:t>Meanwhile, in 2020, the gap in GDP per capita between metropolitan and non-metropolitan regions was 1.281. For reference, the same value for OECD was 1.325. This gap decreased by 0.174 percentage points since 2000.</w:t>
      </w:r>
    </w:p>
    <w:p w14:paraId="4DF87DC8" w14:textId="0BD0BD2C" w:rsidR="00130E6A" w:rsidRDefault="002E4110" w:rsidP="002E4110">
      <w:pPr>
        <w:rPr>
          <w:lang w:val="en-US"/>
        </w:rPr>
      </w:pPr>
      <w:r w:rsidRPr="002E4110">
        <w:rPr>
          <w:lang w:val="en-US"/>
        </w:rPr>
        <w:t>In turn, the gap in GDP per capita between regions near and far a Functional Urban Area (FUA) of more than 250 thousand inhabitants was 1.183 in 2020 and decreased by 0.104 percentage points since 2000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 xml:space="preserve">gap by type of region compared to the OECD </w:t>
      </w:r>
      <w:proofErr w:type="gramStart"/>
      <w:r w:rsidR="00440A61">
        <w:rPr>
          <w:b/>
          <w:bCs/>
          <w:color w:val="4E81BD"/>
        </w:rPr>
        <w:t>average</w:t>
      </w:r>
      <w:proofErr w:type="gramEnd"/>
    </w:p>
    <w:p w14:paraId="0AE7B1A2" w14:textId="4446D9C1" w:rsidR="00993AE2" w:rsidRDefault="00847EB6" w:rsidP="00993AE2">
      <w:r>
        <w:rPr>
          <w:noProof/>
        </w:rPr>
        <w:drawing>
          <wp:inline distT="0" distB="0" distL="0" distR="0" wp14:anchorId="6D1C8898" wp14:editId="187A4BA1">
            <wp:extent cx="5731510" cy="30638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63875"/>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 xml:space="preserve">Far from a FUA&gt;250K includes regions near/with a small FUA and remote regions. OECD mean gap based on 1 586 TL3 regions in 27 countries with available data (no TL3 data for Australia, Canada, Chile, Colombia, Costa Rica, Iceland, Ireland, Israel, Mexico, </w:t>
      </w:r>
      <w:proofErr w:type="gramStart"/>
      <w:r w:rsidR="00440A61" w:rsidRPr="00440A61">
        <w:rPr>
          <w:sz w:val="16"/>
          <w:szCs w:val="16"/>
        </w:rPr>
        <w:t>Luxembourg</w:t>
      </w:r>
      <w:proofErr w:type="gramEnd"/>
      <w:r w:rsidR="00440A61" w:rsidRPr="00440A61">
        <w:rPr>
          <w:sz w:val="16"/>
          <w:szCs w:val="16"/>
        </w:rPr>
        <w:t xml:space="preserve">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7496ED3E" w14:textId="3D398E31" w:rsidR="00993AE2" w:rsidRPr="00993AE2" w:rsidRDefault="00847EB6" w:rsidP="00993AE2">
      <w:pPr>
        <w:rPr>
          <w:lang w:val="en-US"/>
        </w:rPr>
      </w:pPr>
      <w:r w:rsidRPr="00847EB6">
        <w:rPr>
          <w:lang w:val="en-US"/>
        </w:rPr>
        <w:lastRenderedPageBreak/>
        <w:t xml:space="preserve">In Turkey, the gap between the upper and the lower half of regions in terms of </w:t>
      </w:r>
      <w:proofErr w:type="spellStart"/>
      <w:r w:rsidRPr="00847EB6">
        <w:rPr>
          <w:lang w:val="en-US"/>
        </w:rPr>
        <w:t>labour</w:t>
      </w:r>
      <w:proofErr w:type="spellEnd"/>
      <w:r w:rsidRPr="00847EB6">
        <w:rPr>
          <w:lang w:val="en-US"/>
        </w:rPr>
        <w:t xml:space="preserve"> productivity decreased between 2009 and 2019. Over this period </w:t>
      </w:r>
      <w:proofErr w:type="spellStart"/>
      <w:r w:rsidRPr="00847EB6">
        <w:rPr>
          <w:lang w:val="en-US"/>
        </w:rPr>
        <w:t>labour</w:t>
      </w:r>
      <w:proofErr w:type="spellEnd"/>
      <w:r w:rsidRPr="00847EB6">
        <w:rPr>
          <w:lang w:val="en-US"/>
        </w:rPr>
        <w:t xml:space="preserve"> productivity in the upper half of regions grew roughly by 25%, 23 percentage points less than in the lower half of regions. During 2020, the gap continued to narrow. Nevertheless, more years of data are necessary to determine the long-term impact of the COVID-19 pandemic on </w:t>
      </w:r>
      <w:proofErr w:type="spellStart"/>
      <w:r w:rsidRPr="00847EB6">
        <w:rPr>
          <w:lang w:val="en-US"/>
        </w:rPr>
        <w:t>labour</w:t>
      </w:r>
      <w:proofErr w:type="spellEnd"/>
      <w:r w:rsidRPr="00847EB6">
        <w:rPr>
          <w:lang w:val="en-US"/>
        </w:rPr>
        <w:t xml:space="preserve"> productivity gaps in regions</w:t>
      </w:r>
      <w:r w:rsidR="00363D4B">
        <w:rPr>
          <w:lang w:val="en-US"/>
        </w:rPr>
        <w:t>.</w:t>
      </w:r>
    </w:p>
    <w:p w14:paraId="775704A2" w14:textId="70C81E45"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847EB6">
        <w:rPr>
          <w:b/>
          <w:bCs/>
          <w:color w:val="4E81BD"/>
        </w:rPr>
        <w:t>2</w:t>
      </w:r>
      <w:r w:rsidR="00EF66F6" w:rsidRPr="00EF66F6">
        <w:rPr>
          <w:b/>
          <w:bCs/>
          <w:color w:val="4E81BD"/>
        </w:rPr>
        <w:t xml:space="preserve"> OECD regions</w:t>
      </w:r>
    </w:p>
    <w:p w14:paraId="5D2D7421" w14:textId="3675F62E" w:rsidR="00130E6A" w:rsidRDefault="00667187" w:rsidP="00130E6A">
      <w:r>
        <w:rPr>
          <w:noProof/>
        </w:rPr>
        <w:drawing>
          <wp:inline distT="0" distB="0" distL="0" distR="0" wp14:anchorId="667204F2" wp14:editId="25338001">
            <wp:extent cx="5731510" cy="31299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29915"/>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xml:space="preserve">: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w:t>
      </w:r>
      <w:proofErr w:type="gramStart"/>
      <w:r w:rsidRPr="00EF66F6">
        <w:rPr>
          <w:sz w:val="16"/>
          <w:szCs w:val="16"/>
        </w:rPr>
        <w:t>Türkiye</w:t>
      </w:r>
      <w:proofErr w:type="gramEnd"/>
      <w:r w:rsidRPr="00EF66F6">
        <w:rPr>
          <w:sz w:val="16"/>
          <w:szCs w:val="16"/>
        </w:rPr>
        <w:t xml:space="preserv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14E3A595" w:rsidR="00EF66F6" w:rsidRDefault="00DB0F89" w:rsidP="00EF66F6">
      <w:r w:rsidRPr="00DB0F89">
        <w:lastRenderedPageBreak/>
        <w:t xml:space="preserve">Regions where the economic activity shifts towards tradable activities, such as industry and tradable services, tend to grow faster in terms of labour productivity. In Turkey, between 2009 and 2020, the share of workers in the industrial sector went up in regions that used to </w:t>
      </w:r>
      <w:proofErr w:type="gramStart"/>
      <w:r w:rsidRPr="00DB0F89">
        <w:t>be located in</w:t>
      </w:r>
      <w:proofErr w:type="gramEnd"/>
      <w:r w:rsidRPr="00DB0F89">
        <w:t xml:space="preserve"> the lower half of the labour productivity distribution while it remained stable in the rest. At the same time, the share of workers in the tradable services sector went up in all regions but more so in regions that were already in the upper half of the labour productivity distribution. Hence, the evolution of employment shares in the tradable services sector widened the labour productivity gap between regions while the opposite was true for the industrial sector</w:t>
      </w:r>
      <w:r w:rsidR="00F61089" w:rsidRPr="00F61089">
        <w:t>.</w:t>
      </w:r>
    </w:p>
    <w:p w14:paraId="40550EF5" w14:textId="7BD1DC50" w:rsidR="00EF66F6" w:rsidRPr="00EF66F6" w:rsidRDefault="00EF66F6" w:rsidP="00EF66F6">
      <w:pPr>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EE7700">
        <w:rPr>
          <w:b/>
          <w:bCs/>
          <w:color w:val="4E81BD"/>
        </w:rPr>
        <w:t>3</w:t>
      </w:r>
      <w:r w:rsidRPr="00EF66F6">
        <w:rPr>
          <w:b/>
          <w:bCs/>
          <w:color w:val="4E81BD"/>
        </w:rPr>
        <w:t xml:space="preserve"> OE</w:t>
      </w:r>
      <w:r w:rsidR="00EE7700">
        <w:rPr>
          <w:b/>
          <w:bCs/>
          <w:color w:val="4E81BD"/>
        </w:rPr>
        <w:t>CD</w:t>
      </w:r>
      <w:r w:rsidRPr="00EF66F6">
        <w:rPr>
          <w:b/>
          <w:bCs/>
          <w:color w:val="4E81BD"/>
        </w:rPr>
        <w:t xml:space="preserve"> regions</w:t>
      </w:r>
    </w:p>
    <w:p w14:paraId="3707850B" w14:textId="0AD595FD" w:rsidR="00EF66F6" w:rsidRDefault="00DB0F89" w:rsidP="00EF66F6">
      <w:r>
        <w:rPr>
          <w:noProof/>
        </w:rPr>
        <w:drawing>
          <wp:inline distT="0" distB="0" distL="0" distR="0" wp14:anchorId="3EE7B71E" wp14:editId="20D5BFF4">
            <wp:extent cx="5731510" cy="25520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52065"/>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xml:space="preserve">: A region is in the “upper half” if labour productivity was above the country median in the first year with available data and “lower half” if productivity was below the country median. The share of workers </w:t>
      </w:r>
      <w:proofErr w:type="gramStart"/>
      <w:r w:rsidRPr="00EF66F6">
        <w:rPr>
          <w:sz w:val="16"/>
          <w:szCs w:val="16"/>
        </w:rPr>
        <w:t>in a given</w:t>
      </w:r>
      <w:proofErr w:type="gramEnd"/>
      <w:r w:rsidRPr="00EF66F6">
        <w:rPr>
          <w:sz w:val="16"/>
          <w:szCs w:val="16"/>
        </w:rPr>
        <w:t xml:space="preserve"> sector for a group of regions is defined as the sum of employment in that sector within the group divided by the sum of total employment within the group. Regions are small (TL3) regions, except for Australia, Canada, Chile, Ireland, Mexico, Norway, Switzerland, </w:t>
      </w:r>
      <w:proofErr w:type="gramStart"/>
      <w:r w:rsidRPr="00EF66F6">
        <w:rPr>
          <w:sz w:val="16"/>
          <w:szCs w:val="16"/>
        </w:rPr>
        <w:t>Türkiye</w:t>
      </w:r>
      <w:proofErr w:type="gramEnd"/>
      <w:r w:rsidRPr="00EF66F6">
        <w:rPr>
          <w:sz w:val="16"/>
          <w:szCs w:val="16"/>
        </w:rPr>
        <w:t xml:space="preserve"> and the United States where they are large (TL2) regions due to data availability. Industry includes the following tradable goods sectors: Mining and quarrying (B), Manufacturing (C), Electricity, gas, </w:t>
      </w:r>
      <w:proofErr w:type="gramStart"/>
      <w:r w:rsidRPr="00EF66F6">
        <w:rPr>
          <w:sz w:val="16"/>
          <w:szCs w:val="16"/>
        </w:rPr>
        <w:t>steam</w:t>
      </w:r>
      <w:proofErr w:type="gramEnd"/>
      <w:r w:rsidRPr="00EF66F6">
        <w:rPr>
          <w:sz w:val="16"/>
          <w:szCs w:val="16"/>
        </w:rPr>
        <w:t xml:space="preserve"> and air conditioning supply (D) and Water supply; sewerage; waste management and remediation activities (E) NACE macro sectors. Tradable services include Information and communication (J), Financial and insurance activities (K), Real estate activities (L), Professional, </w:t>
      </w:r>
      <w:proofErr w:type="gramStart"/>
      <w:r w:rsidRPr="00EF66F6">
        <w:rPr>
          <w:sz w:val="16"/>
          <w:szCs w:val="16"/>
        </w:rPr>
        <w:t>scientific</w:t>
      </w:r>
      <w:proofErr w:type="gramEnd"/>
      <w:r w:rsidRPr="00EF66F6">
        <w:rPr>
          <w:sz w:val="16"/>
          <w:szCs w:val="16"/>
        </w:rPr>
        <w:t xml:space="preserve">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4A0241FF" w14:textId="77777777" w:rsidR="006666D1" w:rsidRPr="006666D1" w:rsidRDefault="006666D1" w:rsidP="006666D1">
      <w:r w:rsidRPr="006666D1">
        <w:t xml:space="preserve">National Strategy of Regional Development (NSRD) functions as a blueprint for the regional development plans of 26 regional development agencies (DAs), action plans of regional administrations, other national and regional development strategies, the public investment and budgeting process, and specific territorial development programs. </w:t>
      </w:r>
    </w:p>
    <w:p w14:paraId="53AAB412" w14:textId="77777777" w:rsidR="006666D1" w:rsidRPr="006666D1" w:rsidRDefault="006666D1" w:rsidP="006666D1">
      <w:r w:rsidRPr="006666D1">
        <w:t>The new NSRD (2024-2028) is in the preparation phase and its vision is “A globally competitive and fully developed Türkiye by using its local dynamics and prosperous regions.” The elaboration process of the new NSRD involves input, consultation, and negotiation with various stakeholders, including the public and private sectors, NGOs, universities, development agencies (DAs), and local entities. NSRD is intended to serve as the primary coordination document for regional development policies and to be the second comprehensive plan focused on addressing regional development disparities and enhancing regional competitiveness in Türkiye.</w:t>
      </w:r>
    </w:p>
    <w:p w14:paraId="56CAE79C" w14:textId="77777777" w:rsidR="006666D1" w:rsidRPr="006666D1" w:rsidRDefault="006666D1" w:rsidP="006666D1">
      <w:r w:rsidRPr="006666D1">
        <w:t xml:space="preserve">Within the scope of the new NSRD, eight themes have been </w:t>
      </w:r>
      <w:proofErr w:type="gramStart"/>
      <w:r w:rsidRPr="006666D1">
        <w:t>determined;</w:t>
      </w:r>
      <w:proofErr w:type="gramEnd"/>
    </w:p>
    <w:p w14:paraId="41243A0B" w14:textId="77777777" w:rsidR="006666D1" w:rsidRPr="006666D1" w:rsidRDefault="006666D1" w:rsidP="006666D1">
      <w:pPr>
        <w:numPr>
          <w:ilvl w:val="0"/>
          <w:numId w:val="22"/>
        </w:numPr>
      </w:pPr>
      <w:r w:rsidRPr="006666D1">
        <w:lastRenderedPageBreak/>
        <w:t xml:space="preserve">Urban Development, </w:t>
      </w:r>
    </w:p>
    <w:p w14:paraId="25D380D4" w14:textId="77777777" w:rsidR="006666D1" w:rsidRPr="006666D1" w:rsidRDefault="006666D1" w:rsidP="006666D1">
      <w:pPr>
        <w:numPr>
          <w:ilvl w:val="0"/>
          <w:numId w:val="22"/>
        </w:numPr>
      </w:pPr>
      <w:r w:rsidRPr="006666D1">
        <w:t xml:space="preserve">Rural Development, </w:t>
      </w:r>
    </w:p>
    <w:p w14:paraId="3E020DC5" w14:textId="77777777" w:rsidR="006666D1" w:rsidRPr="006666D1" w:rsidRDefault="006666D1" w:rsidP="006666D1">
      <w:pPr>
        <w:numPr>
          <w:ilvl w:val="0"/>
          <w:numId w:val="22"/>
        </w:numPr>
      </w:pPr>
      <w:r w:rsidRPr="006666D1">
        <w:t xml:space="preserve">Social Policies, </w:t>
      </w:r>
    </w:p>
    <w:p w14:paraId="6FD726B7" w14:textId="77777777" w:rsidR="006666D1" w:rsidRPr="006666D1" w:rsidRDefault="006666D1" w:rsidP="006666D1">
      <w:pPr>
        <w:numPr>
          <w:ilvl w:val="0"/>
          <w:numId w:val="22"/>
        </w:numPr>
      </w:pPr>
      <w:r w:rsidRPr="006666D1">
        <w:t xml:space="preserve">Industry-Logistics-Transportation, </w:t>
      </w:r>
    </w:p>
    <w:p w14:paraId="2BF526C1" w14:textId="77777777" w:rsidR="006666D1" w:rsidRPr="006666D1" w:rsidRDefault="006666D1" w:rsidP="006666D1">
      <w:pPr>
        <w:numPr>
          <w:ilvl w:val="0"/>
          <w:numId w:val="22"/>
        </w:numPr>
      </w:pPr>
      <w:r w:rsidRPr="006666D1">
        <w:t xml:space="preserve">Green Growth, </w:t>
      </w:r>
    </w:p>
    <w:p w14:paraId="76DC7FB8" w14:textId="77777777" w:rsidR="006666D1" w:rsidRPr="006666D1" w:rsidRDefault="006666D1" w:rsidP="006666D1">
      <w:pPr>
        <w:numPr>
          <w:ilvl w:val="0"/>
          <w:numId w:val="22"/>
        </w:numPr>
      </w:pPr>
      <w:r w:rsidRPr="006666D1">
        <w:t xml:space="preserve">R&amp;D, </w:t>
      </w:r>
    </w:p>
    <w:p w14:paraId="041CAC3C" w14:textId="77777777" w:rsidR="006666D1" w:rsidRPr="006666D1" w:rsidRDefault="006666D1" w:rsidP="006666D1">
      <w:pPr>
        <w:numPr>
          <w:ilvl w:val="0"/>
          <w:numId w:val="22"/>
        </w:numPr>
      </w:pPr>
      <w:r w:rsidRPr="006666D1">
        <w:t xml:space="preserve">Innovation and Entrepreneurship, </w:t>
      </w:r>
    </w:p>
    <w:p w14:paraId="5B082CF9" w14:textId="77777777" w:rsidR="006666D1" w:rsidRPr="006666D1" w:rsidRDefault="006666D1" w:rsidP="006666D1">
      <w:pPr>
        <w:numPr>
          <w:ilvl w:val="0"/>
          <w:numId w:val="22"/>
        </w:numPr>
      </w:pPr>
      <w:r w:rsidRPr="006666D1">
        <w:t xml:space="preserve">Digitalization and </w:t>
      </w:r>
    </w:p>
    <w:p w14:paraId="63B2289E" w14:textId="77777777" w:rsidR="006666D1" w:rsidRPr="006666D1" w:rsidRDefault="006666D1" w:rsidP="006666D1">
      <w:pPr>
        <w:numPr>
          <w:ilvl w:val="0"/>
          <w:numId w:val="22"/>
        </w:numPr>
      </w:pPr>
      <w:r w:rsidRPr="006666D1">
        <w:t xml:space="preserve">Tourism </w:t>
      </w:r>
    </w:p>
    <w:p w14:paraId="4ED840AD" w14:textId="79A2A7DA" w:rsidR="00130E6A" w:rsidRPr="00130E6A" w:rsidRDefault="006666D1" w:rsidP="00442B3C">
      <w:r w:rsidRPr="006666D1">
        <w:t>Strategies have been developed for the 2024-2028 period under these themes. After undergoing technical evaluations, the strategy will be approved by the Presidency of the Republic of Türkiye</w:t>
      </w:r>
      <w:r w:rsidR="00442B3C">
        <w:t>.</w:t>
      </w:r>
    </w:p>
    <w:p w14:paraId="3499F09A" w14:textId="77777777" w:rsidR="00130E6A" w:rsidRPr="00130E6A" w:rsidRDefault="00130E6A" w:rsidP="00130E6A"/>
    <w:sectPr w:rsidR="00130E6A" w:rsidRPr="00130E6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48231" w14:textId="77777777" w:rsidR="002514D8" w:rsidRDefault="002514D8" w:rsidP="00B0261A">
      <w:r>
        <w:separator/>
      </w:r>
    </w:p>
  </w:endnote>
  <w:endnote w:type="continuationSeparator" w:id="0">
    <w:p w14:paraId="5A9C9E7C" w14:textId="77777777" w:rsidR="002514D8" w:rsidRDefault="002514D8"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FCE99" w14:textId="77777777" w:rsidR="002514D8" w:rsidRDefault="002514D8" w:rsidP="00B0261A">
      <w:r>
        <w:separator/>
      </w:r>
    </w:p>
  </w:footnote>
  <w:footnote w:type="continuationSeparator" w:id="0">
    <w:p w14:paraId="598C1346" w14:textId="77777777" w:rsidR="002514D8" w:rsidRDefault="002514D8"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3"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0"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A5A34AA"/>
    <w:multiLevelType w:val="hybridMultilevel"/>
    <w:tmpl w:val="4F62D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16"/>
  </w:num>
  <w:num w:numId="2" w16cid:durableId="442264828">
    <w:abstractNumId w:val="5"/>
  </w:num>
  <w:num w:numId="3" w16cid:durableId="1036737201">
    <w:abstractNumId w:val="15"/>
  </w:num>
  <w:num w:numId="4" w16cid:durableId="2100321986">
    <w:abstractNumId w:val="11"/>
  </w:num>
  <w:num w:numId="5" w16cid:durableId="200703605">
    <w:abstractNumId w:val="12"/>
  </w:num>
  <w:num w:numId="6" w16cid:durableId="647786490">
    <w:abstractNumId w:val="18"/>
  </w:num>
  <w:num w:numId="7" w16cid:durableId="243229222">
    <w:abstractNumId w:val="19"/>
  </w:num>
  <w:num w:numId="8" w16cid:durableId="343627830">
    <w:abstractNumId w:val="21"/>
  </w:num>
  <w:num w:numId="9" w16cid:durableId="1178739638">
    <w:abstractNumId w:val="9"/>
  </w:num>
  <w:num w:numId="10" w16cid:durableId="1000810014">
    <w:abstractNumId w:val="10"/>
  </w:num>
  <w:num w:numId="11" w16cid:durableId="293869881">
    <w:abstractNumId w:val="7"/>
  </w:num>
  <w:num w:numId="12" w16cid:durableId="1633779472">
    <w:abstractNumId w:val="0"/>
  </w:num>
  <w:num w:numId="13" w16cid:durableId="1394887564">
    <w:abstractNumId w:val="14"/>
  </w:num>
  <w:num w:numId="14" w16cid:durableId="1989936522">
    <w:abstractNumId w:val="1"/>
  </w:num>
  <w:num w:numId="15" w16cid:durableId="828525225">
    <w:abstractNumId w:val="3"/>
  </w:num>
  <w:num w:numId="16" w16cid:durableId="91363023">
    <w:abstractNumId w:val="8"/>
  </w:num>
  <w:num w:numId="17" w16cid:durableId="1053239916">
    <w:abstractNumId w:val="4"/>
  </w:num>
  <w:num w:numId="18" w16cid:durableId="863639562">
    <w:abstractNumId w:val="2"/>
  </w:num>
  <w:num w:numId="19" w16cid:durableId="1803618516">
    <w:abstractNumId w:val="13"/>
  </w:num>
  <w:num w:numId="20" w16cid:durableId="1712918437">
    <w:abstractNumId w:val="6"/>
  </w:num>
  <w:num w:numId="21" w16cid:durableId="1776099911">
    <w:abstractNumId w:val="17"/>
  </w:num>
  <w:num w:numId="22" w16cid:durableId="86201345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02290D"/>
    <w:rsid w:val="00061874"/>
    <w:rsid w:val="00106D54"/>
    <w:rsid w:val="00130E6A"/>
    <w:rsid w:val="00137DF2"/>
    <w:rsid w:val="001F15FE"/>
    <w:rsid w:val="0022593F"/>
    <w:rsid w:val="002514D8"/>
    <w:rsid w:val="002932C5"/>
    <w:rsid w:val="002D46F5"/>
    <w:rsid w:val="002E4110"/>
    <w:rsid w:val="002F53E2"/>
    <w:rsid w:val="00304085"/>
    <w:rsid w:val="00317D07"/>
    <w:rsid w:val="00330C8E"/>
    <w:rsid w:val="00363D4B"/>
    <w:rsid w:val="003942E7"/>
    <w:rsid w:val="00415A0D"/>
    <w:rsid w:val="00423248"/>
    <w:rsid w:val="0042788E"/>
    <w:rsid w:val="00427B70"/>
    <w:rsid w:val="00440A61"/>
    <w:rsid w:val="00442B3C"/>
    <w:rsid w:val="00475017"/>
    <w:rsid w:val="004D79BD"/>
    <w:rsid w:val="004E2635"/>
    <w:rsid w:val="004E3228"/>
    <w:rsid w:val="00616A18"/>
    <w:rsid w:val="00616F61"/>
    <w:rsid w:val="006666D1"/>
    <w:rsid w:val="00667187"/>
    <w:rsid w:val="006B4ECA"/>
    <w:rsid w:val="006C7C5E"/>
    <w:rsid w:val="0071794A"/>
    <w:rsid w:val="007651C5"/>
    <w:rsid w:val="0077321C"/>
    <w:rsid w:val="00781257"/>
    <w:rsid w:val="007C6BE8"/>
    <w:rsid w:val="007D4DD7"/>
    <w:rsid w:val="007D63ED"/>
    <w:rsid w:val="0080379C"/>
    <w:rsid w:val="00810830"/>
    <w:rsid w:val="00821B89"/>
    <w:rsid w:val="00847EB6"/>
    <w:rsid w:val="0088034F"/>
    <w:rsid w:val="008E48C7"/>
    <w:rsid w:val="0090630C"/>
    <w:rsid w:val="0094042B"/>
    <w:rsid w:val="00953666"/>
    <w:rsid w:val="009728D5"/>
    <w:rsid w:val="00993AE2"/>
    <w:rsid w:val="009B7678"/>
    <w:rsid w:val="009C0325"/>
    <w:rsid w:val="009D01B2"/>
    <w:rsid w:val="009F3217"/>
    <w:rsid w:val="00A14CFB"/>
    <w:rsid w:val="00A31747"/>
    <w:rsid w:val="00A94AEA"/>
    <w:rsid w:val="00AE0372"/>
    <w:rsid w:val="00B0261A"/>
    <w:rsid w:val="00C37A91"/>
    <w:rsid w:val="00C46A24"/>
    <w:rsid w:val="00C74CCF"/>
    <w:rsid w:val="00C91C46"/>
    <w:rsid w:val="00D02557"/>
    <w:rsid w:val="00D17268"/>
    <w:rsid w:val="00D30A81"/>
    <w:rsid w:val="00D354B7"/>
    <w:rsid w:val="00DB0F89"/>
    <w:rsid w:val="00DD7B45"/>
    <w:rsid w:val="00E00B59"/>
    <w:rsid w:val="00E1409A"/>
    <w:rsid w:val="00E35041"/>
    <w:rsid w:val="00EE7700"/>
    <w:rsid w:val="00EF5E68"/>
    <w:rsid w:val="00EF66F6"/>
    <w:rsid w:val="00F341DB"/>
    <w:rsid w:val="00F37D0C"/>
    <w:rsid w:val="00F61089"/>
    <w:rsid w:val="00F66C99"/>
    <w:rsid w:val="00F9332E"/>
    <w:rsid w:val="00FA40FC"/>
    <w:rsid w:val="00FD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454410">
      <w:bodyDiv w:val="1"/>
      <w:marLeft w:val="0"/>
      <w:marRight w:val="0"/>
      <w:marTop w:val="0"/>
      <w:marBottom w:val="0"/>
      <w:divBdr>
        <w:top w:val="none" w:sz="0" w:space="0" w:color="auto"/>
        <w:left w:val="none" w:sz="0" w:space="0" w:color="auto"/>
        <w:bottom w:val="none" w:sz="0" w:space="0" w:color="auto"/>
        <w:right w:val="none" w:sz="0" w:space="0" w:color="auto"/>
      </w:divBdr>
    </w:div>
    <w:div w:id="843663646">
      <w:bodyDiv w:val="1"/>
      <w:marLeft w:val="0"/>
      <w:marRight w:val="0"/>
      <w:marTop w:val="0"/>
      <w:marBottom w:val="0"/>
      <w:divBdr>
        <w:top w:val="none" w:sz="0" w:space="0" w:color="auto"/>
        <w:left w:val="none" w:sz="0" w:space="0" w:color="auto"/>
        <w:bottom w:val="none" w:sz="0" w:space="0" w:color="auto"/>
        <w:right w:val="none" w:sz="0" w:space="0" w:color="auto"/>
      </w:divBdr>
    </w:div>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642879746">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1739</Words>
  <Characters>10228</Characters>
  <Application>Microsoft Office Word</Application>
  <DocSecurity>0</DocSecurity>
  <Lines>222</Lines>
  <Paragraphs>147</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11</cp:revision>
  <cp:lastPrinted>2023-11-06T10:10:00Z</cp:lastPrinted>
  <dcterms:created xsi:type="dcterms:W3CDTF">2023-11-07T16:39:00Z</dcterms:created>
  <dcterms:modified xsi:type="dcterms:W3CDTF">2023-11-07T17:10:00Z</dcterms:modified>
</cp:coreProperties>
</file>