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BCE8" w14:textId="77777777" w:rsidR="000A6AB9" w:rsidRPr="00956879" w:rsidRDefault="00100973">
      <w:pPr>
        <w:pStyle w:val="Title"/>
        <w:spacing w:after="960"/>
        <w:rPr>
          <w:lang w:val="en-US"/>
        </w:rPr>
      </w:pPr>
      <w:bookmarkStart w:id="0" w:name="_Hlk126242151"/>
      <w:r w:rsidRPr="00956879">
        <w:rPr>
          <w:lang w:val="en-US"/>
        </w:rPr>
        <w:t>COSTA RICA</w:t>
      </w:r>
    </w:p>
    <w:p w14:paraId="73A8E240" w14:textId="77777777" w:rsidR="000A6AB9" w:rsidRPr="00956879" w:rsidRDefault="00100973">
      <w:pPr>
        <w:keepNext/>
        <w:widowControl/>
        <w:pBdr>
          <w:top w:val="nil"/>
          <w:left w:val="nil"/>
          <w:bottom w:val="nil"/>
          <w:right w:val="nil"/>
          <w:between w:val="nil"/>
        </w:pBdr>
        <w:spacing w:before="360" w:after="240" w:line="320" w:lineRule="auto"/>
        <w:jc w:val="left"/>
        <w:rPr>
          <w:b/>
          <w:color w:val="4E81BD"/>
          <w:sz w:val="24"/>
          <w:szCs w:val="24"/>
          <w:lang w:val="en-US"/>
        </w:rPr>
      </w:pPr>
      <w:r w:rsidRPr="00956879">
        <w:rPr>
          <w:b/>
          <w:color w:val="4E81BD"/>
          <w:sz w:val="24"/>
          <w:szCs w:val="24"/>
          <w:lang w:val="en-US"/>
        </w:rPr>
        <w:t>Overview</w:t>
      </w:r>
    </w:p>
    <w:tbl>
      <w:tblPr>
        <w:tblStyle w:val="a0"/>
        <w:tblW w:w="9214" w:type="dxa"/>
        <w:jc w:val="center"/>
        <w:tblInd w:w="0" w:type="dxa"/>
        <w:tblBorders>
          <w:top w:val="single" w:sz="12" w:space="0" w:color="4E81BD"/>
          <w:left w:val="single" w:sz="4" w:space="0" w:color="000000"/>
          <w:bottom w:val="single" w:sz="12" w:space="0" w:color="4E81BD"/>
          <w:right w:val="single" w:sz="4" w:space="0" w:color="000000"/>
          <w:insideH w:val="single" w:sz="6" w:space="0" w:color="BFBFBF"/>
          <w:insideV w:val="single" w:sz="6" w:space="0" w:color="BFBFBF"/>
        </w:tblBorders>
        <w:tblLayout w:type="fixed"/>
        <w:tblLook w:val="0420" w:firstRow="1" w:lastRow="0" w:firstColumn="0" w:lastColumn="0" w:noHBand="0" w:noVBand="1"/>
      </w:tblPr>
      <w:tblGrid>
        <w:gridCol w:w="3119"/>
        <w:gridCol w:w="6095"/>
      </w:tblGrid>
      <w:tr w:rsidR="000A6AB9" w:rsidRPr="001559AE" w14:paraId="751BFF26" w14:textId="77777777" w:rsidTr="001559AE">
        <w:trPr>
          <w:cnfStyle w:val="100000000000" w:firstRow="1" w:lastRow="0" w:firstColumn="0" w:lastColumn="0" w:oddVBand="0" w:evenVBand="0" w:oddHBand="0" w:evenHBand="0" w:firstRowFirstColumn="0" w:firstRowLastColumn="0" w:lastRowFirstColumn="0" w:lastRowLastColumn="0"/>
          <w:trHeight w:val="238"/>
          <w:jc w:val="center"/>
        </w:trPr>
        <w:tc>
          <w:tcPr>
            <w:tcW w:w="3119" w:type="dxa"/>
            <w:tcBorders>
              <w:top w:val="single" w:sz="12" w:space="0" w:color="4E81BD"/>
              <w:left w:val="nil"/>
            </w:tcBorders>
          </w:tcPr>
          <w:p w14:paraId="678CD3C4" w14:textId="0D1884CC"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 xml:space="preserve">Population and territory </w:t>
            </w:r>
          </w:p>
        </w:tc>
        <w:tc>
          <w:tcPr>
            <w:tcW w:w="6095" w:type="dxa"/>
            <w:tcBorders>
              <w:top w:val="single" w:sz="12" w:space="0" w:color="4E81BD"/>
              <w:right w:val="nil"/>
            </w:tcBorders>
          </w:tcPr>
          <w:p w14:paraId="20A500CA" w14:textId="55A6BE3E" w:rsidR="0096453E" w:rsidRPr="00956879" w:rsidRDefault="006B71BC" w:rsidP="001559AE">
            <w:pPr>
              <w:widowControl/>
              <w:pBdr>
                <w:top w:val="nil"/>
                <w:left w:val="nil"/>
                <w:bottom w:val="nil"/>
                <w:right w:val="nil"/>
                <w:between w:val="nil"/>
              </w:pBdr>
              <w:jc w:val="left"/>
              <w:rPr>
                <w:color w:val="000000"/>
                <w:sz w:val="20"/>
                <w:szCs w:val="20"/>
                <w:lang w:val="en-US"/>
              </w:rPr>
            </w:pPr>
            <w:r w:rsidRPr="006B71BC">
              <w:rPr>
                <w:color w:val="000000"/>
                <w:sz w:val="20"/>
                <w:szCs w:val="20"/>
                <w:lang w:val="en-US"/>
              </w:rPr>
              <w:t xml:space="preserve">5,044,197 </w:t>
            </w:r>
            <w:r w:rsidR="00100973" w:rsidRPr="00956879">
              <w:rPr>
                <w:color w:val="000000"/>
                <w:sz w:val="20"/>
                <w:szCs w:val="20"/>
                <w:lang w:val="en-US"/>
              </w:rPr>
              <w:t>(202</w:t>
            </w:r>
            <w:r>
              <w:rPr>
                <w:color w:val="000000"/>
                <w:sz w:val="20"/>
                <w:szCs w:val="20"/>
                <w:lang w:val="en-US"/>
              </w:rPr>
              <w:t>2</w:t>
            </w:r>
            <w:r w:rsidR="00100973" w:rsidRPr="00956879">
              <w:rPr>
                <w:color w:val="000000"/>
                <w:sz w:val="20"/>
                <w:szCs w:val="20"/>
                <w:lang w:val="en-US"/>
              </w:rPr>
              <w:t>)</w:t>
            </w:r>
            <w:r w:rsidR="001559AE">
              <w:rPr>
                <w:color w:val="000000"/>
                <w:sz w:val="20"/>
                <w:szCs w:val="20"/>
                <w:lang w:val="en-US"/>
              </w:rPr>
              <w:t xml:space="preserve">, </w:t>
            </w:r>
            <w:r w:rsidR="00100973" w:rsidRPr="00956879">
              <w:rPr>
                <w:color w:val="000000"/>
                <w:sz w:val="20"/>
                <w:szCs w:val="20"/>
                <w:lang w:val="en-US"/>
              </w:rPr>
              <w:t>51.100 km2</w:t>
            </w:r>
          </w:p>
        </w:tc>
      </w:tr>
      <w:tr w:rsidR="000A6AB9" w:rsidRPr="00956879" w14:paraId="7C8908AB" w14:textId="77777777" w:rsidTr="001559AE">
        <w:trPr>
          <w:trHeight w:val="238"/>
          <w:jc w:val="center"/>
        </w:trPr>
        <w:tc>
          <w:tcPr>
            <w:tcW w:w="3119" w:type="dxa"/>
            <w:tcBorders>
              <w:left w:val="nil"/>
            </w:tcBorders>
          </w:tcPr>
          <w:p w14:paraId="4E1856BB"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 xml:space="preserve">Administrative structure </w:t>
            </w:r>
            <w:r w:rsidRPr="00956879">
              <w:rPr>
                <w:i/>
                <w:color w:val="000000"/>
                <w:sz w:val="20"/>
                <w:szCs w:val="20"/>
                <w:lang w:val="en-US"/>
              </w:rPr>
              <w:t>(unitary/federal)</w:t>
            </w:r>
          </w:p>
        </w:tc>
        <w:tc>
          <w:tcPr>
            <w:tcW w:w="6095" w:type="dxa"/>
            <w:tcBorders>
              <w:right w:val="nil"/>
            </w:tcBorders>
          </w:tcPr>
          <w:p w14:paraId="16C41C94"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Unitary</w:t>
            </w:r>
          </w:p>
        </w:tc>
      </w:tr>
      <w:tr w:rsidR="000A6AB9" w:rsidRPr="00956879" w14:paraId="6020B150" w14:textId="77777777" w:rsidTr="001559AE">
        <w:trPr>
          <w:trHeight w:val="238"/>
          <w:jc w:val="center"/>
        </w:trPr>
        <w:tc>
          <w:tcPr>
            <w:tcW w:w="3119" w:type="dxa"/>
            <w:tcBorders>
              <w:left w:val="nil"/>
            </w:tcBorders>
          </w:tcPr>
          <w:p w14:paraId="301E7D16" w14:textId="77777777" w:rsidR="000A6AB9" w:rsidRPr="00956879" w:rsidRDefault="00100973">
            <w:pPr>
              <w:widowControl/>
              <w:pBdr>
                <w:top w:val="nil"/>
                <w:left w:val="nil"/>
                <w:bottom w:val="nil"/>
                <w:right w:val="nil"/>
                <w:between w:val="nil"/>
              </w:pBdr>
              <w:jc w:val="right"/>
              <w:rPr>
                <w:color w:val="000000"/>
                <w:sz w:val="20"/>
                <w:szCs w:val="20"/>
                <w:lang w:val="en-US"/>
              </w:rPr>
            </w:pPr>
            <w:r w:rsidRPr="00956879">
              <w:rPr>
                <w:color w:val="000000"/>
                <w:sz w:val="20"/>
                <w:szCs w:val="20"/>
                <w:lang w:val="en-US"/>
              </w:rPr>
              <w:t xml:space="preserve">Regional or state-level governments </w:t>
            </w:r>
            <w:r w:rsidRPr="00956879">
              <w:rPr>
                <w:i/>
                <w:color w:val="000000"/>
                <w:sz w:val="20"/>
                <w:szCs w:val="20"/>
                <w:lang w:val="en-US"/>
              </w:rPr>
              <w:t>(number)</w:t>
            </w:r>
          </w:p>
        </w:tc>
        <w:tc>
          <w:tcPr>
            <w:tcW w:w="6095" w:type="dxa"/>
            <w:tcBorders>
              <w:right w:val="nil"/>
            </w:tcBorders>
          </w:tcPr>
          <w:p w14:paraId="1CB17D4D"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6 planning regions (without government)</w:t>
            </w:r>
          </w:p>
        </w:tc>
      </w:tr>
      <w:tr w:rsidR="000A6AB9" w:rsidRPr="00956879" w14:paraId="2BDCC140" w14:textId="77777777" w:rsidTr="001559AE">
        <w:trPr>
          <w:trHeight w:val="238"/>
          <w:jc w:val="center"/>
        </w:trPr>
        <w:tc>
          <w:tcPr>
            <w:tcW w:w="3119" w:type="dxa"/>
            <w:tcBorders>
              <w:left w:val="nil"/>
            </w:tcBorders>
          </w:tcPr>
          <w:p w14:paraId="613F28B2" w14:textId="77777777" w:rsidR="000A6AB9" w:rsidRPr="00956879" w:rsidRDefault="00100973">
            <w:pPr>
              <w:widowControl/>
              <w:pBdr>
                <w:top w:val="nil"/>
                <w:left w:val="nil"/>
                <w:bottom w:val="nil"/>
                <w:right w:val="nil"/>
                <w:between w:val="nil"/>
              </w:pBdr>
              <w:jc w:val="right"/>
              <w:rPr>
                <w:color w:val="000000"/>
                <w:sz w:val="20"/>
                <w:szCs w:val="20"/>
                <w:lang w:val="en-US"/>
              </w:rPr>
            </w:pPr>
            <w:r w:rsidRPr="00956879">
              <w:rPr>
                <w:color w:val="000000"/>
                <w:sz w:val="20"/>
                <w:szCs w:val="20"/>
                <w:lang w:val="en-US"/>
              </w:rPr>
              <w:t xml:space="preserve">Intermediate-level governments </w:t>
            </w:r>
            <w:r w:rsidRPr="00956879">
              <w:rPr>
                <w:i/>
                <w:color w:val="000000"/>
                <w:sz w:val="20"/>
                <w:szCs w:val="20"/>
                <w:lang w:val="en-US"/>
              </w:rPr>
              <w:t>(number)</w:t>
            </w:r>
          </w:p>
        </w:tc>
        <w:tc>
          <w:tcPr>
            <w:tcW w:w="6095" w:type="dxa"/>
            <w:tcBorders>
              <w:right w:val="nil"/>
            </w:tcBorders>
          </w:tcPr>
          <w:p w14:paraId="4F091E50"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29 rural territories (without government)</w:t>
            </w:r>
          </w:p>
        </w:tc>
      </w:tr>
      <w:tr w:rsidR="000A6AB9" w:rsidRPr="00956879" w14:paraId="6AC08FDF" w14:textId="77777777" w:rsidTr="001559AE">
        <w:trPr>
          <w:trHeight w:val="238"/>
          <w:jc w:val="center"/>
        </w:trPr>
        <w:tc>
          <w:tcPr>
            <w:tcW w:w="3119" w:type="dxa"/>
            <w:tcBorders>
              <w:left w:val="nil"/>
            </w:tcBorders>
          </w:tcPr>
          <w:p w14:paraId="4EEE7417" w14:textId="77777777" w:rsidR="000A6AB9" w:rsidRPr="00956879" w:rsidRDefault="00100973">
            <w:pPr>
              <w:widowControl/>
              <w:pBdr>
                <w:top w:val="nil"/>
                <w:left w:val="nil"/>
                <w:bottom w:val="nil"/>
                <w:right w:val="nil"/>
                <w:between w:val="nil"/>
              </w:pBdr>
              <w:jc w:val="right"/>
              <w:rPr>
                <w:color w:val="000000"/>
                <w:sz w:val="20"/>
                <w:szCs w:val="20"/>
                <w:lang w:val="en-US"/>
              </w:rPr>
            </w:pPr>
            <w:r w:rsidRPr="00956879">
              <w:rPr>
                <w:color w:val="000000"/>
                <w:sz w:val="20"/>
                <w:szCs w:val="20"/>
                <w:lang w:val="en-US"/>
              </w:rPr>
              <w:t xml:space="preserve">Municipal-level governments </w:t>
            </w:r>
            <w:r w:rsidRPr="00956879">
              <w:rPr>
                <w:i/>
                <w:color w:val="000000"/>
                <w:sz w:val="20"/>
                <w:szCs w:val="20"/>
                <w:lang w:val="en-US"/>
              </w:rPr>
              <w:t>(number)</w:t>
            </w:r>
          </w:p>
        </w:tc>
        <w:tc>
          <w:tcPr>
            <w:tcW w:w="6095" w:type="dxa"/>
            <w:tcBorders>
              <w:right w:val="nil"/>
            </w:tcBorders>
          </w:tcPr>
          <w:p w14:paraId="2CE866E8"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84 cantons</w:t>
            </w:r>
          </w:p>
        </w:tc>
      </w:tr>
      <w:tr w:rsidR="000A6AB9" w:rsidRPr="00956879" w14:paraId="6893B3C3" w14:textId="77777777" w:rsidTr="001559AE">
        <w:trPr>
          <w:trHeight w:val="238"/>
          <w:jc w:val="center"/>
        </w:trPr>
        <w:tc>
          <w:tcPr>
            <w:tcW w:w="3119" w:type="dxa"/>
            <w:tcBorders>
              <w:left w:val="nil"/>
            </w:tcBorders>
          </w:tcPr>
          <w:p w14:paraId="785C43B0" w14:textId="1C4F2566"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Share of subnational government in total expenditure/revenues</w:t>
            </w:r>
            <w:r w:rsidR="00BA0040">
              <w:rPr>
                <w:color w:val="000000"/>
                <w:sz w:val="20"/>
                <w:szCs w:val="20"/>
                <w:lang w:val="en-US"/>
              </w:rPr>
              <w:t xml:space="preserve"> (2021)</w:t>
            </w:r>
          </w:p>
        </w:tc>
        <w:tc>
          <w:tcPr>
            <w:tcW w:w="6095" w:type="dxa"/>
            <w:tcBorders>
              <w:right w:val="nil"/>
            </w:tcBorders>
          </w:tcPr>
          <w:p w14:paraId="5F87A7CF" w14:textId="68597BA1" w:rsidR="00BA0040" w:rsidRPr="00BA0040" w:rsidRDefault="00BA0040" w:rsidP="00BA0040">
            <w:pPr>
              <w:widowControl/>
              <w:jc w:val="left"/>
              <w:rPr>
                <w:color w:val="auto"/>
                <w:sz w:val="20"/>
              </w:rPr>
            </w:pPr>
            <w:r>
              <w:rPr>
                <w:color w:val="auto"/>
                <w:sz w:val="20"/>
              </w:rPr>
              <w:t>3.8</w:t>
            </w:r>
            <w:r w:rsidRPr="00BA0040">
              <w:rPr>
                <w:color w:val="auto"/>
                <w:sz w:val="20"/>
              </w:rPr>
              <w:t>% of total expenditure</w:t>
            </w:r>
          </w:p>
          <w:p w14:paraId="723D9B0B" w14:textId="435A8ABE" w:rsidR="00BA0040" w:rsidRPr="00BA0040" w:rsidRDefault="00BA0040" w:rsidP="00BA0040">
            <w:pPr>
              <w:widowControl/>
              <w:jc w:val="left"/>
              <w:rPr>
                <w:color w:val="auto"/>
                <w:sz w:val="20"/>
              </w:rPr>
            </w:pPr>
            <w:r w:rsidRPr="00BA0040">
              <w:rPr>
                <w:color w:val="auto"/>
                <w:sz w:val="20"/>
              </w:rPr>
              <w:t>4.</w:t>
            </w:r>
            <w:r>
              <w:rPr>
                <w:color w:val="auto"/>
                <w:sz w:val="20"/>
              </w:rPr>
              <w:t>2</w:t>
            </w:r>
            <w:r w:rsidRPr="00BA0040">
              <w:rPr>
                <w:color w:val="auto"/>
                <w:sz w:val="20"/>
              </w:rPr>
              <w:t>% of total revenues</w:t>
            </w:r>
          </w:p>
          <w:p w14:paraId="4071F5F3" w14:textId="77777777" w:rsidR="00BA0040" w:rsidRPr="00BA0040" w:rsidRDefault="00BA0040" w:rsidP="00BA0040">
            <w:pPr>
              <w:widowControl/>
              <w:jc w:val="left"/>
              <w:rPr>
                <w:color w:val="auto"/>
                <w:sz w:val="20"/>
              </w:rPr>
            </w:pPr>
          </w:p>
          <w:p w14:paraId="069DA370" w14:textId="6EF535FA" w:rsidR="000A6AB9" w:rsidRPr="00956879" w:rsidRDefault="00BA0040" w:rsidP="00BA0040">
            <w:pPr>
              <w:pBdr>
                <w:top w:val="nil"/>
                <w:left w:val="nil"/>
                <w:bottom w:val="nil"/>
                <w:right w:val="nil"/>
                <w:between w:val="nil"/>
              </w:pBdr>
              <w:jc w:val="left"/>
              <w:rPr>
                <w:color w:val="000000"/>
                <w:sz w:val="20"/>
                <w:szCs w:val="20"/>
                <w:lang w:val="en-US"/>
              </w:rPr>
            </w:pPr>
            <w:r w:rsidRPr="00BA0040">
              <w:rPr>
                <w:color w:val="auto"/>
                <w:sz w:val="20"/>
              </w:rPr>
              <w:t>[Source</w:t>
            </w:r>
            <w:r w:rsidRPr="00951EED">
              <w:rPr>
                <w:sz w:val="20"/>
              </w:rPr>
              <w:t xml:space="preserve">: </w:t>
            </w:r>
            <w:hyperlink r:id="rId14" w:history="1">
              <w:r w:rsidRPr="00951EED">
                <w:rPr>
                  <w:rStyle w:val="Hyperlink"/>
                  <w:sz w:val="20"/>
                </w:rPr>
                <w:t>Subnational governments in OECD countries: key data, 2023 edition</w:t>
              </w:r>
            </w:hyperlink>
            <w:r w:rsidRPr="00951EED">
              <w:rPr>
                <w:sz w:val="20"/>
              </w:rPr>
              <w:t>]</w:t>
            </w:r>
          </w:p>
        </w:tc>
      </w:tr>
      <w:tr w:rsidR="000A6AB9" w:rsidRPr="00956879" w14:paraId="25422B78" w14:textId="77777777" w:rsidTr="001559AE">
        <w:trPr>
          <w:trHeight w:val="238"/>
          <w:jc w:val="center"/>
        </w:trPr>
        <w:tc>
          <w:tcPr>
            <w:tcW w:w="3119" w:type="dxa"/>
            <w:tcBorders>
              <w:left w:val="nil"/>
            </w:tcBorders>
          </w:tcPr>
          <w:p w14:paraId="056422E6"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Key regional development challenges</w:t>
            </w:r>
          </w:p>
        </w:tc>
        <w:tc>
          <w:tcPr>
            <w:tcW w:w="6095" w:type="dxa"/>
            <w:tcBorders>
              <w:right w:val="nil"/>
            </w:tcBorders>
          </w:tcPr>
          <w:p w14:paraId="6D9B89F9" w14:textId="2FA2B542" w:rsidR="000A6AB9" w:rsidRPr="00956879" w:rsidRDefault="00142517">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Significant </w:t>
            </w:r>
            <w:r w:rsidR="00100973" w:rsidRPr="00956879">
              <w:rPr>
                <w:color w:val="000000"/>
                <w:sz w:val="20"/>
                <w:szCs w:val="20"/>
                <w:lang w:val="en-US"/>
              </w:rPr>
              <w:t>centralism</w:t>
            </w:r>
            <w:r w:rsidR="004E7F75" w:rsidRPr="00956879">
              <w:rPr>
                <w:color w:val="000000"/>
                <w:sz w:val="20"/>
                <w:szCs w:val="20"/>
                <w:lang w:val="en-US"/>
              </w:rPr>
              <w:t>.</w:t>
            </w:r>
          </w:p>
          <w:p w14:paraId="03090D0C" w14:textId="4BE1C72C" w:rsidR="000A6AB9" w:rsidRPr="00956879" w:rsidRDefault="00142517">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Significant </w:t>
            </w:r>
            <w:r w:rsidR="00100973" w:rsidRPr="00956879">
              <w:rPr>
                <w:color w:val="000000"/>
                <w:sz w:val="20"/>
                <w:szCs w:val="20"/>
                <w:lang w:val="en-US"/>
              </w:rPr>
              <w:t>concentration of economic activity in the Great Metropolitan Area</w:t>
            </w:r>
            <w:r w:rsidR="004E7F75" w:rsidRPr="00956879">
              <w:rPr>
                <w:color w:val="000000"/>
                <w:sz w:val="20"/>
                <w:szCs w:val="20"/>
                <w:lang w:val="en-US"/>
              </w:rPr>
              <w:t>.</w:t>
            </w:r>
          </w:p>
          <w:p w14:paraId="0D4634F1" w14:textId="137C0EB4" w:rsidR="000A6AB9" w:rsidRPr="00956879" w:rsidRDefault="00142517">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D</w:t>
            </w:r>
            <w:r w:rsidR="003917A5" w:rsidRPr="00956879">
              <w:rPr>
                <w:color w:val="000000"/>
                <w:sz w:val="20"/>
                <w:szCs w:val="20"/>
                <w:lang w:val="en-US"/>
              </w:rPr>
              <w:t xml:space="preserve">evelopment of </w:t>
            </w:r>
            <w:r w:rsidR="00100973" w:rsidRPr="00956879">
              <w:rPr>
                <w:color w:val="000000"/>
                <w:sz w:val="20"/>
                <w:szCs w:val="20"/>
                <w:lang w:val="en-US"/>
              </w:rPr>
              <w:t>a National Regional Development Policy that differentiate</w:t>
            </w:r>
            <w:r w:rsidR="003917A5" w:rsidRPr="00956879">
              <w:rPr>
                <w:color w:val="000000"/>
                <w:sz w:val="20"/>
                <w:szCs w:val="20"/>
                <w:lang w:val="en-US"/>
              </w:rPr>
              <w:t>s</w:t>
            </w:r>
            <w:r w:rsidR="00100973" w:rsidRPr="00956879">
              <w:rPr>
                <w:color w:val="000000"/>
                <w:sz w:val="20"/>
                <w:szCs w:val="20"/>
                <w:lang w:val="en-US"/>
              </w:rPr>
              <w:t xml:space="preserve"> public policies by region.</w:t>
            </w:r>
          </w:p>
          <w:p w14:paraId="5969C224" w14:textId="74E13A75"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Regionalization of the national budget</w:t>
            </w:r>
            <w:r w:rsidR="004E7F75" w:rsidRPr="00956879">
              <w:rPr>
                <w:color w:val="000000"/>
                <w:sz w:val="20"/>
                <w:szCs w:val="20"/>
                <w:lang w:val="en-US"/>
              </w:rPr>
              <w:t>.</w:t>
            </w:r>
          </w:p>
          <w:p w14:paraId="4949BF93" w14:textId="7F8C83ED"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 xml:space="preserve">Assignment of a permanent </w:t>
            </w:r>
            <w:r w:rsidR="00CA36B8" w:rsidRPr="00956879">
              <w:rPr>
                <w:color w:val="000000"/>
                <w:sz w:val="20"/>
                <w:szCs w:val="20"/>
                <w:lang w:val="en-US"/>
              </w:rPr>
              <w:t xml:space="preserve">funding </w:t>
            </w:r>
            <w:r w:rsidRPr="00956879">
              <w:rPr>
                <w:color w:val="000000"/>
                <w:sz w:val="20"/>
                <w:szCs w:val="20"/>
                <w:lang w:val="en-US"/>
              </w:rPr>
              <w:t>source for the Regional Development Fund</w:t>
            </w:r>
            <w:r w:rsidR="004E7F75" w:rsidRPr="00956879">
              <w:rPr>
                <w:color w:val="000000"/>
                <w:sz w:val="20"/>
                <w:szCs w:val="20"/>
                <w:lang w:val="en-US"/>
              </w:rPr>
              <w:t>.</w:t>
            </w:r>
          </w:p>
          <w:p w14:paraId="4C9DFC41" w14:textId="77777777" w:rsidR="000A6AB9" w:rsidRPr="00956879" w:rsidRDefault="00100973">
            <w:pPr>
              <w:pBdr>
                <w:top w:val="nil"/>
                <w:left w:val="nil"/>
                <w:bottom w:val="nil"/>
                <w:right w:val="nil"/>
                <w:between w:val="nil"/>
              </w:pBdr>
              <w:ind w:left="-53"/>
              <w:jc w:val="left"/>
              <w:rPr>
                <w:color w:val="000000"/>
                <w:sz w:val="20"/>
                <w:szCs w:val="20"/>
                <w:lang w:val="en-US"/>
              </w:rPr>
            </w:pPr>
            <w:r w:rsidRPr="00956879">
              <w:rPr>
                <w:color w:val="000000"/>
                <w:sz w:val="20"/>
                <w:szCs w:val="20"/>
                <w:lang w:val="en-US"/>
              </w:rPr>
              <w:t>• Updat</w:t>
            </w:r>
            <w:r w:rsidR="003917A5" w:rsidRPr="00956879">
              <w:rPr>
                <w:color w:val="000000"/>
                <w:sz w:val="20"/>
                <w:szCs w:val="20"/>
                <w:lang w:val="en-US"/>
              </w:rPr>
              <w:t>e</w:t>
            </w:r>
            <w:r w:rsidRPr="00956879">
              <w:rPr>
                <w:color w:val="000000"/>
                <w:sz w:val="20"/>
                <w:szCs w:val="20"/>
                <w:lang w:val="en-US"/>
              </w:rPr>
              <w:t xml:space="preserve"> the regionalization</w:t>
            </w:r>
            <w:r w:rsidR="003917A5" w:rsidRPr="00956879">
              <w:rPr>
                <w:color w:val="000000"/>
                <w:sz w:val="20"/>
                <w:szCs w:val="20"/>
                <w:lang w:val="en-US"/>
              </w:rPr>
              <w:t xml:space="preserve"> scheme</w:t>
            </w:r>
            <w:r w:rsidRPr="00956879">
              <w:rPr>
                <w:color w:val="000000"/>
                <w:sz w:val="20"/>
                <w:szCs w:val="20"/>
                <w:lang w:val="en-US"/>
              </w:rPr>
              <w:t xml:space="preserve"> of the country </w:t>
            </w:r>
            <w:r w:rsidR="00142517" w:rsidRPr="00956879">
              <w:rPr>
                <w:color w:val="000000"/>
                <w:sz w:val="20"/>
                <w:szCs w:val="20"/>
                <w:lang w:val="en-US"/>
              </w:rPr>
              <w:t>given sociodemographic and socioeconomic changes in the last decades</w:t>
            </w:r>
            <w:r w:rsidR="004E7F75" w:rsidRPr="00956879">
              <w:rPr>
                <w:color w:val="000000"/>
                <w:sz w:val="20"/>
                <w:szCs w:val="20"/>
                <w:lang w:val="en-US"/>
              </w:rPr>
              <w:t>.</w:t>
            </w:r>
          </w:p>
          <w:p w14:paraId="0CC6D837" w14:textId="31F33816" w:rsidR="00A21FC3" w:rsidRPr="00956879" w:rsidRDefault="00A21FC3" w:rsidP="00A21FC3">
            <w:pPr>
              <w:pBdr>
                <w:top w:val="nil"/>
                <w:left w:val="nil"/>
                <w:bottom w:val="nil"/>
                <w:right w:val="nil"/>
                <w:between w:val="nil"/>
              </w:pBdr>
              <w:ind w:left="-53"/>
              <w:jc w:val="left"/>
              <w:rPr>
                <w:color w:val="000000"/>
                <w:sz w:val="20"/>
                <w:szCs w:val="20"/>
                <w:lang w:val="en-US"/>
              </w:rPr>
            </w:pPr>
            <w:r w:rsidRPr="00956879">
              <w:rPr>
                <w:color w:val="000000"/>
                <w:sz w:val="20"/>
                <w:szCs w:val="20"/>
                <w:lang w:val="en-US"/>
              </w:rPr>
              <w:t>• Diversity of regionalization schemes among public institutions, which generates dispersion and lack of coordination efforts, as well as inconsistencies in the statistics.</w:t>
            </w:r>
          </w:p>
          <w:p w14:paraId="2D475986" w14:textId="65642B39" w:rsidR="00A13936" w:rsidRPr="00956879" w:rsidRDefault="00A21FC3" w:rsidP="00A21FC3">
            <w:pPr>
              <w:pBdr>
                <w:top w:val="nil"/>
                <w:left w:val="nil"/>
                <w:bottom w:val="nil"/>
                <w:right w:val="nil"/>
                <w:between w:val="nil"/>
              </w:pBdr>
              <w:ind w:left="-53"/>
              <w:jc w:val="left"/>
              <w:rPr>
                <w:color w:val="000000"/>
                <w:sz w:val="20"/>
                <w:szCs w:val="20"/>
                <w:lang w:val="en-US"/>
              </w:rPr>
            </w:pPr>
            <w:r w:rsidRPr="00956879">
              <w:rPr>
                <w:color w:val="000000"/>
                <w:sz w:val="20"/>
                <w:szCs w:val="20"/>
                <w:lang w:val="en-US"/>
              </w:rPr>
              <w:t>• Existence of inter- and intra-regional gaps (for example, in access to networks and services).</w:t>
            </w:r>
          </w:p>
        </w:tc>
      </w:tr>
      <w:tr w:rsidR="000A6AB9" w:rsidRPr="00956879" w14:paraId="613BBEA7" w14:textId="77777777" w:rsidTr="001559AE">
        <w:trPr>
          <w:trHeight w:val="238"/>
          <w:jc w:val="center"/>
        </w:trPr>
        <w:tc>
          <w:tcPr>
            <w:tcW w:w="3119" w:type="dxa"/>
            <w:tcBorders>
              <w:left w:val="nil"/>
            </w:tcBorders>
          </w:tcPr>
          <w:p w14:paraId="768A6080"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Objectives of regional policy</w:t>
            </w:r>
          </w:p>
        </w:tc>
        <w:tc>
          <w:tcPr>
            <w:tcW w:w="6095" w:type="dxa"/>
            <w:tcBorders>
              <w:right w:val="nil"/>
            </w:tcBorders>
          </w:tcPr>
          <w:p w14:paraId="35A4FA66" w14:textId="1E692EB2"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The objectives of the Regional Development Law of Costa Rica</w:t>
            </w:r>
            <w:r w:rsidR="00142517" w:rsidRPr="00956879">
              <w:rPr>
                <w:color w:val="000000"/>
                <w:sz w:val="20"/>
                <w:szCs w:val="20"/>
                <w:lang w:val="en-US"/>
              </w:rPr>
              <w:t>, No. 10.096,</w:t>
            </w:r>
            <w:r w:rsidRPr="00956879">
              <w:rPr>
                <w:color w:val="000000"/>
                <w:sz w:val="20"/>
                <w:szCs w:val="20"/>
                <w:lang w:val="en-US"/>
              </w:rPr>
              <w:t xml:space="preserve"> are</w:t>
            </w:r>
            <w:r w:rsidR="00142517" w:rsidRPr="00956879">
              <w:rPr>
                <w:color w:val="000000"/>
                <w:sz w:val="20"/>
                <w:szCs w:val="20"/>
                <w:lang w:val="en-US"/>
              </w:rPr>
              <w:t xml:space="preserve"> to</w:t>
            </w:r>
            <w:r w:rsidRPr="00956879">
              <w:rPr>
                <w:color w:val="000000"/>
                <w:sz w:val="20"/>
                <w:szCs w:val="20"/>
                <w:lang w:val="en-US"/>
              </w:rPr>
              <w:t>:</w:t>
            </w:r>
          </w:p>
          <w:p w14:paraId="1526E41D" w14:textId="7600B380"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Strengthen regional participation structures and provide regional stakeholders with instruments and mechanisms for social and state participation that allow them to build their </w:t>
            </w:r>
            <w:r w:rsidR="00BA03A4" w:rsidRPr="00956879">
              <w:rPr>
                <w:color w:val="000000"/>
                <w:sz w:val="20"/>
                <w:szCs w:val="20"/>
                <w:lang w:val="en-US"/>
              </w:rPr>
              <w:t xml:space="preserve">regional </w:t>
            </w:r>
            <w:r w:rsidRPr="00956879">
              <w:rPr>
                <w:color w:val="000000"/>
                <w:sz w:val="20"/>
                <w:szCs w:val="20"/>
                <w:lang w:val="en-US"/>
              </w:rPr>
              <w:t xml:space="preserve">development vision and </w:t>
            </w:r>
            <w:r w:rsidR="00BA03A4" w:rsidRPr="00956879">
              <w:rPr>
                <w:color w:val="000000"/>
                <w:sz w:val="20"/>
                <w:szCs w:val="20"/>
                <w:lang w:val="en-US"/>
              </w:rPr>
              <w:t>bind it to</w:t>
            </w:r>
            <w:r w:rsidRPr="00956879">
              <w:rPr>
                <w:color w:val="000000"/>
                <w:sz w:val="20"/>
                <w:szCs w:val="20"/>
                <w:lang w:val="en-US"/>
              </w:rPr>
              <w:t xml:space="preserve"> public policy.</w:t>
            </w:r>
          </w:p>
          <w:p w14:paraId="1009E3D6" w14:textId="538F6741"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Provide public institutions with new mechanisms to ensure that the</w:t>
            </w:r>
            <w:r w:rsidR="00BA03A4" w:rsidRPr="00956879">
              <w:rPr>
                <w:color w:val="000000"/>
                <w:sz w:val="20"/>
                <w:szCs w:val="20"/>
                <w:lang w:val="en-US"/>
              </w:rPr>
              <w:t>ir</w:t>
            </w:r>
            <w:r w:rsidRPr="00956879">
              <w:rPr>
                <w:color w:val="000000"/>
                <w:sz w:val="20"/>
                <w:szCs w:val="20"/>
                <w:lang w:val="en-US"/>
              </w:rPr>
              <w:t xml:space="preserve"> policies, strategies and plans generate conditions for</w:t>
            </w:r>
            <w:r w:rsidR="00BA03A4" w:rsidRPr="00956879">
              <w:rPr>
                <w:color w:val="000000"/>
                <w:sz w:val="20"/>
                <w:szCs w:val="20"/>
                <w:lang w:val="en-US"/>
              </w:rPr>
              <w:t xml:space="preserve"> the</w:t>
            </w:r>
            <w:r w:rsidRPr="00956879">
              <w:rPr>
                <w:color w:val="000000"/>
                <w:sz w:val="20"/>
                <w:szCs w:val="20"/>
                <w:lang w:val="en-US"/>
              </w:rPr>
              <w:t xml:space="preserve"> growth, competitiveness and innovation </w:t>
            </w:r>
            <w:r w:rsidR="00BA03A4" w:rsidRPr="00956879">
              <w:rPr>
                <w:color w:val="000000"/>
                <w:sz w:val="20"/>
                <w:szCs w:val="20"/>
                <w:lang w:val="en-US"/>
              </w:rPr>
              <w:t xml:space="preserve">of the six </w:t>
            </w:r>
            <w:r w:rsidR="00141B60" w:rsidRPr="00956879">
              <w:rPr>
                <w:color w:val="000000"/>
                <w:sz w:val="20"/>
                <w:szCs w:val="20"/>
                <w:lang w:val="en-US"/>
              </w:rPr>
              <w:t>planning regions</w:t>
            </w:r>
            <w:r w:rsidRPr="00956879">
              <w:rPr>
                <w:color w:val="000000"/>
                <w:sz w:val="20"/>
                <w:szCs w:val="20"/>
                <w:lang w:val="en-US"/>
              </w:rPr>
              <w:t xml:space="preserve"> of the country, </w:t>
            </w:r>
            <w:r w:rsidR="00BA03A4" w:rsidRPr="00956879">
              <w:rPr>
                <w:color w:val="000000"/>
                <w:sz w:val="20"/>
                <w:szCs w:val="20"/>
                <w:lang w:val="en-US"/>
              </w:rPr>
              <w:t xml:space="preserve">and </w:t>
            </w:r>
            <w:r w:rsidR="00141B60" w:rsidRPr="00956879">
              <w:rPr>
                <w:color w:val="000000"/>
                <w:sz w:val="20"/>
                <w:szCs w:val="20"/>
                <w:lang w:val="en-US"/>
              </w:rPr>
              <w:t>thus, guarantee</w:t>
            </w:r>
            <w:r w:rsidRPr="00956879">
              <w:rPr>
                <w:color w:val="000000"/>
                <w:sz w:val="20"/>
                <w:szCs w:val="20"/>
                <w:lang w:val="en-US"/>
              </w:rPr>
              <w:t xml:space="preserve"> the clos</w:t>
            </w:r>
            <w:r w:rsidR="00BA03A4" w:rsidRPr="00956879">
              <w:rPr>
                <w:color w:val="000000"/>
                <w:sz w:val="20"/>
                <w:szCs w:val="20"/>
                <w:lang w:val="en-US"/>
              </w:rPr>
              <w:t>ure</w:t>
            </w:r>
            <w:r w:rsidRPr="00956879">
              <w:rPr>
                <w:color w:val="000000"/>
                <w:sz w:val="20"/>
                <w:szCs w:val="20"/>
                <w:lang w:val="en-US"/>
              </w:rPr>
              <w:t xml:space="preserve"> of structural gaps that negatively affect the quality of life and roots of inhabitants.</w:t>
            </w:r>
          </w:p>
          <w:p w14:paraId="66763E2A" w14:textId="753D7C22" w:rsidR="000A6AB9" w:rsidRPr="00956879" w:rsidRDefault="00BA03A4">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 xml:space="preserve">Create funding instruments </w:t>
            </w:r>
            <w:r w:rsidR="00141B60" w:rsidRPr="00956879">
              <w:rPr>
                <w:color w:val="000000"/>
                <w:sz w:val="20"/>
                <w:szCs w:val="20"/>
                <w:lang w:val="en-US"/>
              </w:rPr>
              <w:t>for regional</w:t>
            </w:r>
            <w:r w:rsidR="00100973" w:rsidRPr="00956879">
              <w:rPr>
                <w:color w:val="000000"/>
                <w:sz w:val="20"/>
                <w:szCs w:val="20"/>
                <w:lang w:val="en-US"/>
              </w:rPr>
              <w:t xml:space="preserve"> development. </w:t>
            </w:r>
          </w:p>
        </w:tc>
      </w:tr>
      <w:tr w:rsidR="000A6AB9" w:rsidRPr="00956879" w14:paraId="521D3A63" w14:textId="77777777" w:rsidTr="001559AE">
        <w:trPr>
          <w:trHeight w:val="238"/>
          <w:jc w:val="center"/>
        </w:trPr>
        <w:tc>
          <w:tcPr>
            <w:tcW w:w="3119" w:type="dxa"/>
            <w:tcBorders>
              <w:left w:val="nil"/>
            </w:tcBorders>
          </w:tcPr>
          <w:p w14:paraId="4C0DEE00"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Legal/institutional framework for regional policy</w:t>
            </w:r>
          </w:p>
        </w:tc>
        <w:tc>
          <w:tcPr>
            <w:tcW w:w="6095" w:type="dxa"/>
            <w:tcBorders>
              <w:right w:val="nil"/>
            </w:tcBorders>
          </w:tcPr>
          <w:p w14:paraId="4D704DF7" w14:textId="443123A1"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Planning Law, No. 5525</w:t>
            </w:r>
            <w:r w:rsidR="00142517" w:rsidRPr="00956879">
              <w:rPr>
                <w:color w:val="000000"/>
                <w:sz w:val="20"/>
                <w:szCs w:val="20"/>
                <w:lang w:val="en-US"/>
              </w:rPr>
              <w:t>.</w:t>
            </w:r>
          </w:p>
          <w:p w14:paraId="1C6FDD84" w14:textId="63E24C01" w:rsidR="00142517"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Development Law of Costa Rica, No. 10.096.</w:t>
            </w:r>
          </w:p>
          <w:p w14:paraId="0D7DA06B" w14:textId="3EE0318A"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Executive Decree 37.735, Regulation</w:t>
            </w:r>
            <w:r w:rsidR="00BA03A4" w:rsidRPr="00956879">
              <w:rPr>
                <w:color w:val="000000"/>
                <w:sz w:val="20"/>
                <w:szCs w:val="20"/>
                <w:lang w:val="en-US"/>
              </w:rPr>
              <w:t xml:space="preserve"> of</w:t>
            </w:r>
            <w:r w:rsidRPr="00956879">
              <w:rPr>
                <w:color w:val="000000"/>
                <w:sz w:val="20"/>
                <w:szCs w:val="20"/>
                <w:lang w:val="en-US"/>
              </w:rPr>
              <w:t xml:space="preserve"> the National Planning Law.</w:t>
            </w:r>
          </w:p>
          <w:p w14:paraId="277FEDBB"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Executive Decree 16.068, Reform of the Regional Division of the Territory of Costa Rica, for the Purposes of Research and Planning of Economic Development.</w:t>
            </w:r>
          </w:p>
          <w:p w14:paraId="72528F42" w14:textId="77777777" w:rsidR="002826EB" w:rsidRPr="00956879" w:rsidRDefault="00100973" w:rsidP="002826EB">
            <w:pPr>
              <w:numPr>
                <w:ilvl w:val="0"/>
                <w:numId w:val="1"/>
              </w:numPr>
              <w:pBdr>
                <w:top w:val="nil"/>
                <w:left w:val="nil"/>
                <w:bottom w:val="nil"/>
                <w:right w:val="nil"/>
                <w:between w:val="nil"/>
              </w:pBdr>
              <w:spacing w:before="0"/>
              <w:ind w:left="24" w:hanging="77"/>
              <w:jc w:val="left"/>
              <w:rPr>
                <w:color w:val="auto"/>
                <w:sz w:val="20"/>
                <w:szCs w:val="20"/>
                <w:lang w:val="en-US"/>
              </w:rPr>
            </w:pPr>
            <w:r w:rsidRPr="00956879">
              <w:rPr>
                <w:color w:val="auto"/>
                <w:sz w:val="20"/>
                <w:szCs w:val="20"/>
                <w:lang w:val="en-US"/>
              </w:rPr>
              <w:t>Law on Transfer of Powers and its Regulations, No. 8801</w:t>
            </w:r>
          </w:p>
          <w:p w14:paraId="009018B3" w14:textId="77777777" w:rsidR="00A21FC3" w:rsidRPr="00956879" w:rsidRDefault="00A21FC3" w:rsidP="00A21FC3">
            <w:pPr>
              <w:numPr>
                <w:ilvl w:val="0"/>
                <w:numId w:val="1"/>
              </w:numPr>
              <w:pBdr>
                <w:top w:val="nil"/>
                <w:left w:val="nil"/>
                <w:bottom w:val="nil"/>
                <w:right w:val="nil"/>
                <w:between w:val="nil"/>
              </w:pBdr>
              <w:spacing w:before="0"/>
              <w:ind w:left="24" w:hanging="77"/>
              <w:jc w:val="left"/>
              <w:rPr>
                <w:color w:val="auto"/>
                <w:sz w:val="20"/>
                <w:szCs w:val="20"/>
                <w:lang w:val="en-US"/>
              </w:rPr>
            </w:pPr>
            <w:r w:rsidRPr="00956879">
              <w:rPr>
                <w:color w:val="auto"/>
                <w:sz w:val="20"/>
                <w:szCs w:val="20"/>
                <w:lang w:val="en-US"/>
              </w:rPr>
              <w:t>Regulatory Law for Port Activity on the Pacific Coast, No. 8461.</w:t>
            </w:r>
          </w:p>
          <w:p w14:paraId="33103F41" w14:textId="4E1DEB2C" w:rsidR="00A21FC3" w:rsidRPr="00956879" w:rsidRDefault="00A21FC3" w:rsidP="00A21FC3">
            <w:pPr>
              <w:numPr>
                <w:ilvl w:val="0"/>
                <w:numId w:val="1"/>
              </w:numPr>
              <w:pBdr>
                <w:top w:val="nil"/>
                <w:left w:val="nil"/>
                <w:bottom w:val="nil"/>
                <w:right w:val="nil"/>
                <w:between w:val="nil"/>
              </w:pBdr>
              <w:spacing w:before="0"/>
              <w:ind w:left="24" w:hanging="77"/>
              <w:jc w:val="left"/>
              <w:rPr>
                <w:color w:val="auto"/>
                <w:sz w:val="20"/>
                <w:szCs w:val="20"/>
                <w:lang w:val="en-US"/>
              </w:rPr>
            </w:pPr>
            <w:r w:rsidRPr="00956879">
              <w:rPr>
                <w:color w:val="auto"/>
                <w:sz w:val="20"/>
                <w:szCs w:val="20"/>
                <w:lang w:val="en-US"/>
              </w:rPr>
              <w:t>Organic Law of the Regional Development Board of the Southern Zone of the province of Puntarenas (JUDESUR), No. 9356</w:t>
            </w:r>
          </w:p>
          <w:p w14:paraId="11576B3F" w14:textId="6DB8B118" w:rsidR="00A21FC3" w:rsidRPr="00956879" w:rsidRDefault="00A21FC3" w:rsidP="00A21FC3">
            <w:pPr>
              <w:numPr>
                <w:ilvl w:val="0"/>
                <w:numId w:val="1"/>
              </w:numPr>
              <w:pBdr>
                <w:top w:val="nil"/>
                <w:left w:val="nil"/>
                <w:bottom w:val="nil"/>
                <w:right w:val="nil"/>
                <w:between w:val="nil"/>
              </w:pBdr>
              <w:spacing w:before="0"/>
              <w:ind w:left="24" w:hanging="77"/>
              <w:jc w:val="left"/>
              <w:rPr>
                <w:color w:val="auto"/>
                <w:sz w:val="20"/>
                <w:szCs w:val="20"/>
                <w:lang w:val="en-US"/>
              </w:rPr>
            </w:pPr>
            <w:r w:rsidRPr="00956879">
              <w:rPr>
                <w:color w:val="auto"/>
                <w:sz w:val="20"/>
                <w:szCs w:val="20"/>
                <w:lang w:val="en-US"/>
              </w:rPr>
              <w:t>Organic Law of Board of Port Administration and Economic Development of the Atlantic Slope (JAPDEVA), No. 3091.</w:t>
            </w:r>
          </w:p>
          <w:p w14:paraId="71CFF5FF" w14:textId="6C00B16D" w:rsidR="00DD3911" w:rsidRPr="00956879" w:rsidRDefault="00A21FC3" w:rsidP="00A21FC3">
            <w:pPr>
              <w:numPr>
                <w:ilvl w:val="0"/>
                <w:numId w:val="1"/>
              </w:numPr>
              <w:pBdr>
                <w:top w:val="nil"/>
                <w:left w:val="nil"/>
                <w:bottom w:val="nil"/>
                <w:right w:val="nil"/>
                <w:between w:val="nil"/>
              </w:pBdr>
              <w:spacing w:before="0"/>
              <w:ind w:left="24" w:hanging="77"/>
              <w:jc w:val="left"/>
              <w:rPr>
                <w:color w:val="7030A0"/>
                <w:sz w:val="20"/>
                <w:szCs w:val="20"/>
                <w:lang w:val="en-US"/>
              </w:rPr>
            </w:pPr>
            <w:r w:rsidRPr="00956879">
              <w:rPr>
                <w:color w:val="auto"/>
                <w:sz w:val="20"/>
                <w:szCs w:val="20"/>
                <w:lang w:val="en-US"/>
              </w:rPr>
              <w:t>Law Transforms the Agrarian Development Institute (IDA) into the Rural Development Institute (INDER) and Creates Technical Secretariat for Rural Development, No. 9036.</w:t>
            </w:r>
          </w:p>
        </w:tc>
      </w:tr>
      <w:tr w:rsidR="000A6AB9" w:rsidRPr="00956879" w14:paraId="21954E9F" w14:textId="77777777" w:rsidTr="001559AE">
        <w:trPr>
          <w:trHeight w:val="238"/>
          <w:jc w:val="center"/>
        </w:trPr>
        <w:tc>
          <w:tcPr>
            <w:tcW w:w="3119" w:type="dxa"/>
            <w:tcBorders>
              <w:left w:val="nil"/>
            </w:tcBorders>
          </w:tcPr>
          <w:p w14:paraId="4655C075"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 xml:space="preserve">Budget allocated to regional development (i.e., amount) and fiscal </w:t>
            </w:r>
            <w:r w:rsidRPr="00956879">
              <w:rPr>
                <w:color w:val="000000"/>
                <w:sz w:val="20"/>
                <w:szCs w:val="20"/>
                <w:lang w:val="en-US"/>
              </w:rPr>
              <w:lastRenderedPageBreak/>
              <w:t>equalisation mechanisms between jurisdictions (if any)</w:t>
            </w:r>
          </w:p>
        </w:tc>
        <w:tc>
          <w:tcPr>
            <w:tcW w:w="6095" w:type="dxa"/>
            <w:tcBorders>
              <w:right w:val="nil"/>
            </w:tcBorders>
          </w:tcPr>
          <w:p w14:paraId="62C50FD5" w14:textId="041822DB"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lastRenderedPageBreak/>
              <w:t>National Fund for Regional Development (Fonader)</w:t>
            </w:r>
            <w:r w:rsidR="000F5385" w:rsidRPr="00956879">
              <w:rPr>
                <w:color w:val="000000"/>
                <w:sz w:val="20"/>
                <w:szCs w:val="20"/>
                <w:lang w:val="en-US"/>
              </w:rPr>
              <w:t xml:space="preserve"> (in progress)</w:t>
            </w:r>
          </w:p>
          <w:p w14:paraId="1ACB8F47" w14:textId="6CC1CA0D" w:rsidR="007C397A" w:rsidRPr="00956879" w:rsidRDefault="007C397A">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Budgets (in progress)</w:t>
            </w:r>
          </w:p>
          <w:p w14:paraId="3CFD5B96" w14:textId="70C99A45"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lastRenderedPageBreak/>
              <w:t>Mechanisms for budget distribution</w:t>
            </w:r>
            <w:r w:rsidR="00DD3911" w:rsidRPr="00956879">
              <w:rPr>
                <w:color w:val="000000"/>
                <w:sz w:val="20"/>
                <w:szCs w:val="20"/>
                <w:lang w:val="en-US"/>
              </w:rPr>
              <w:t xml:space="preserve"> at local level</w:t>
            </w:r>
            <w:r w:rsidRPr="00956879">
              <w:rPr>
                <w:color w:val="000000"/>
                <w:sz w:val="20"/>
                <w:szCs w:val="20"/>
                <w:lang w:val="en-US"/>
              </w:rPr>
              <w:t>:</w:t>
            </w:r>
          </w:p>
          <w:p w14:paraId="5EAF50F9"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Law on Transfer of Powers and its Regulations, No. 8801</w:t>
            </w:r>
          </w:p>
          <w:p w14:paraId="06C2453D"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Tax Simplification and Efficiency Law, No. 8114</w:t>
            </w:r>
          </w:p>
          <w:p w14:paraId="65E6F466"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Special Law for the Transfer of Powers: Full and Exclusive Attention of the Cantonal Road Network, No. 9329</w:t>
            </w:r>
          </w:p>
          <w:p w14:paraId="683AD295"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Control of Specific Items Charged to the National Budget, Law No.7755</w:t>
            </w:r>
          </w:p>
          <w:p w14:paraId="784B46D0" w14:textId="77777777" w:rsidR="000A6AB9" w:rsidRPr="00956879" w:rsidRDefault="00100973">
            <w:pPr>
              <w:numPr>
                <w:ilvl w:val="0"/>
                <w:numId w:val="2"/>
              </w:numPr>
              <w:pBdr>
                <w:top w:val="nil"/>
                <w:left w:val="nil"/>
                <w:bottom w:val="nil"/>
                <w:right w:val="nil"/>
                <w:between w:val="nil"/>
              </w:pBdr>
              <w:spacing w:before="0"/>
              <w:ind w:left="591" w:hanging="141"/>
              <w:jc w:val="left"/>
              <w:rPr>
                <w:color w:val="000000"/>
                <w:sz w:val="20"/>
                <w:szCs w:val="20"/>
                <w:lang w:val="en-US"/>
              </w:rPr>
            </w:pPr>
            <w:r w:rsidRPr="00956879">
              <w:rPr>
                <w:color w:val="000000"/>
                <w:sz w:val="20"/>
                <w:szCs w:val="20"/>
                <w:lang w:val="en-US"/>
              </w:rPr>
              <w:t>Real Estate Tax Law, No. 7509</w:t>
            </w:r>
          </w:p>
          <w:p w14:paraId="33AD7CB1" w14:textId="79E45198" w:rsidR="00EF02C9" w:rsidRPr="00956879" w:rsidRDefault="00A21FC3" w:rsidP="00EF02C9">
            <w:pPr>
              <w:pBdr>
                <w:top w:val="nil"/>
                <w:left w:val="nil"/>
                <w:bottom w:val="nil"/>
                <w:right w:val="nil"/>
                <w:between w:val="nil"/>
              </w:pBdr>
              <w:spacing w:before="0"/>
              <w:jc w:val="left"/>
              <w:rPr>
                <w:color w:val="000000"/>
                <w:sz w:val="20"/>
                <w:szCs w:val="20"/>
                <w:lang w:val="en-US"/>
              </w:rPr>
            </w:pPr>
            <w:r w:rsidRPr="00956879">
              <w:rPr>
                <w:color w:val="000000"/>
                <w:sz w:val="20"/>
                <w:szCs w:val="20"/>
                <w:lang w:val="en-US"/>
              </w:rPr>
              <w:t>The national budget</w:t>
            </w:r>
            <w:r w:rsidR="00FB25CB">
              <w:rPr>
                <w:color w:val="000000"/>
                <w:sz w:val="20"/>
                <w:szCs w:val="20"/>
                <w:lang w:val="en-US"/>
              </w:rPr>
              <w:t xml:space="preserve"> </w:t>
            </w:r>
            <w:r w:rsidR="00FB25CB" w:rsidRPr="00956879">
              <w:rPr>
                <w:color w:val="000000"/>
                <w:sz w:val="20"/>
                <w:szCs w:val="20"/>
                <w:lang w:val="en-US"/>
              </w:rPr>
              <w:t xml:space="preserve">regionalization </w:t>
            </w:r>
            <w:r w:rsidRPr="00956879">
              <w:rPr>
                <w:color w:val="000000"/>
                <w:sz w:val="20"/>
                <w:szCs w:val="20"/>
                <w:lang w:val="en-US"/>
              </w:rPr>
              <w:t>is a task that the Regional Development Law is in the process of correcting, since to date, there are limitations to make budget details at the regional level.</w:t>
            </w:r>
          </w:p>
        </w:tc>
      </w:tr>
      <w:tr w:rsidR="000A6AB9" w:rsidRPr="00956879" w14:paraId="7768DF49" w14:textId="77777777" w:rsidTr="001559AE">
        <w:trPr>
          <w:trHeight w:val="238"/>
          <w:jc w:val="center"/>
        </w:trPr>
        <w:tc>
          <w:tcPr>
            <w:tcW w:w="3119" w:type="dxa"/>
            <w:tcBorders>
              <w:left w:val="nil"/>
            </w:tcBorders>
          </w:tcPr>
          <w:p w14:paraId="77F5E5B4"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lastRenderedPageBreak/>
              <w:t>National regional development policy framework</w:t>
            </w:r>
          </w:p>
        </w:tc>
        <w:tc>
          <w:tcPr>
            <w:tcW w:w="6095" w:type="dxa"/>
            <w:tcBorders>
              <w:right w:val="nil"/>
            </w:tcBorders>
          </w:tcPr>
          <w:p w14:paraId="0D3EE0A4" w14:textId="1BB2957C" w:rsidR="007C397A" w:rsidRPr="00956879" w:rsidRDefault="007C397A" w:rsidP="007C397A">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Planning Law, No. 5525.</w:t>
            </w:r>
          </w:p>
          <w:p w14:paraId="2F7A1038" w14:textId="53555F89"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Development Law of Costa Rica, No. 10.096.</w:t>
            </w:r>
          </w:p>
          <w:p w14:paraId="73A069B3" w14:textId="17E00F28" w:rsidR="00452BB2" w:rsidRPr="00956879" w:rsidRDefault="00452BB2">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Regulation of the Regional Development Law of Costa Rica (in progress)</w:t>
            </w:r>
          </w:p>
          <w:p w14:paraId="4F5E2AEC" w14:textId="29C3156E"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Regional Development Policy (</w:t>
            </w:r>
            <w:r w:rsidR="00452BB2" w:rsidRPr="00956879">
              <w:rPr>
                <w:color w:val="000000"/>
                <w:sz w:val="20"/>
                <w:szCs w:val="20"/>
                <w:lang w:val="en-US"/>
              </w:rPr>
              <w:t>in progress</w:t>
            </w:r>
            <w:r w:rsidRPr="00956879">
              <w:rPr>
                <w:color w:val="000000"/>
                <w:sz w:val="20"/>
                <w:szCs w:val="20"/>
                <w:lang w:val="en-US"/>
              </w:rPr>
              <w:t>).</w:t>
            </w:r>
          </w:p>
          <w:p w14:paraId="6AA18FAD" w14:textId="3C19EFE8"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Development Agencies (AREDES) (</w:t>
            </w:r>
            <w:r w:rsidR="00452BB2" w:rsidRPr="00956879">
              <w:rPr>
                <w:color w:val="000000"/>
                <w:sz w:val="20"/>
                <w:szCs w:val="20"/>
                <w:lang w:val="en-US"/>
              </w:rPr>
              <w:t>in progress</w:t>
            </w:r>
            <w:r w:rsidRPr="00956879">
              <w:rPr>
                <w:color w:val="000000"/>
                <w:sz w:val="20"/>
                <w:szCs w:val="20"/>
                <w:lang w:val="en-US"/>
              </w:rPr>
              <w:t>).</w:t>
            </w:r>
          </w:p>
          <w:p w14:paraId="5311C7EC" w14:textId="34119EE4"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Agreement Tables for Regional Development (</w:t>
            </w:r>
            <w:r w:rsidR="00452BB2" w:rsidRPr="00956879">
              <w:rPr>
                <w:color w:val="000000"/>
                <w:sz w:val="20"/>
                <w:szCs w:val="20"/>
                <w:lang w:val="en-US"/>
              </w:rPr>
              <w:t>in progress</w:t>
            </w:r>
            <w:r w:rsidRPr="00956879">
              <w:rPr>
                <w:color w:val="000000"/>
                <w:sz w:val="20"/>
                <w:szCs w:val="20"/>
                <w:lang w:val="en-US"/>
              </w:rPr>
              <w:t>).</w:t>
            </w:r>
          </w:p>
          <w:p w14:paraId="0E20B1DE" w14:textId="230962F4"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Management agreements (</w:t>
            </w:r>
            <w:r w:rsidR="00452BB2" w:rsidRPr="00956879">
              <w:rPr>
                <w:color w:val="000000"/>
                <w:sz w:val="20"/>
                <w:szCs w:val="20"/>
                <w:lang w:val="en-US"/>
              </w:rPr>
              <w:t>in progress</w:t>
            </w:r>
            <w:r w:rsidRPr="00956879">
              <w:rPr>
                <w:color w:val="000000"/>
                <w:sz w:val="20"/>
                <w:szCs w:val="20"/>
                <w:lang w:val="en-US"/>
              </w:rPr>
              <w:t>).</w:t>
            </w:r>
          </w:p>
          <w:p w14:paraId="1754498C" w14:textId="77777777" w:rsidR="000F5385" w:rsidRPr="00956879" w:rsidRDefault="000F5385" w:rsidP="000F5385">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Development and Public Investment Plan (PNDIP)</w:t>
            </w:r>
          </w:p>
          <w:p w14:paraId="179646AB" w14:textId="77777777" w:rsidR="000F5385" w:rsidRPr="00956879" w:rsidRDefault="000F5385" w:rsidP="000F5385">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Strategic Plan (PEN) 2050</w:t>
            </w:r>
          </w:p>
          <w:p w14:paraId="6C2F8E09" w14:textId="30DC8B7D" w:rsidR="006972BA" w:rsidRPr="00956879" w:rsidRDefault="000F5385" w:rsidP="006972BA">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Executive Decree 16.068, Reforms the Regional Division of the Territory of Costa Rica, for the Purposes of Research and Planning of Economic Development.</w:t>
            </w:r>
          </w:p>
        </w:tc>
      </w:tr>
      <w:tr w:rsidR="000A6AB9" w:rsidRPr="00956879" w14:paraId="1D13C4B9" w14:textId="77777777" w:rsidTr="001559AE">
        <w:trPr>
          <w:trHeight w:val="238"/>
          <w:jc w:val="center"/>
        </w:trPr>
        <w:tc>
          <w:tcPr>
            <w:tcW w:w="3119" w:type="dxa"/>
            <w:tcBorders>
              <w:left w:val="nil"/>
            </w:tcBorders>
          </w:tcPr>
          <w:p w14:paraId="0D4AE2A4"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Urban policy framework</w:t>
            </w:r>
          </w:p>
        </w:tc>
        <w:tc>
          <w:tcPr>
            <w:tcW w:w="6095" w:type="dxa"/>
            <w:tcBorders>
              <w:right w:val="nil"/>
            </w:tcBorders>
          </w:tcPr>
          <w:p w14:paraId="0CE56F72"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Urban Planning Law No. 4240</w:t>
            </w:r>
          </w:p>
          <w:p w14:paraId="58F10EED"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Planning Law No. 5525</w:t>
            </w:r>
          </w:p>
          <w:p w14:paraId="32D681E0"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INVU Organic Law No. 1788</w:t>
            </w:r>
          </w:p>
          <w:p w14:paraId="6A4137CD"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Organic Law of the Environment No. 7554</w:t>
            </w:r>
          </w:p>
          <w:p w14:paraId="6306B3F9"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Municipal Code Law No. 7794</w:t>
            </w:r>
          </w:p>
          <w:p w14:paraId="13334501"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Construction Law No. 833</w:t>
            </w:r>
          </w:p>
          <w:p w14:paraId="30EB0045" w14:textId="41931069"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National </w:t>
            </w:r>
            <w:r w:rsidR="00956879" w:rsidRPr="00956879">
              <w:rPr>
                <w:color w:val="000000"/>
                <w:sz w:val="20"/>
                <w:szCs w:val="20"/>
                <w:lang w:val="en-US"/>
              </w:rPr>
              <w:t>Cadaster</w:t>
            </w:r>
            <w:r w:rsidRPr="00956879">
              <w:rPr>
                <w:color w:val="000000"/>
                <w:sz w:val="20"/>
                <w:szCs w:val="20"/>
                <w:lang w:val="en-US"/>
              </w:rPr>
              <w:t xml:space="preserve"> Law, No. 6545</w:t>
            </w:r>
          </w:p>
          <w:p w14:paraId="427626CA"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General Law of Public Roads, No. 5060</w:t>
            </w:r>
          </w:p>
          <w:p w14:paraId="49BAF769"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of the Maritime Terrestrial Zone No. 6043</w:t>
            </w:r>
          </w:p>
          <w:p w14:paraId="24B263CB"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for the Concession and Operation of Marinas and Tourist Docks No. 7744</w:t>
            </w:r>
          </w:p>
          <w:p w14:paraId="6AAB24C1"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Framework Law for the Declaration of the Coastal Urban Zone and its Regime of Territorial Use and Exploitation No. 9221</w:t>
            </w:r>
          </w:p>
          <w:p w14:paraId="42AE014A"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Forest Law No. 7575</w:t>
            </w:r>
          </w:p>
          <w:p w14:paraId="2874536B"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Water Law No. 276</w:t>
            </w:r>
          </w:p>
          <w:p w14:paraId="11B0FA0E"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General Drinking Water Law, No. 1634</w:t>
            </w:r>
          </w:p>
          <w:p w14:paraId="4D7597D1"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General Health Law No. 5395</w:t>
            </w:r>
          </w:p>
          <w:p w14:paraId="334E17A0"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Condominium Property Regulating Law No. 7933</w:t>
            </w:r>
          </w:p>
          <w:p w14:paraId="55ED21C7"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of the National Financial System for Housing No. 7052</w:t>
            </w:r>
          </w:p>
          <w:p w14:paraId="0535A22B"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for the Eradication of Slums and Defense of their Tenants No. 2760</w:t>
            </w:r>
          </w:p>
          <w:p w14:paraId="759AFB0C"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Special Law for Housing Titling in Precarious and Unrecognized Urban Development Zones No. 8680</w:t>
            </w:r>
          </w:p>
          <w:p w14:paraId="559DFABD"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on equal opportunities for people with disabilities No. 7600</w:t>
            </w:r>
          </w:p>
          <w:p w14:paraId="28A8F669"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Civil Code Law No. 63</w:t>
            </w:r>
          </w:p>
          <w:p w14:paraId="7501D423"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Law on Emergencies and Risk Prevention, No. 8488</w:t>
            </w:r>
          </w:p>
          <w:p w14:paraId="6234332E"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Special Law for the Transfer of Powers: Full and Exclusive Attention of the Cantonal Road Network, No. 9329</w:t>
            </w:r>
          </w:p>
          <w:p w14:paraId="079C5E48"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on Transit on Public Land Highways and Road Safety No. 9078</w:t>
            </w:r>
          </w:p>
          <w:p w14:paraId="14D99938"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on Historical Architectural Heritage of Costa Rica No. 7555</w:t>
            </w:r>
          </w:p>
          <w:p w14:paraId="7AD7C17F"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Law on Archaeological Heritage No. 6703</w:t>
            </w:r>
          </w:p>
          <w:p w14:paraId="42272244"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General Civil Aviation Law No. 5150</w:t>
            </w:r>
          </w:p>
          <w:p w14:paraId="725A71BA"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SENARA Creation Law No. 6877</w:t>
            </w:r>
          </w:p>
          <w:p w14:paraId="12C9E369" w14:textId="7BEEA40D"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Habitat Policy (in pro</w:t>
            </w:r>
            <w:r w:rsidR="00216F0D" w:rsidRPr="00956879">
              <w:rPr>
                <w:color w:val="000000"/>
                <w:sz w:val="20"/>
                <w:szCs w:val="20"/>
                <w:lang w:val="en-US"/>
              </w:rPr>
              <w:t>gr</w:t>
            </w:r>
            <w:r w:rsidRPr="00956879">
              <w:rPr>
                <w:color w:val="000000"/>
                <w:sz w:val="20"/>
                <w:szCs w:val="20"/>
                <w:lang w:val="en-US"/>
              </w:rPr>
              <w:t>ess)</w:t>
            </w:r>
            <w:r w:rsidR="00216F0D" w:rsidRPr="00956879">
              <w:rPr>
                <w:color w:val="000000"/>
                <w:sz w:val="20"/>
                <w:szCs w:val="20"/>
                <w:lang w:val="en-US"/>
              </w:rPr>
              <w:t xml:space="preserve">, which </w:t>
            </w:r>
            <w:r w:rsidRPr="00956879">
              <w:rPr>
                <w:color w:val="000000"/>
                <w:sz w:val="20"/>
                <w:szCs w:val="20"/>
                <w:lang w:val="en-US"/>
              </w:rPr>
              <w:t xml:space="preserve">will include </w:t>
            </w:r>
            <w:r w:rsidR="00216F0D" w:rsidRPr="00956879">
              <w:rPr>
                <w:color w:val="000000"/>
                <w:sz w:val="20"/>
                <w:szCs w:val="20"/>
                <w:lang w:val="en-US"/>
              </w:rPr>
              <w:t xml:space="preserve">the </w:t>
            </w:r>
            <w:r w:rsidR="00A910C5" w:rsidRPr="00956879">
              <w:rPr>
                <w:color w:val="000000"/>
                <w:sz w:val="20"/>
                <w:szCs w:val="20"/>
                <w:lang w:val="en-US"/>
              </w:rPr>
              <w:t xml:space="preserve">following </w:t>
            </w:r>
            <w:r w:rsidRPr="00956879">
              <w:rPr>
                <w:color w:val="000000"/>
                <w:sz w:val="20"/>
                <w:szCs w:val="20"/>
                <w:lang w:val="en-US"/>
              </w:rPr>
              <w:t>policies</w:t>
            </w:r>
            <w:r w:rsidR="00A910C5" w:rsidRPr="00956879">
              <w:rPr>
                <w:color w:val="000000"/>
                <w:sz w:val="20"/>
                <w:szCs w:val="20"/>
                <w:lang w:val="en-US"/>
              </w:rPr>
              <w:t xml:space="preserve"> in force</w:t>
            </w:r>
            <w:r w:rsidRPr="00956879">
              <w:rPr>
                <w:color w:val="000000"/>
                <w:sz w:val="20"/>
                <w:szCs w:val="20"/>
                <w:lang w:val="en-US"/>
              </w:rPr>
              <w:t>:</w:t>
            </w:r>
          </w:p>
          <w:p w14:paraId="6625E9EA"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 xml:space="preserve">  National Urban Development Policy and its Action Plan</w:t>
            </w:r>
          </w:p>
          <w:p w14:paraId="578BADBE"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 xml:space="preserve">  National Housing Policy and its Action Plan</w:t>
            </w:r>
          </w:p>
          <w:p w14:paraId="249535E8" w14:textId="77777777" w:rsidR="000A6AB9" w:rsidRPr="00956879" w:rsidRDefault="00100973">
            <w:pPr>
              <w:numPr>
                <w:ilvl w:val="0"/>
                <w:numId w:val="2"/>
              </w:numPr>
              <w:pBdr>
                <w:top w:val="nil"/>
                <w:left w:val="nil"/>
                <w:bottom w:val="nil"/>
                <w:right w:val="nil"/>
                <w:between w:val="nil"/>
              </w:pBdr>
              <w:spacing w:before="0" w:after="0"/>
              <w:ind w:left="591" w:hanging="141"/>
              <w:jc w:val="left"/>
              <w:rPr>
                <w:color w:val="000000"/>
                <w:sz w:val="20"/>
                <w:szCs w:val="20"/>
                <w:lang w:val="en-US"/>
              </w:rPr>
            </w:pPr>
            <w:r w:rsidRPr="00956879">
              <w:rPr>
                <w:color w:val="000000"/>
                <w:sz w:val="20"/>
                <w:szCs w:val="20"/>
                <w:lang w:val="en-US"/>
              </w:rPr>
              <w:t xml:space="preserve">  Policy and National Land Management Plan</w:t>
            </w:r>
          </w:p>
          <w:p w14:paraId="0B41BDA2" w14:textId="0D188A4D"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Urban Plans (in pro</w:t>
            </w:r>
            <w:r w:rsidR="00A910C5" w:rsidRPr="00956879">
              <w:rPr>
                <w:color w:val="000000"/>
                <w:sz w:val="20"/>
                <w:szCs w:val="20"/>
                <w:lang w:val="en-US"/>
              </w:rPr>
              <w:t>gr</w:t>
            </w:r>
            <w:r w:rsidRPr="00956879">
              <w:rPr>
                <w:color w:val="000000"/>
                <w:sz w:val="20"/>
                <w:szCs w:val="20"/>
                <w:lang w:val="en-US"/>
              </w:rPr>
              <w:t>ess)</w:t>
            </w:r>
          </w:p>
          <w:p w14:paraId="741493BD"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GAM Plan 13-30</w:t>
            </w:r>
          </w:p>
          <w:p w14:paraId="5474BA16" w14:textId="017E5DF4"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National Urban Development Plan (in pro</w:t>
            </w:r>
            <w:r w:rsidR="00A910C5" w:rsidRPr="00956879">
              <w:rPr>
                <w:color w:val="000000"/>
                <w:sz w:val="20"/>
                <w:szCs w:val="20"/>
                <w:lang w:val="en-US"/>
              </w:rPr>
              <w:t>gr</w:t>
            </w:r>
            <w:r w:rsidRPr="00956879">
              <w:rPr>
                <w:color w:val="000000"/>
                <w:sz w:val="20"/>
                <w:szCs w:val="20"/>
                <w:lang w:val="en-US"/>
              </w:rPr>
              <w:t>ess)</w:t>
            </w:r>
          </w:p>
        </w:tc>
      </w:tr>
      <w:tr w:rsidR="000A6AB9" w:rsidRPr="00956879" w14:paraId="510AB7AD" w14:textId="77777777" w:rsidTr="001559AE">
        <w:trPr>
          <w:trHeight w:val="238"/>
          <w:jc w:val="center"/>
        </w:trPr>
        <w:tc>
          <w:tcPr>
            <w:tcW w:w="3119" w:type="dxa"/>
            <w:tcBorders>
              <w:left w:val="nil"/>
            </w:tcBorders>
          </w:tcPr>
          <w:p w14:paraId="1A6EA1CF"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t>Rural policy framework</w:t>
            </w:r>
          </w:p>
        </w:tc>
        <w:tc>
          <w:tcPr>
            <w:tcW w:w="6095" w:type="dxa"/>
            <w:tcBorders>
              <w:right w:val="nil"/>
            </w:tcBorders>
          </w:tcPr>
          <w:p w14:paraId="2142494F" w14:textId="67E71309" w:rsidR="000A6AB9" w:rsidRPr="00956879" w:rsidRDefault="00986992">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Law of the </w:t>
            </w:r>
            <w:r w:rsidR="00100973" w:rsidRPr="00956879">
              <w:rPr>
                <w:color w:val="000000"/>
                <w:sz w:val="20"/>
                <w:szCs w:val="20"/>
                <w:lang w:val="en-US"/>
              </w:rPr>
              <w:t>Transformation of IDA into Inder</w:t>
            </w:r>
            <w:r w:rsidRPr="00956879">
              <w:rPr>
                <w:color w:val="000000"/>
                <w:sz w:val="20"/>
                <w:szCs w:val="20"/>
                <w:lang w:val="en-US"/>
              </w:rPr>
              <w:t>, No. 9036</w:t>
            </w:r>
          </w:p>
          <w:p w14:paraId="07031DA4"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Central American Strategy for Territorial Rural Development (ECADERT) 2010-2030, prepared by the Central American Integration System (SICA).</w:t>
            </w:r>
          </w:p>
          <w:p w14:paraId="1D94CA10" w14:textId="26D21F5B"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State Policy for Costa Rican Territorial Rural Development (PEDRT) 2015-2030, coordinated by the Ministry of Agriculture and Livestock </w:t>
            </w:r>
            <w:r w:rsidR="00986992" w:rsidRPr="00956879">
              <w:rPr>
                <w:color w:val="000000"/>
                <w:sz w:val="20"/>
                <w:szCs w:val="20"/>
                <w:lang w:val="en-US"/>
              </w:rPr>
              <w:t xml:space="preserve">(MAG) </w:t>
            </w:r>
            <w:r w:rsidRPr="00956879">
              <w:rPr>
                <w:color w:val="000000"/>
                <w:sz w:val="20"/>
                <w:szCs w:val="20"/>
                <w:lang w:val="en-US"/>
              </w:rPr>
              <w:t>and the Executive Secretariat for Agricultural Sector Planning (SEPSA).</w:t>
            </w:r>
          </w:p>
          <w:p w14:paraId="7018851A"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Decree 39525-MAG Declaration of Public Interest of the State Policy for Costa Rican Rural Territorial Development (PEDRT) 2015-2030.</w:t>
            </w:r>
          </w:p>
          <w:p w14:paraId="77B7269C"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lastRenderedPageBreak/>
              <w:t>National Rural Territorial Development Plan 2017-2022, coordinated by the Rural Development Institute (Inder).</w:t>
            </w:r>
          </w:p>
          <w:p w14:paraId="48512BBA"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Territorial Rural Development Plans (29 territories), coordinated by the Rural Development Institute (Inder).</w:t>
            </w:r>
          </w:p>
          <w:p w14:paraId="6D075E8D" w14:textId="6609B841"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Territorial Rural Development Index, coordinated by the Rural Development Institute (Inder).</w:t>
            </w:r>
          </w:p>
          <w:p w14:paraId="4EC33B36"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Diagnosis of Rural Development (2020), coordinated by the Institute of Rural Development (Inder).</w:t>
            </w:r>
          </w:p>
          <w:p w14:paraId="32C3675A" w14:textId="56100AF8"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Urban-rural categorization prepared by the National Institute of Statistics and Census</w:t>
            </w:r>
            <w:r w:rsidR="00466611" w:rsidRPr="00956879">
              <w:rPr>
                <w:color w:val="000000"/>
                <w:sz w:val="20"/>
                <w:szCs w:val="20"/>
                <w:lang w:val="en-US"/>
              </w:rPr>
              <w:t xml:space="preserve"> (INEC)</w:t>
            </w:r>
            <w:r w:rsidRPr="00956879">
              <w:rPr>
                <w:color w:val="000000"/>
                <w:sz w:val="20"/>
                <w:szCs w:val="20"/>
                <w:lang w:val="en-US"/>
              </w:rPr>
              <w:t>, in the National Population and Housing Census.</w:t>
            </w:r>
          </w:p>
          <w:p w14:paraId="0D60AE48" w14:textId="77777777"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Other documents: Documents coordinated with ECLAC-IFAD: a) Measurement and characterization of rural spaces in Costa Rica based on national statistics, conceptual elements, applied methodology and main results ECLAC-IFAD; b) Characterization of rural spaces in Costa Rica and proposals for methodological alternatives for their measurement by ECLAC-FIDA.</w:t>
            </w:r>
          </w:p>
        </w:tc>
      </w:tr>
      <w:tr w:rsidR="000A6AB9" w:rsidRPr="00956879" w14:paraId="60657B89" w14:textId="77777777" w:rsidTr="001559AE">
        <w:trPr>
          <w:trHeight w:val="238"/>
          <w:jc w:val="center"/>
        </w:trPr>
        <w:tc>
          <w:tcPr>
            <w:tcW w:w="3119" w:type="dxa"/>
            <w:tcBorders>
              <w:left w:val="nil"/>
            </w:tcBorders>
          </w:tcPr>
          <w:p w14:paraId="2335588B" w14:textId="77777777" w:rsidR="000A6AB9" w:rsidRPr="00956879" w:rsidRDefault="00100973">
            <w:pPr>
              <w:pBdr>
                <w:top w:val="nil"/>
                <w:left w:val="nil"/>
                <w:bottom w:val="nil"/>
                <w:right w:val="nil"/>
                <w:between w:val="nil"/>
              </w:pBdr>
              <w:jc w:val="left"/>
              <w:rPr>
                <w:color w:val="000000"/>
                <w:sz w:val="20"/>
                <w:szCs w:val="20"/>
                <w:lang w:val="en-US"/>
              </w:rPr>
            </w:pPr>
            <w:r w:rsidRPr="00956879">
              <w:rPr>
                <w:color w:val="000000"/>
                <w:sz w:val="20"/>
                <w:szCs w:val="20"/>
                <w:lang w:val="en-US"/>
              </w:rPr>
              <w:lastRenderedPageBreak/>
              <w:t>Major regional policy tools (e.g., funds, plans, policy initiatives, institutional agreements, etc.)</w:t>
            </w:r>
          </w:p>
        </w:tc>
        <w:tc>
          <w:tcPr>
            <w:tcW w:w="6095" w:type="dxa"/>
            <w:tcBorders>
              <w:right w:val="nil"/>
            </w:tcBorders>
          </w:tcPr>
          <w:p w14:paraId="5092872A" w14:textId="1DEE796C"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Policy for Regional Development (PNDR)</w:t>
            </w:r>
            <w:r w:rsidR="00E73565" w:rsidRPr="00956879">
              <w:rPr>
                <w:color w:val="000000"/>
                <w:sz w:val="20"/>
                <w:szCs w:val="20"/>
                <w:lang w:val="en-US"/>
              </w:rPr>
              <w:t xml:space="preserve"> (in progress)</w:t>
            </w:r>
          </w:p>
          <w:p w14:paraId="205838B7" w14:textId="1AF1B00D"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Strategic Regional Development Plans </w:t>
            </w:r>
            <w:r w:rsidR="00AF4F62" w:rsidRPr="00956879">
              <w:rPr>
                <w:color w:val="000000"/>
                <w:sz w:val="20"/>
                <w:szCs w:val="20"/>
                <w:lang w:val="en-US"/>
              </w:rPr>
              <w:t xml:space="preserve">2030 </w:t>
            </w:r>
            <w:r w:rsidRPr="00956879">
              <w:rPr>
                <w:color w:val="000000"/>
                <w:sz w:val="20"/>
                <w:szCs w:val="20"/>
                <w:lang w:val="en-US"/>
              </w:rPr>
              <w:t>(PDR).</w:t>
            </w:r>
          </w:p>
          <w:p w14:paraId="60826FE5" w14:textId="4DA53E17" w:rsidR="00E73565" w:rsidRPr="00956879" w:rsidRDefault="00E73565">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Development Agencies (AREDEs)</w:t>
            </w:r>
            <w:r w:rsidR="007C397A" w:rsidRPr="00956879">
              <w:rPr>
                <w:color w:val="000000"/>
                <w:sz w:val="20"/>
                <w:szCs w:val="20"/>
                <w:lang w:val="en-US"/>
              </w:rPr>
              <w:t xml:space="preserve"> (in progress)</w:t>
            </w:r>
          </w:p>
          <w:p w14:paraId="39B0160C" w14:textId="6AC0847B" w:rsidR="007C397A" w:rsidRPr="00956879" w:rsidRDefault="007C397A">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Management agreements and regional budgets from the Regional Development Agreement Tables (in progress)</w:t>
            </w:r>
          </w:p>
          <w:p w14:paraId="3FDD56EE" w14:textId="5814D19F" w:rsidR="000A6AB9" w:rsidRPr="00956879" w:rsidRDefault="00E73565">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Development Observatory (ODR)</w:t>
            </w:r>
            <w:r w:rsidR="007C397A" w:rsidRPr="00956879">
              <w:rPr>
                <w:color w:val="000000"/>
                <w:sz w:val="20"/>
                <w:szCs w:val="20"/>
                <w:lang w:val="en-US"/>
              </w:rPr>
              <w:t xml:space="preserve"> </w:t>
            </w:r>
            <w:r w:rsidR="005A21C3" w:rsidRPr="00956879">
              <w:rPr>
                <w:color w:val="000000"/>
                <w:sz w:val="20"/>
                <w:szCs w:val="20"/>
                <w:lang w:val="en-US"/>
              </w:rPr>
              <w:t xml:space="preserve">of statistics and territorial information </w:t>
            </w:r>
            <w:r w:rsidR="007C397A" w:rsidRPr="00956879">
              <w:rPr>
                <w:color w:val="000000"/>
                <w:sz w:val="20"/>
                <w:szCs w:val="20"/>
                <w:lang w:val="en-US"/>
              </w:rPr>
              <w:t>(in progress)</w:t>
            </w:r>
          </w:p>
          <w:p w14:paraId="6546CA39" w14:textId="77777777" w:rsidR="00EE7F63"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Economic indices (regionalized GDP)</w:t>
            </w:r>
            <w:r w:rsidR="00EE7F63" w:rsidRPr="00956879">
              <w:rPr>
                <w:color w:val="000000"/>
                <w:sz w:val="20"/>
                <w:szCs w:val="20"/>
                <w:lang w:val="en-US"/>
              </w:rPr>
              <w:t xml:space="preserve"> (in progress)</w:t>
            </w:r>
          </w:p>
          <w:p w14:paraId="2240E664" w14:textId="67C8D1DC"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National Fund for Regional Development (FONADER) </w:t>
            </w:r>
            <w:r w:rsidR="00E73565" w:rsidRPr="00956879">
              <w:rPr>
                <w:color w:val="000000"/>
                <w:sz w:val="20"/>
                <w:szCs w:val="20"/>
                <w:lang w:val="en-US"/>
              </w:rPr>
              <w:t>(in progress)</w:t>
            </w:r>
          </w:p>
          <w:p w14:paraId="7D8E849C" w14:textId="54772DFE" w:rsidR="000A6AB9" w:rsidRPr="00956879" w:rsidRDefault="00100973" w:rsidP="00EE7F6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Regional Urban Plans (PUR) </w:t>
            </w:r>
            <w:r w:rsidR="00E73565" w:rsidRPr="00956879">
              <w:rPr>
                <w:color w:val="000000"/>
                <w:sz w:val="20"/>
                <w:szCs w:val="20"/>
                <w:lang w:val="en-US"/>
              </w:rPr>
              <w:t>(in progress)</w:t>
            </w:r>
          </w:p>
          <w:p w14:paraId="5F8256E5"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State Policy for Territorial Rural Development 2015-2030 (PEDRT)</w:t>
            </w:r>
          </w:p>
          <w:p w14:paraId="1CCAFB5D" w14:textId="77777777"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National Rural Territorial Development Plan 2017-2022 (PDRT)</w:t>
            </w:r>
          </w:p>
          <w:p w14:paraId="69CF5E50" w14:textId="4A32EFBB" w:rsidR="00A21FC3" w:rsidRPr="00956879" w:rsidRDefault="00A21FC3" w:rsidP="00A21FC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Rural Development Fund.</w:t>
            </w:r>
          </w:p>
          <w:p w14:paraId="536207C4" w14:textId="37A246B2" w:rsidR="00A21FC3" w:rsidRPr="00956879" w:rsidRDefault="00A21FC3" w:rsidP="00A21FC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Resources managed by the Regional Development Board of the Southern Zone (JUDESUR). – Law No. 9356</w:t>
            </w:r>
          </w:p>
          <w:p w14:paraId="72D0C8D6" w14:textId="0DD29AE4" w:rsidR="00A21FC3" w:rsidRPr="00956879" w:rsidRDefault="00A21FC3" w:rsidP="00A21FC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Resources managed by the Costa Rican Institute of Pacific Ports (INCOP). – Law No. 8461.</w:t>
            </w:r>
          </w:p>
          <w:p w14:paraId="264C83B5" w14:textId="5E356936" w:rsidR="00D12BA2" w:rsidRPr="00956879" w:rsidRDefault="00A21FC3" w:rsidP="00A21FC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Resources managed by the Board of Port Administration and Economic Development of the Atlantic Slope (JAPDEVA). – Law No. 3091.</w:t>
            </w:r>
          </w:p>
        </w:tc>
      </w:tr>
      <w:tr w:rsidR="000A6AB9" w:rsidRPr="00956879" w14:paraId="18A30104" w14:textId="77777777" w:rsidTr="001559AE">
        <w:trPr>
          <w:trHeight w:val="238"/>
          <w:jc w:val="center"/>
        </w:trPr>
        <w:tc>
          <w:tcPr>
            <w:tcW w:w="3119" w:type="dxa"/>
            <w:tcBorders>
              <w:left w:val="nil"/>
            </w:tcBorders>
          </w:tcPr>
          <w:p w14:paraId="30412D3C"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 xml:space="preserve">Policy co-ordination tools at national level </w:t>
            </w:r>
          </w:p>
        </w:tc>
        <w:tc>
          <w:tcPr>
            <w:tcW w:w="6095" w:type="dxa"/>
            <w:tcBorders>
              <w:right w:val="nil"/>
            </w:tcBorders>
          </w:tcPr>
          <w:p w14:paraId="4F7110F1" w14:textId="6C457F23"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National Development </w:t>
            </w:r>
            <w:r w:rsidR="00A910C5" w:rsidRPr="00956879">
              <w:rPr>
                <w:color w:val="000000"/>
                <w:sz w:val="20"/>
                <w:szCs w:val="20"/>
                <w:lang w:val="en-US"/>
              </w:rPr>
              <w:t>and Public Investment Plan</w:t>
            </w:r>
            <w:r w:rsidRPr="00956879">
              <w:rPr>
                <w:color w:val="000000"/>
                <w:sz w:val="20"/>
                <w:szCs w:val="20"/>
                <w:lang w:val="en-US"/>
              </w:rPr>
              <w:t xml:space="preserve"> (PNDIP)</w:t>
            </w:r>
          </w:p>
          <w:p w14:paraId="388A8339" w14:textId="14E07BA4" w:rsidR="005A21C3" w:rsidRPr="00956879" w:rsidRDefault="005A21C3" w:rsidP="005A21C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Regional Development Policy (in progress)</w:t>
            </w:r>
          </w:p>
          <w:p w14:paraId="3FA3C598" w14:textId="412B460B"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Strategic Plan (PEN)</w:t>
            </w:r>
            <w:r w:rsidR="00A910C5" w:rsidRPr="00956879">
              <w:rPr>
                <w:color w:val="000000"/>
                <w:sz w:val="20"/>
                <w:szCs w:val="20"/>
                <w:lang w:val="en-US"/>
              </w:rPr>
              <w:t xml:space="preserve"> to 2050</w:t>
            </w:r>
          </w:p>
          <w:p w14:paraId="08E01C1C" w14:textId="77777777"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National Sectoral Plans</w:t>
            </w:r>
          </w:p>
        </w:tc>
      </w:tr>
      <w:tr w:rsidR="000A6AB9" w:rsidRPr="00956879" w14:paraId="4955FF2B" w14:textId="77777777" w:rsidTr="001559AE">
        <w:trPr>
          <w:trHeight w:val="238"/>
          <w:jc w:val="center"/>
        </w:trPr>
        <w:tc>
          <w:tcPr>
            <w:tcW w:w="3119" w:type="dxa"/>
            <w:tcBorders>
              <w:left w:val="nil"/>
            </w:tcBorders>
          </w:tcPr>
          <w:p w14:paraId="406ABBB0"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Multi-level governance mechanisms between national and subnational levels (e.g., institutional agreements, Committees, etc.)</w:t>
            </w:r>
          </w:p>
        </w:tc>
        <w:tc>
          <w:tcPr>
            <w:tcW w:w="6095" w:type="dxa"/>
            <w:tcBorders>
              <w:right w:val="nil"/>
            </w:tcBorders>
          </w:tcPr>
          <w:p w14:paraId="59AF227B" w14:textId="033BEF9D"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Regional Development Policy (PNDR)</w:t>
            </w:r>
          </w:p>
          <w:p w14:paraId="2ECAB6D4" w14:textId="6F34EDED"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 xml:space="preserve">Regional Development </w:t>
            </w:r>
            <w:r w:rsidR="00CA36B8" w:rsidRPr="00956879">
              <w:rPr>
                <w:color w:val="000000"/>
                <w:sz w:val="20"/>
                <w:szCs w:val="20"/>
                <w:lang w:val="en-US"/>
              </w:rPr>
              <w:t xml:space="preserve">Agreement Tables </w:t>
            </w:r>
            <w:r w:rsidRPr="00956879">
              <w:rPr>
                <w:color w:val="000000"/>
                <w:sz w:val="20"/>
                <w:szCs w:val="20"/>
                <w:lang w:val="en-US"/>
              </w:rPr>
              <w:t>(</w:t>
            </w:r>
            <w:r w:rsidR="00CA36B8" w:rsidRPr="00956879">
              <w:rPr>
                <w:color w:val="000000"/>
                <w:sz w:val="20"/>
                <w:szCs w:val="20"/>
                <w:lang w:val="en-US"/>
              </w:rPr>
              <w:t>in progress</w:t>
            </w:r>
            <w:r w:rsidRPr="00956879">
              <w:rPr>
                <w:color w:val="000000"/>
                <w:sz w:val="20"/>
                <w:szCs w:val="20"/>
                <w:lang w:val="en-US"/>
              </w:rPr>
              <w:t>).</w:t>
            </w:r>
          </w:p>
          <w:p w14:paraId="31D4BD4E"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Municipal and Community Emergency Committees</w:t>
            </w:r>
          </w:p>
          <w:p w14:paraId="496F2E74" w14:textId="01556D04"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Other commissions, committees and working groups on various topics by region</w:t>
            </w:r>
            <w:r w:rsidR="00D12BA2" w:rsidRPr="00956879">
              <w:rPr>
                <w:color w:val="000000"/>
                <w:sz w:val="20"/>
                <w:szCs w:val="20"/>
                <w:lang w:val="en-US"/>
              </w:rPr>
              <w:t>.</w:t>
            </w:r>
          </w:p>
        </w:tc>
      </w:tr>
      <w:tr w:rsidR="000A6AB9" w:rsidRPr="007F4546" w14:paraId="4946FDFB" w14:textId="77777777" w:rsidTr="001559AE">
        <w:trPr>
          <w:trHeight w:val="238"/>
          <w:jc w:val="center"/>
        </w:trPr>
        <w:tc>
          <w:tcPr>
            <w:tcW w:w="3119" w:type="dxa"/>
            <w:tcBorders>
              <w:left w:val="nil"/>
            </w:tcBorders>
          </w:tcPr>
          <w:p w14:paraId="032AE519"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 xml:space="preserve">Policy co-ordination tools at regional level </w:t>
            </w:r>
          </w:p>
        </w:tc>
        <w:tc>
          <w:tcPr>
            <w:tcW w:w="6095" w:type="dxa"/>
            <w:tcBorders>
              <w:right w:val="nil"/>
            </w:tcBorders>
          </w:tcPr>
          <w:p w14:paraId="1FA3A6B5" w14:textId="5C989BA6"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Development Agencies (AREDES) (</w:t>
            </w:r>
            <w:r w:rsidR="00A910C5" w:rsidRPr="00956879">
              <w:rPr>
                <w:color w:val="000000"/>
                <w:sz w:val="20"/>
                <w:szCs w:val="20"/>
                <w:lang w:val="en-US"/>
              </w:rPr>
              <w:t>in progress</w:t>
            </w:r>
            <w:r w:rsidRPr="00956879">
              <w:rPr>
                <w:color w:val="000000"/>
                <w:sz w:val="20"/>
                <w:szCs w:val="20"/>
                <w:lang w:val="en-US"/>
              </w:rPr>
              <w:t>)</w:t>
            </w:r>
          </w:p>
          <w:p w14:paraId="643F3131"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Intersectoral Committees (CIR)</w:t>
            </w:r>
          </w:p>
          <w:p w14:paraId="674F018F"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Territorial Councils for Rural Development (CTDR)</w:t>
            </w:r>
          </w:p>
          <w:p w14:paraId="5CFBC634" w14:textId="77777777"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Regional Agricultural Sectoral Committee (CSRA)</w:t>
            </w:r>
          </w:p>
          <w:p w14:paraId="10F91A75" w14:textId="77777777" w:rsidR="007F4546"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Cantonal Institutional Coordination Councils (CCCI)</w:t>
            </w:r>
          </w:p>
          <w:p w14:paraId="23748CB7" w14:textId="7FC70433"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Other commissions, committees and working groups on various topics by region</w:t>
            </w:r>
          </w:p>
        </w:tc>
      </w:tr>
      <w:tr w:rsidR="000A6AB9" w:rsidRPr="00956879" w14:paraId="26BE4BAF" w14:textId="77777777" w:rsidTr="001559AE">
        <w:trPr>
          <w:trHeight w:val="238"/>
          <w:jc w:val="center"/>
        </w:trPr>
        <w:tc>
          <w:tcPr>
            <w:tcW w:w="3119" w:type="dxa"/>
            <w:tcBorders>
              <w:left w:val="nil"/>
            </w:tcBorders>
          </w:tcPr>
          <w:p w14:paraId="438A542F" w14:textId="77777777" w:rsidR="000A6AB9" w:rsidRPr="00956879" w:rsidRDefault="00100973">
            <w:pPr>
              <w:widowControl/>
              <w:pBdr>
                <w:top w:val="nil"/>
                <w:left w:val="nil"/>
                <w:bottom w:val="nil"/>
                <w:right w:val="nil"/>
                <w:between w:val="nil"/>
              </w:pBdr>
              <w:jc w:val="left"/>
              <w:rPr>
                <w:color w:val="000000"/>
                <w:sz w:val="20"/>
                <w:szCs w:val="20"/>
                <w:lang w:val="en-US"/>
              </w:rPr>
            </w:pPr>
            <w:r w:rsidRPr="00956879">
              <w:rPr>
                <w:color w:val="000000"/>
                <w:sz w:val="20"/>
                <w:szCs w:val="20"/>
                <w:lang w:val="en-US"/>
              </w:rPr>
              <w:t>Evaluation and monitoring tools</w:t>
            </w:r>
          </w:p>
        </w:tc>
        <w:tc>
          <w:tcPr>
            <w:tcW w:w="6095" w:type="dxa"/>
            <w:tcBorders>
              <w:right w:val="nil"/>
            </w:tcBorders>
          </w:tcPr>
          <w:p w14:paraId="2CCC6C49" w14:textId="2FC5B99B" w:rsidR="000A6AB9" w:rsidRPr="00956879" w:rsidRDefault="005A21C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w:t>
            </w:r>
            <w:r w:rsidR="00100973" w:rsidRPr="00956879">
              <w:rPr>
                <w:color w:val="000000"/>
                <w:sz w:val="20"/>
                <w:szCs w:val="20"/>
                <w:lang w:val="en-US"/>
              </w:rPr>
              <w:t>egional and regionalized goals</w:t>
            </w:r>
            <w:r w:rsidRPr="00956879">
              <w:rPr>
                <w:color w:val="000000"/>
                <w:sz w:val="20"/>
                <w:szCs w:val="20"/>
                <w:lang w:val="en-US"/>
              </w:rPr>
              <w:t xml:space="preserve"> of the National Development and Public Investment Plan (PNDIP) 2023-2026.</w:t>
            </w:r>
          </w:p>
          <w:p w14:paraId="2F0EE05B" w14:textId="77777777" w:rsidR="00490E84" w:rsidRPr="00956879" w:rsidRDefault="005A21C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 xml:space="preserve">Follow-up reports of the </w:t>
            </w:r>
            <w:r w:rsidR="00100973" w:rsidRPr="00956879">
              <w:rPr>
                <w:color w:val="000000"/>
                <w:sz w:val="20"/>
                <w:szCs w:val="20"/>
                <w:lang w:val="en-US"/>
              </w:rPr>
              <w:t>National Rural Territorial Development Plan 2017-2022 (PDRT)</w:t>
            </w:r>
            <w:r w:rsidR="00490E84" w:rsidRPr="00956879">
              <w:rPr>
                <w:color w:val="000000"/>
                <w:sz w:val="20"/>
                <w:szCs w:val="20"/>
                <w:lang w:val="en-US"/>
              </w:rPr>
              <w:t>.</w:t>
            </w:r>
          </w:p>
          <w:p w14:paraId="396304DC" w14:textId="37F8B5A7"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 xml:space="preserve"> </w:t>
            </w:r>
            <w:r w:rsidR="00490E84" w:rsidRPr="00956879">
              <w:rPr>
                <w:color w:val="000000"/>
                <w:sz w:val="20"/>
                <w:szCs w:val="20"/>
                <w:lang w:val="en-US"/>
              </w:rPr>
              <w:t xml:space="preserve">Follow-up reports </w:t>
            </w:r>
            <w:r w:rsidRPr="00956879">
              <w:rPr>
                <w:color w:val="000000"/>
                <w:sz w:val="20"/>
                <w:szCs w:val="20"/>
                <w:lang w:val="en-US"/>
              </w:rPr>
              <w:t>of the Plans for rural territories.</w:t>
            </w:r>
          </w:p>
        </w:tc>
      </w:tr>
      <w:tr w:rsidR="000A6AB9" w:rsidRPr="00956879" w14:paraId="2ACC947E" w14:textId="77777777" w:rsidTr="001559AE">
        <w:trPr>
          <w:trHeight w:val="238"/>
          <w:jc w:val="center"/>
        </w:trPr>
        <w:tc>
          <w:tcPr>
            <w:tcW w:w="3119" w:type="dxa"/>
            <w:tcBorders>
              <w:left w:val="nil"/>
              <w:bottom w:val="single" w:sz="12" w:space="0" w:color="4E81BD"/>
            </w:tcBorders>
          </w:tcPr>
          <w:p w14:paraId="6D6A314B" w14:textId="77777777" w:rsidR="000A6AB9" w:rsidRPr="00956879" w:rsidRDefault="00100973">
            <w:pPr>
              <w:widowControl/>
              <w:pBdr>
                <w:top w:val="nil"/>
                <w:left w:val="nil"/>
                <w:bottom w:val="nil"/>
                <w:right w:val="nil"/>
                <w:between w:val="nil"/>
              </w:pBdr>
              <w:jc w:val="left"/>
              <w:rPr>
                <w:color w:val="000000"/>
                <w:sz w:val="20"/>
                <w:szCs w:val="20"/>
                <w:lang w:val="en-US"/>
              </w:rPr>
            </w:pPr>
            <w:bookmarkStart w:id="1" w:name="_heading=h.gjdgxs" w:colFirst="0" w:colLast="0"/>
            <w:bookmarkEnd w:id="1"/>
            <w:r w:rsidRPr="00956879">
              <w:rPr>
                <w:color w:val="000000"/>
                <w:sz w:val="20"/>
                <w:szCs w:val="20"/>
                <w:lang w:val="en-US"/>
              </w:rPr>
              <w:t>Future orientations of regional policy</w:t>
            </w:r>
          </w:p>
        </w:tc>
        <w:tc>
          <w:tcPr>
            <w:tcW w:w="6095" w:type="dxa"/>
            <w:tcBorders>
              <w:bottom w:val="single" w:sz="12" w:space="0" w:color="4E81BD"/>
              <w:right w:val="nil"/>
            </w:tcBorders>
          </w:tcPr>
          <w:p w14:paraId="1DF1F758" w14:textId="73D7C690"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National Regional Development Policy</w:t>
            </w:r>
            <w:r w:rsidR="005A21C3" w:rsidRPr="00956879">
              <w:rPr>
                <w:color w:val="000000"/>
                <w:sz w:val="20"/>
                <w:szCs w:val="20"/>
                <w:lang w:val="en-US"/>
              </w:rPr>
              <w:t xml:space="preserve"> (PNDR)</w:t>
            </w:r>
          </w:p>
          <w:p w14:paraId="66AAB06D" w14:textId="4201B929" w:rsidR="000A6AB9" w:rsidRPr="00956879" w:rsidRDefault="0010097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Regulation</w:t>
            </w:r>
            <w:r w:rsidR="005A21C3" w:rsidRPr="00956879">
              <w:rPr>
                <w:color w:val="000000"/>
                <w:sz w:val="20"/>
                <w:szCs w:val="20"/>
                <w:lang w:val="en-US"/>
              </w:rPr>
              <w:t xml:space="preserve"> of </w:t>
            </w:r>
            <w:r w:rsidRPr="00956879">
              <w:rPr>
                <w:color w:val="000000"/>
                <w:sz w:val="20"/>
                <w:szCs w:val="20"/>
                <w:lang w:val="en-US"/>
              </w:rPr>
              <w:t>the Regional Development Law</w:t>
            </w:r>
            <w:r w:rsidR="005A21C3" w:rsidRPr="00956879">
              <w:rPr>
                <w:color w:val="000000"/>
                <w:sz w:val="20"/>
                <w:szCs w:val="20"/>
                <w:lang w:val="en-US"/>
              </w:rPr>
              <w:t xml:space="preserve"> </w:t>
            </w:r>
            <w:r w:rsidR="00EE7F63" w:rsidRPr="00956879">
              <w:rPr>
                <w:color w:val="000000"/>
                <w:sz w:val="20"/>
                <w:szCs w:val="20"/>
                <w:lang w:val="en-US"/>
              </w:rPr>
              <w:t>(in progress)</w:t>
            </w:r>
          </w:p>
          <w:p w14:paraId="3D3F2E0C" w14:textId="37E97361" w:rsidR="000A6AB9" w:rsidRPr="00956879" w:rsidRDefault="005A21C3">
            <w:pPr>
              <w:numPr>
                <w:ilvl w:val="0"/>
                <w:numId w:val="1"/>
              </w:numPr>
              <w:pBdr>
                <w:top w:val="nil"/>
                <w:left w:val="nil"/>
                <w:bottom w:val="nil"/>
                <w:right w:val="nil"/>
                <w:between w:val="nil"/>
              </w:pBdr>
              <w:spacing w:before="0" w:after="0"/>
              <w:ind w:left="24" w:hanging="77"/>
              <w:jc w:val="left"/>
              <w:rPr>
                <w:color w:val="000000"/>
                <w:sz w:val="20"/>
                <w:szCs w:val="20"/>
                <w:lang w:val="en-US"/>
              </w:rPr>
            </w:pPr>
            <w:r w:rsidRPr="00956879">
              <w:rPr>
                <w:color w:val="000000"/>
                <w:sz w:val="20"/>
                <w:szCs w:val="20"/>
                <w:lang w:val="en-US"/>
              </w:rPr>
              <w:t>Study to update the r</w:t>
            </w:r>
            <w:r w:rsidR="00100973" w:rsidRPr="00956879">
              <w:rPr>
                <w:color w:val="000000"/>
                <w:sz w:val="20"/>
                <w:szCs w:val="20"/>
                <w:lang w:val="en-US"/>
              </w:rPr>
              <w:t xml:space="preserve">egionalization </w:t>
            </w:r>
            <w:r w:rsidRPr="00956879">
              <w:rPr>
                <w:color w:val="000000"/>
                <w:sz w:val="20"/>
                <w:szCs w:val="20"/>
                <w:lang w:val="en-US"/>
              </w:rPr>
              <w:t xml:space="preserve">scheme </w:t>
            </w:r>
            <w:r w:rsidR="00100973" w:rsidRPr="00956879">
              <w:rPr>
                <w:color w:val="000000"/>
                <w:sz w:val="20"/>
                <w:szCs w:val="20"/>
                <w:lang w:val="en-US"/>
              </w:rPr>
              <w:t>of the country</w:t>
            </w:r>
          </w:p>
          <w:p w14:paraId="3BD66424" w14:textId="11FC2DD4" w:rsidR="000A6AB9" w:rsidRPr="00956879" w:rsidRDefault="00100973">
            <w:pPr>
              <w:numPr>
                <w:ilvl w:val="0"/>
                <w:numId w:val="1"/>
              </w:numPr>
              <w:pBdr>
                <w:top w:val="nil"/>
                <w:left w:val="nil"/>
                <w:bottom w:val="nil"/>
                <w:right w:val="nil"/>
                <w:between w:val="nil"/>
              </w:pBdr>
              <w:spacing w:before="0"/>
              <w:ind w:left="24" w:hanging="77"/>
              <w:jc w:val="left"/>
              <w:rPr>
                <w:color w:val="000000"/>
                <w:sz w:val="20"/>
                <w:szCs w:val="20"/>
                <w:lang w:val="en-US"/>
              </w:rPr>
            </w:pPr>
            <w:r w:rsidRPr="00956879">
              <w:rPr>
                <w:color w:val="000000"/>
                <w:sz w:val="20"/>
                <w:szCs w:val="20"/>
                <w:lang w:val="en-US"/>
              </w:rPr>
              <w:t>Updated Regional Development Plans</w:t>
            </w:r>
          </w:p>
        </w:tc>
      </w:tr>
    </w:tbl>
    <w:p w14:paraId="05697055" w14:textId="0D5880C4" w:rsidR="000A6AB9" w:rsidRDefault="00100973">
      <w:pPr>
        <w:keepNext/>
        <w:widowControl/>
        <w:pBdr>
          <w:top w:val="nil"/>
          <w:left w:val="nil"/>
          <w:bottom w:val="nil"/>
          <w:right w:val="nil"/>
          <w:between w:val="nil"/>
        </w:pBdr>
        <w:spacing w:before="360" w:after="240" w:line="320" w:lineRule="auto"/>
        <w:jc w:val="left"/>
        <w:rPr>
          <w:b/>
          <w:color w:val="4E81BD"/>
          <w:sz w:val="24"/>
          <w:szCs w:val="24"/>
          <w:lang w:val="en-US"/>
        </w:rPr>
      </w:pPr>
      <w:r w:rsidRPr="00956879">
        <w:rPr>
          <w:b/>
          <w:color w:val="4E81BD"/>
          <w:sz w:val="24"/>
          <w:szCs w:val="24"/>
          <w:lang w:val="en-US"/>
        </w:rPr>
        <w:t>Recent policy developments</w:t>
      </w:r>
    </w:p>
    <w:p w14:paraId="4EEC604F" w14:textId="22659077" w:rsidR="001559AE" w:rsidRPr="001559AE" w:rsidRDefault="001559AE" w:rsidP="001559AE">
      <w:pPr>
        <w:pStyle w:val="Para"/>
      </w:pPr>
      <w:r w:rsidRPr="001559AE">
        <w:t>One of the main and recen</w:t>
      </w:r>
      <w:r>
        <w:t>t</w:t>
      </w:r>
      <w:r w:rsidRPr="001559AE">
        <w:t xml:space="preserve"> policy development in Costa Rica</w:t>
      </w:r>
      <w:r>
        <w:t xml:space="preserve"> </w:t>
      </w:r>
      <w:r w:rsidRPr="001559AE">
        <w:t xml:space="preserve">is the </w:t>
      </w:r>
      <w:r w:rsidR="006B71BC">
        <w:t>entry into force</w:t>
      </w:r>
      <w:r>
        <w:t xml:space="preserve"> of the </w:t>
      </w:r>
      <w:r w:rsidRPr="001559AE">
        <w:t xml:space="preserve">Regional Development Law No. 10.096, which brings a twist </w:t>
      </w:r>
      <w:r>
        <w:t>to</w:t>
      </w:r>
      <w:r w:rsidRPr="001559AE">
        <w:t xml:space="preserve"> managing development because of its emphasis on subnational areas, </w:t>
      </w:r>
      <w:r>
        <w:t>particularly</w:t>
      </w:r>
      <w:r w:rsidRPr="001559AE">
        <w:t xml:space="preserve"> on the planning regions. This law reinforces the Regional Planning </w:t>
      </w:r>
      <w:r w:rsidRPr="001559AE">
        <w:lastRenderedPageBreak/>
        <w:t xml:space="preserve">Subsystem and </w:t>
      </w:r>
      <w:r>
        <w:t>provides</w:t>
      </w:r>
      <w:r w:rsidRPr="001559AE">
        <w:t xml:space="preserve"> new tools for </w:t>
      </w:r>
      <w:r>
        <w:t>addressing</w:t>
      </w:r>
      <w:r w:rsidRPr="001559AE">
        <w:t xml:space="preserve"> internal and external regional development gaps. Some of these tools are the Regional Development Fund, the regional budgets, the regional GDP index, the Regional Development Observatory, the National Regional Development Policy, the Study to update the regionali</w:t>
      </w:r>
      <w:r>
        <w:t>s</w:t>
      </w:r>
      <w:r w:rsidRPr="001559AE">
        <w:t xml:space="preserve">ation scheme of the country, the Regional Development Agencies and its coordination mechanisms between national and regional levels. </w:t>
      </w:r>
      <w:r>
        <w:t>Furthermore</w:t>
      </w:r>
      <w:r w:rsidRPr="001559AE">
        <w:t>, the law establishes the concept, objective and axes for regional development in Costa Rica, as well as provisions for development planning and budgeting, considering the regional level.</w:t>
      </w:r>
      <w:r w:rsidR="006B71BC">
        <w:t xml:space="preserve"> The implementation of the law is underway. </w:t>
      </w:r>
    </w:p>
    <w:p w14:paraId="1750A903" w14:textId="6663CA5C" w:rsidR="001559AE" w:rsidRPr="001559AE" w:rsidRDefault="001559AE" w:rsidP="001559AE">
      <w:pPr>
        <w:pStyle w:val="Para"/>
      </w:pPr>
      <w:r w:rsidRPr="001559AE">
        <w:t>Finally</w:t>
      </w:r>
      <w:r w:rsidR="006B71BC">
        <w:t xml:space="preserve">, </w:t>
      </w:r>
      <w:r w:rsidRPr="001559AE">
        <w:t>two additional initiatives contribute to regional development</w:t>
      </w:r>
      <w:r>
        <w:t>. The first is</w:t>
      </w:r>
      <w:r w:rsidRPr="001559AE">
        <w:t xml:space="preserve"> the National Clusters Program, led by the Ministry of Labour and Social Security </w:t>
      </w:r>
      <w:r>
        <w:t>(</w:t>
      </w:r>
      <w:r w:rsidRPr="001559AE">
        <w:t>MTSS</w:t>
      </w:r>
      <w:r>
        <w:t>)</w:t>
      </w:r>
      <w:r w:rsidRPr="001559AE">
        <w:t>,</w:t>
      </w:r>
      <w:r>
        <w:t xml:space="preserve"> which </w:t>
      </w:r>
      <w:r w:rsidRPr="001559AE">
        <w:t>focuse</w:t>
      </w:r>
      <w:r>
        <w:t>s</w:t>
      </w:r>
      <w:r w:rsidRPr="001559AE">
        <w:t xml:space="preserve"> on facilitating collaboration to improve productivity, competitiveness, innovation, linkages and employment at the national and territorial levels.</w:t>
      </w:r>
      <w:r>
        <w:t xml:space="preserve"> The second initiative is </w:t>
      </w:r>
      <w:r w:rsidRPr="001559AE">
        <w:t>the Law to Strengthen Territorial Competitiveness to Promote the Attraction of Investments Outside the Greater Metropolitan Area (GAM), No. 10234, led by the Costa Rican Investment Promotion Agency</w:t>
      </w:r>
      <w:r>
        <w:t xml:space="preserve"> (</w:t>
      </w:r>
      <w:r w:rsidRPr="001559AE">
        <w:t>CINDE</w:t>
      </w:r>
      <w:r>
        <w:t>)</w:t>
      </w:r>
      <w:r w:rsidRPr="001559AE">
        <w:t xml:space="preserve">. </w:t>
      </w:r>
    </w:p>
    <w:p w14:paraId="2FC2099A" w14:textId="77777777" w:rsidR="000A6AB9" w:rsidRPr="00956879" w:rsidRDefault="000A6AB9">
      <w:pPr>
        <w:widowControl/>
        <w:pBdr>
          <w:top w:val="nil"/>
          <w:left w:val="nil"/>
          <w:bottom w:val="nil"/>
          <w:right w:val="nil"/>
          <w:between w:val="nil"/>
        </w:pBdr>
        <w:spacing w:before="120" w:after="120" w:line="276" w:lineRule="auto"/>
        <w:rPr>
          <w:color w:val="000000"/>
          <w:sz w:val="20"/>
          <w:szCs w:val="20"/>
          <w:lang w:val="en-US"/>
        </w:rPr>
      </w:pPr>
      <w:bookmarkStart w:id="2" w:name="_heading=h.30j0zll" w:colFirst="0" w:colLast="0"/>
      <w:bookmarkEnd w:id="2"/>
      <w:bookmarkEnd w:id="0"/>
    </w:p>
    <w:sectPr w:rsidR="000A6AB9" w:rsidRPr="00956879">
      <w:headerReference w:type="even" r:id="rId15"/>
      <w:headerReference w:type="default" r:id="rId16"/>
      <w:footerReference w:type="even" r:id="rId17"/>
      <w:footerReference w:type="default" r:id="rId18"/>
      <w:headerReference w:type="first" r:id="rId19"/>
      <w:footerReference w:type="first" r:id="rId20"/>
      <w:pgSz w:w="11906" w:h="16838"/>
      <w:pgMar w:top="1814" w:right="1304" w:bottom="1758" w:left="1304" w:header="1247" w:footer="10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7A913" w14:textId="77777777" w:rsidR="000B2866" w:rsidRDefault="000B2866">
      <w:r>
        <w:separator/>
      </w:r>
    </w:p>
  </w:endnote>
  <w:endnote w:type="continuationSeparator" w:id="0">
    <w:p w14:paraId="40A57E53" w14:textId="77777777" w:rsidR="000B2866" w:rsidRDefault="000B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atLink">
    <w:altName w:val="Times New Roman"/>
    <w:charset w:val="00"/>
    <w:family w:val="auto"/>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733E" w14:textId="77777777" w:rsidR="000A6AB9" w:rsidRDefault="00100973">
    <w:pPr>
      <w:pBdr>
        <w:top w:val="nil"/>
        <w:left w:val="nil"/>
        <w:bottom w:val="nil"/>
        <w:right w:val="nil"/>
        <w:between w:val="nil"/>
      </w:pBdr>
      <w:tabs>
        <w:tab w:val="center" w:pos="4513"/>
        <w:tab w:val="right" w:pos="9026"/>
      </w:tabs>
      <w:spacing w:before="120"/>
      <w:jc w:val="right"/>
      <w:rPr>
        <w:smallCaps/>
        <w:color w:val="000000"/>
        <w:sz w:val="16"/>
        <w:szCs w:val="16"/>
      </w:rPr>
    </w:pPr>
    <w:r>
      <w:rPr>
        <w:smallCaps/>
        <w:color w:val="000000"/>
        <w:sz w:val="16"/>
        <w:szCs w:val="16"/>
      </w:rPr>
      <w:t xml:space="preserve"> </w:t>
    </w:r>
  </w:p>
  <w:p w14:paraId="7DFAC66B" w14:textId="77777777" w:rsidR="000A6AB9" w:rsidRDefault="00100973">
    <w:pPr>
      <w:pBdr>
        <w:top w:val="nil"/>
        <w:left w:val="nil"/>
        <w:bottom w:val="nil"/>
        <w:right w:val="nil"/>
        <w:between w:val="nil"/>
      </w:pBdr>
      <w:jc w:val="left"/>
      <w:rPr>
        <w:color w:val="000000"/>
        <w:sz w:val="16"/>
        <w:szCs w:val="16"/>
      </w:rPr>
    </w:pPr>
    <w:r>
      <w:rPr>
        <w:color w:val="000000"/>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15E0" w14:textId="77777777" w:rsidR="000A6AB9" w:rsidRDefault="00100973">
    <w:pPr>
      <w:pBdr>
        <w:top w:val="nil"/>
        <w:left w:val="nil"/>
        <w:bottom w:val="nil"/>
        <w:right w:val="nil"/>
        <w:between w:val="nil"/>
      </w:pBdr>
      <w:tabs>
        <w:tab w:val="center" w:pos="4513"/>
        <w:tab w:val="right" w:pos="9026"/>
      </w:tabs>
      <w:spacing w:before="120"/>
      <w:jc w:val="left"/>
      <w:rPr>
        <w:color w:val="000000"/>
        <w:sz w:val="16"/>
        <w:szCs w:val="16"/>
      </w:rPr>
    </w:pPr>
    <w:r>
      <w:rPr>
        <w:smallCaps/>
        <w:color w:val="000000"/>
        <w:sz w:val="16"/>
        <w:szCs w:val="16"/>
      </w:rPr>
      <w:t xml:space="preserve"> </w:t>
    </w:r>
  </w:p>
  <w:p w14:paraId="53A7E853" w14:textId="77777777" w:rsidR="000A6AB9" w:rsidRDefault="00100973">
    <w:pPr>
      <w:pBdr>
        <w:top w:val="nil"/>
        <w:left w:val="nil"/>
        <w:bottom w:val="nil"/>
        <w:right w:val="nil"/>
        <w:between w:val="nil"/>
      </w:pBdr>
      <w:jc w:val="right"/>
      <w:rPr>
        <w:color w:val="000000"/>
        <w:sz w:val="16"/>
        <w:szCs w:val="16"/>
      </w:rPr>
    </w:pPr>
    <w:r>
      <w:rPr>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32EAA" w14:textId="77777777" w:rsidR="000A6AB9" w:rsidRDefault="000A6AB9">
    <w:pPr>
      <w:pBdr>
        <w:top w:val="nil"/>
        <w:left w:val="nil"/>
        <w:bottom w:val="nil"/>
        <w:right w:val="nil"/>
        <w:between w:val="nil"/>
      </w:pBdr>
      <w:tabs>
        <w:tab w:val="center" w:pos="4513"/>
        <w:tab w:val="right" w:pos="9026"/>
      </w:tabs>
      <w:spacing w:before="120"/>
      <w:jc w:val="center"/>
      <w:rPr>
        <w:smallCap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D4CD0" w14:textId="77777777" w:rsidR="000B2866" w:rsidRDefault="000B2866">
      <w:r>
        <w:separator/>
      </w:r>
    </w:p>
  </w:footnote>
  <w:footnote w:type="continuationSeparator" w:id="0">
    <w:p w14:paraId="38B67E05" w14:textId="77777777" w:rsidR="000B2866" w:rsidRDefault="000B2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55FA" w14:textId="77777777" w:rsidR="000A6AB9" w:rsidRDefault="00BA0040">
    <w:pPr>
      <w:pBdr>
        <w:top w:val="nil"/>
        <w:left w:val="nil"/>
        <w:bottom w:val="nil"/>
        <w:right w:val="nil"/>
        <w:between w:val="nil"/>
      </w:pBdr>
      <w:tabs>
        <w:tab w:val="center" w:pos="4513"/>
        <w:tab w:val="right" w:pos="9026"/>
      </w:tabs>
      <w:rPr>
        <w:color w:val="000000"/>
      </w:rPr>
    </w:pPr>
    <w:r>
      <w:rPr>
        <w:color w:val="000000"/>
      </w:rPr>
      <w:pict w14:anchorId="1B3D57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68.2pt;height:187.25pt;rotation:315;z-index:-251657728;visibility:visible;mso-position-horizontal:center;mso-position-horizontal-relative:margin;mso-position-vertical:center;mso-position-vertical-relative:margin" fillcolor="silver" stroked="f">
          <v:fill opacity=".5"/>
          <v:textpath style="font-family:&quot;&amp;quot&quot;;font-size:1pt" string="DRAFT"/>
          <w10:wrap anchorx="margin" anchory="margin"/>
        </v:shape>
      </w:pict>
    </w:r>
    <w:r w:rsidR="00100973">
      <w:rPr>
        <w:b/>
        <w:color w:val="000000"/>
      </w:rPr>
      <w:fldChar w:fldCharType="begin"/>
    </w:r>
    <w:r w:rsidR="00100973">
      <w:rPr>
        <w:b/>
        <w:color w:val="000000"/>
      </w:rPr>
      <w:instrText>PAGE</w:instrText>
    </w:r>
    <w:r w:rsidR="00100973">
      <w:rPr>
        <w:b/>
        <w:color w:val="000000"/>
      </w:rPr>
      <w:fldChar w:fldCharType="separate"/>
    </w:r>
    <w:r w:rsidR="004947CB">
      <w:rPr>
        <w:b/>
        <w:noProof/>
        <w:color w:val="000000"/>
      </w:rPr>
      <w:t>2</w:t>
    </w:r>
    <w:r w:rsidR="00100973">
      <w:rPr>
        <w:b/>
        <w:color w:val="000000"/>
      </w:rPr>
      <w:fldChar w:fldCharType="end"/>
    </w:r>
    <w:r w:rsidR="00100973">
      <w:rPr>
        <w:color w:val="000000"/>
      </w:rPr>
      <w:t xml:space="preserve"> </w:t>
    </w:r>
    <w:r w:rsidR="00100973">
      <w:rPr>
        <w:rFonts w:ascii="Noto Sans Symbols" w:eastAsia="Noto Sans Symbols" w:hAnsi="Noto Sans Symbols" w:cs="Noto Sans Symbols"/>
        <w:color w:val="000000"/>
      </w:rPr>
      <w:t>|</w:t>
    </w:r>
    <w:r w:rsidR="00100973">
      <w:rPr>
        <w:color w:val="000000"/>
      </w:rPr>
      <w:t xml:space="preserve"> </w:t>
    </w:r>
    <w:r w:rsidR="00100973">
      <w:rPr>
        <w:color w:val="000000"/>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EC451" w14:textId="77777777" w:rsidR="000A6AB9" w:rsidRDefault="00BA0040">
    <w:pPr>
      <w:pBdr>
        <w:top w:val="nil"/>
        <w:left w:val="nil"/>
        <w:bottom w:val="nil"/>
        <w:right w:val="nil"/>
        <w:between w:val="nil"/>
      </w:pBdr>
      <w:tabs>
        <w:tab w:val="center" w:pos="4513"/>
        <w:tab w:val="right" w:pos="9026"/>
      </w:tabs>
      <w:jc w:val="right"/>
      <w:rPr>
        <w:color w:val="000000"/>
      </w:rPr>
    </w:pPr>
    <w:r>
      <w:rPr>
        <w:color w:val="000000"/>
      </w:rPr>
      <w:pict w14:anchorId="1B5012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68.2pt;height:187.25pt;rotation:315;z-index:-251659776;visibility:visible;mso-position-horizontal:center;mso-position-horizontal-relative:margin;mso-position-vertical:center;mso-position-vertical-relative:margin" fillcolor="silver" stroked="f">
          <v:fill opacity=".5"/>
          <v:textpath style="font-family:&quot;&amp;quot&quot;;font-size:1pt" string="DRAFT"/>
          <w10:wrap anchorx="margin" anchory="margin"/>
        </v:shape>
      </w:pict>
    </w:r>
    <w:r w:rsidR="00100973">
      <w:rPr>
        <w:color w:val="000000"/>
        <w:sz w:val="18"/>
        <w:szCs w:val="18"/>
      </w:rPr>
      <w:t xml:space="preserve"> </w:t>
    </w:r>
    <w:r w:rsidR="00100973">
      <w:rPr>
        <w:b/>
        <w:color w:val="000000"/>
      </w:rPr>
      <w:t xml:space="preserve"> </w:t>
    </w:r>
    <w:r w:rsidR="00100973">
      <w:rPr>
        <w:rFonts w:ascii="Noto Sans Symbols" w:eastAsia="Noto Sans Symbols" w:hAnsi="Noto Sans Symbols" w:cs="Noto Sans Symbols"/>
        <w:b/>
        <w:color w:val="000000"/>
      </w:rPr>
      <w:t>|</w:t>
    </w:r>
    <w:r w:rsidR="00100973">
      <w:rPr>
        <w:b/>
        <w:color w:val="000000"/>
      </w:rPr>
      <w:t xml:space="preserve"> </w:t>
    </w:r>
    <w:r w:rsidR="00100973">
      <w:rPr>
        <w:b/>
        <w:color w:val="000000"/>
      </w:rPr>
      <w:fldChar w:fldCharType="begin"/>
    </w:r>
    <w:r w:rsidR="00100973">
      <w:rPr>
        <w:b/>
        <w:color w:val="000000"/>
      </w:rPr>
      <w:instrText>PAGE</w:instrText>
    </w:r>
    <w:r w:rsidR="00100973">
      <w:rPr>
        <w:b/>
        <w:color w:val="000000"/>
      </w:rPr>
      <w:fldChar w:fldCharType="separate"/>
    </w:r>
    <w:r w:rsidR="004947CB">
      <w:rPr>
        <w:b/>
        <w:noProof/>
        <w:color w:val="000000"/>
      </w:rPr>
      <w:t>3</w:t>
    </w:r>
    <w:r w:rsidR="00100973">
      <w:rPr>
        <w:b/>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9D6D" w14:textId="77777777" w:rsidR="000A6AB9" w:rsidRDefault="00BA0040">
    <w:pPr>
      <w:pBdr>
        <w:top w:val="nil"/>
        <w:left w:val="nil"/>
        <w:bottom w:val="nil"/>
        <w:right w:val="nil"/>
        <w:between w:val="nil"/>
      </w:pBdr>
      <w:tabs>
        <w:tab w:val="center" w:pos="4513"/>
        <w:tab w:val="right" w:pos="9026"/>
      </w:tabs>
      <w:rPr>
        <w:color w:val="000000"/>
      </w:rPr>
    </w:pPr>
    <w:r>
      <w:rPr>
        <w:color w:val="000000"/>
      </w:rPr>
      <w:pict w14:anchorId="69EEBF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68.2pt;height:187.25pt;rotation:315;z-index:-251658752;visibility:visible;mso-position-horizontal:center;mso-position-horizontal-relative:margin;mso-position-vertical:center;mso-position-vertical-relative:margin" fillcolor="silver" stroked="f">
          <v:fill opacity=".5"/>
          <v:textpath style="font-family:&quot;&amp;quot&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4E0"/>
    <w:multiLevelType w:val="multilevel"/>
    <w:tmpl w:val="6486C558"/>
    <w:lvl w:ilvl="0">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A04247"/>
    <w:multiLevelType w:val="multilevel"/>
    <w:tmpl w:val="A97EBCD4"/>
    <w:lvl w:ilvl="0">
      <w:start w:val="1"/>
      <w:numFmt w:val="bullet"/>
      <w:pStyle w:val="Heading1"/>
      <w:lvlText w:val="▪"/>
      <w:lvlJc w:val="left"/>
      <w:pPr>
        <w:ind w:left="744" w:hanging="359"/>
      </w:pPr>
      <w:rPr>
        <w:rFonts w:ascii="Noto Sans Symbols" w:eastAsia="Noto Sans Symbols" w:hAnsi="Noto Sans Symbols" w:cs="Noto Sans Symbols"/>
      </w:rPr>
    </w:lvl>
    <w:lvl w:ilvl="1">
      <w:start w:val="1"/>
      <w:numFmt w:val="bullet"/>
      <w:pStyle w:val="Heading2"/>
      <w:lvlText w:val="o"/>
      <w:lvlJc w:val="left"/>
      <w:pPr>
        <w:ind w:left="1464" w:hanging="360"/>
      </w:pPr>
      <w:rPr>
        <w:rFonts w:ascii="Courier New" w:eastAsia="Courier New" w:hAnsi="Courier New" w:cs="Courier New"/>
      </w:rPr>
    </w:lvl>
    <w:lvl w:ilvl="2">
      <w:start w:val="1"/>
      <w:numFmt w:val="bullet"/>
      <w:pStyle w:val="Heading3"/>
      <w:lvlText w:val="▪"/>
      <w:lvlJc w:val="left"/>
      <w:pPr>
        <w:ind w:left="2184" w:hanging="360"/>
      </w:pPr>
      <w:rPr>
        <w:rFonts w:ascii="Noto Sans Symbols" w:eastAsia="Noto Sans Symbols" w:hAnsi="Noto Sans Symbols" w:cs="Noto Sans Symbols"/>
      </w:rPr>
    </w:lvl>
    <w:lvl w:ilvl="3">
      <w:start w:val="1"/>
      <w:numFmt w:val="bullet"/>
      <w:pStyle w:val="Heading4"/>
      <w:lvlText w:val="●"/>
      <w:lvlJc w:val="left"/>
      <w:pPr>
        <w:ind w:left="2904" w:hanging="360"/>
      </w:pPr>
      <w:rPr>
        <w:rFonts w:ascii="Noto Sans Symbols" w:eastAsia="Noto Sans Symbols" w:hAnsi="Noto Sans Symbols" w:cs="Noto Sans Symbols"/>
      </w:rPr>
    </w:lvl>
    <w:lvl w:ilvl="4">
      <w:start w:val="1"/>
      <w:numFmt w:val="bullet"/>
      <w:pStyle w:val="Heading5"/>
      <w:lvlText w:val="o"/>
      <w:lvlJc w:val="left"/>
      <w:pPr>
        <w:ind w:left="3624" w:hanging="360"/>
      </w:pPr>
      <w:rPr>
        <w:rFonts w:ascii="Courier New" w:eastAsia="Courier New" w:hAnsi="Courier New" w:cs="Courier New"/>
      </w:rPr>
    </w:lvl>
    <w:lvl w:ilvl="5">
      <w:start w:val="1"/>
      <w:numFmt w:val="bullet"/>
      <w:pStyle w:val="Heading6"/>
      <w:lvlText w:val="▪"/>
      <w:lvlJc w:val="left"/>
      <w:pPr>
        <w:ind w:left="4344" w:hanging="360"/>
      </w:pPr>
      <w:rPr>
        <w:rFonts w:ascii="Noto Sans Symbols" w:eastAsia="Noto Sans Symbols" w:hAnsi="Noto Sans Symbols" w:cs="Noto Sans Symbols"/>
      </w:rPr>
    </w:lvl>
    <w:lvl w:ilvl="6">
      <w:start w:val="1"/>
      <w:numFmt w:val="bullet"/>
      <w:pStyle w:val="Heading7"/>
      <w:lvlText w:val="●"/>
      <w:lvlJc w:val="left"/>
      <w:pPr>
        <w:ind w:left="5064" w:hanging="360"/>
      </w:pPr>
      <w:rPr>
        <w:rFonts w:ascii="Noto Sans Symbols" w:eastAsia="Noto Sans Symbols" w:hAnsi="Noto Sans Symbols" w:cs="Noto Sans Symbols"/>
      </w:rPr>
    </w:lvl>
    <w:lvl w:ilvl="7">
      <w:start w:val="1"/>
      <w:numFmt w:val="bullet"/>
      <w:pStyle w:val="Heading8"/>
      <w:lvlText w:val="o"/>
      <w:lvlJc w:val="left"/>
      <w:pPr>
        <w:ind w:left="5784" w:hanging="360"/>
      </w:pPr>
      <w:rPr>
        <w:rFonts w:ascii="Courier New" w:eastAsia="Courier New" w:hAnsi="Courier New" w:cs="Courier New"/>
      </w:rPr>
    </w:lvl>
    <w:lvl w:ilvl="8">
      <w:start w:val="1"/>
      <w:numFmt w:val="bullet"/>
      <w:pStyle w:val="Heading9"/>
      <w:lvlText w:val="▪"/>
      <w:lvlJc w:val="left"/>
      <w:pPr>
        <w:ind w:left="6504" w:hanging="360"/>
      </w:pPr>
      <w:rPr>
        <w:rFonts w:ascii="Noto Sans Symbols" w:eastAsia="Noto Sans Symbols" w:hAnsi="Noto Sans Symbols" w:cs="Noto Sans Symbols"/>
      </w:rPr>
    </w:lvl>
  </w:abstractNum>
  <w:abstractNum w:abstractNumId="2" w15:restartNumberingAfterBreak="0">
    <w:nsid w:val="62720A2B"/>
    <w:multiLevelType w:val="multilevel"/>
    <w:tmpl w:val="F0A8E6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9010910">
    <w:abstractNumId w:val="0"/>
  </w:num>
  <w:num w:numId="2" w16cid:durableId="1204945252">
    <w:abstractNumId w:val="1"/>
  </w:num>
  <w:num w:numId="3" w16cid:durableId="1244611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s>
  <w:rsids>
    <w:rsidRoot w:val="000A6AB9"/>
    <w:rsid w:val="00012618"/>
    <w:rsid w:val="00026889"/>
    <w:rsid w:val="000A6AB9"/>
    <w:rsid w:val="000B2866"/>
    <w:rsid w:val="000F5385"/>
    <w:rsid w:val="00100973"/>
    <w:rsid w:val="00141B60"/>
    <w:rsid w:val="00142517"/>
    <w:rsid w:val="001559AE"/>
    <w:rsid w:val="002143F6"/>
    <w:rsid w:val="00216F0D"/>
    <w:rsid w:val="002826EB"/>
    <w:rsid w:val="002A5B5E"/>
    <w:rsid w:val="0036710C"/>
    <w:rsid w:val="0039113A"/>
    <w:rsid w:val="003917A5"/>
    <w:rsid w:val="00452BB2"/>
    <w:rsid w:val="00466611"/>
    <w:rsid w:val="00490E84"/>
    <w:rsid w:val="004947CB"/>
    <w:rsid w:val="004E7F75"/>
    <w:rsid w:val="00517592"/>
    <w:rsid w:val="005A21C3"/>
    <w:rsid w:val="005B6421"/>
    <w:rsid w:val="00626F71"/>
    <w:rsid w:val="006972BA"/>
    <w:rsid w:val="006B71BC"/>
    <w:rsid w:val="00760CE4"/>
    <w:rsid w:val="007C397A"/>
    <w:rsid w:val="007F4546"/>
    <w:rsid w:val="008266C7"/>
    <w:rsid w:val="00956879"/>
    <w:rsid w:val="0096453E"/>
    <w:rsid w:val="00965EFB"/>
    <w:rsid w:val="0098650E"/>
    <w:rsid w:val="00986992"/>
    <w:rsid w:val="009C4EBB"/>
    <w:rsid w:val="00A0187F"/>
    <w:rsid w:val="00A13936"/>
    <w:rsid w:val="00A21FC3"/>
    <w:rsid w:val="00A228C2"/>
    <w:rsid w:val="00A910C5"/>
    <w:rsid w:val="00AF4F62"/>
    <w:rsid w:val="00B557BB"/>
    <w:rsid w:val="00BA0040"/>
    <w:rsid w:val="00BA03A4"/>
    <w:rsid w:val="00BA2697"/>
    <w:rsid w:val="00C2598A"/>
    <w:rsid w:val="00CA36B8"/>
    <w:rsid w:val="00D12BA2"/>
    <w:rsid w:val="00DD3911"/>
    <w:rsid w:val="00E73565"/>
    <w:rsid w:val="00E87E44"/>
    <w:rsid w:val="00EA21AC"/>
    <w:rsid w:val="00EE7F63"/>
    <w:rsid w:val="00EF02C9"/>
    <w:rsid w:val="00FB25C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AF6A14"/>
  <w15:docId w15:val="{6DE0816B-BF00-4827-86C6-6EA1E73C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C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FF"/>
  </w:style>
  <w:style w:type="paragraph" w:styleId="Heading1">
    <w:name w:val="heading 1"/>
    <w:next w:val="Para"/>
    <w:link w:val="Heading1Char"/>
    <w:uiPriority w:val="9"/>
    <w:qFormat/>
    <w:rsid w:val="007A76BA"/>
    <w:pPr>
      <w:keepNext/>
      <w:keepLines/>
      <w:pageBreakBefore/>
      <w:framePr w:w="9072" w:wrap="notBeside" w:vAnchor="text" w:hAnchor="page" w:xAlign="center" w:y="1"/>
      <w:numPr>
        <w:numId w:val="2"/>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
    <w:link w:val="Heading2Char"/>
    <w:uiPriority w:val="9"/>
    <w:semiHidden/>
    <w:unhideWhenUsed/>
    <w:qFormat/>
    <w:rsid w:val="000E5F57"/>
    <w:pPr>
      <w:keepNext/>
      <w:numPr>
        <w:ilvl w:val="1"/>
        <w:numId w:val="2"/>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
    <w:link w:val="Heading3Char"/>
    <w:uiPriority w:val="9"/>
    <w:semiHidden/>
    <w:unhideWhenUsed/>
    <w:qFormat/>
    <w:rsid w:val="000E5F57"/>
    <w:pPr>
      <w:keepNext/>
      <w:keepLines/>
      <w:numPr>
        <w:ilvl w:val="2"/>
        <w:numId w:val="2"/>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
    <w:link w:val="Heading4Char"/>
    <w:uiPriority w:val="9"/>
    <w:semiHidden/>
    <w:unhideWhenUsed/>
    <w:qFormat/>
    <w:rsid w:val="000E5F57"/>
    <w:pPr>
      <w:keepNext/>
      <w:keepLines/>
      <w:numPr>
        <w:ilvl w:val="3"/>
        <w:numId w:val="2"/>
      </w:numPr>
      <w:spacing w:before="240" w:after="180" w:line="280" w:lineRule="exact"/>
      <w:outlineLvl w:val="3"/>
    </w:pPr>
    <w:rPr>
      <w:rFonts w:eastAsiaTheme="majorEastAsia" w:cstheme="majorBidi"/>
      <w:i/>
      <w:iCs/>
      <w:color w:val="3F3F3F" w:themeColor="text2"/>
    </w:rPr>
  </w:style>
  <w:style w:type="paragraph" w:styleId="Heading5">
    <w:name w:val="heading 5"/>
    <w:next w:val="Para"/>
    <w:link w:val="Heading5Char"/>
    <w:uiPriority w:val="9"/>
    <w:semiHidden/>
    <w:unhideWhenUsed/>
    <w:qFormat/>
    <w:rsid w:val="000E5F57"/>
    <w:pPr>
      <w:keepNext/>
      <w:keepLines/>
      <w:numPr>
        <w:ilvl w:val="4"/>
        <w:numId w:val="2"/>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9"/>
    <w:semiHidden/>
    <w:unhideWhenUsed/>
    <w:qFormat/>
    <w:rsid w:val="00C0190E"/>
    <w:pPr>
      <w:keepNext/>
      <w:pageBreakBefore/>
      <w:framePr w:w="7938" w:h="13325" w:hRule="exact" w:wrap="notBeside" w:vAnchor="page" w:hAnchor="page" w:xAlign="center" w:yAlign="center"/>
      <w:numPr>
        <w:ilvl w:val="5"/>
        <w:numId w:val="2"/>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
    <w:link w:val="Heading7Char"/>
    <w:uiPriority w:val="19"/>
    <w:qFormat/>
    <w:rsid w:val="00BF1697"/>
    <w:pPr>
      <w:numPr>
        <w:ilvl w:val="6"/>
      </w:numPr>
      <w:spacing w:after="1500" w:line="600" w:lineRule="exact"/>
      <w:outlineLvl w:val="6"/>
    </w:pPr>
  </w:style>
  <w:style w:type="paragraph" w:styleId="Heading8">
    <w:name w:val="heading 8"/>
    <w:aliases w:val="Part AnnX"/>
    <w:next w:val="Para"/>
    <w:link w:val="Heading8Char"/>
    <w:uiPriority w:val="9"/>
    <w:rsid w:val="00B06D82"/>
    <w:pPr>
      <w:keepNext/>
      <w:pageBreakBefore/>
      <w:numPr>
        <w:ilvl w:val="7"/>
        <w:numId w:val="2"/>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
    <w:link w:val="Heading9Char"/>
    <w:uiPriority w:val="20"/>
    <w:qFormat/>
    <w:rsid w:val="00BF1697"/>
    <w:pPr>
      <w:keepNext/>
      <w:pageBreakBefore/>
      <w:numPr>
        <w:ilvl w:val="8"/>
        <w:numId w:val="2"/>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next w:val="Para"/>
    <w:link w:val="TitleChar"/>
    <w:uiPriority w:val="10"/>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table" w:customStyle="1" w:styleId="TableNormal2">
    <w:name w:val="Table Normal2"/>
    <w:tblPr>
      <w:tblCellMar>
        <w:top w:w="0" w:type="dxa"/>
        <w:left w:w="0" w:type="dxa"/>
        <w:bottom w:w="0" w:type="dxa"/>
        <w:right w:w="0" w:type="dxa"/>
      </w:tblCellMar>
    </w:tblPr>
  </w:style>
  <w:style w:type="paragraph" w:customStyle="1" w:styleId="Para">
    <w:name w:val="Para"/>
    <w:link w:val="ParaChar"/>
    <w:uiPriority w:val="4"/>
    <w:qFormat/>
    <w:rsid w:val="00991A9A"/>
    <w:pPr>
      <w:spacing w:before="120" w:after="120" w:line="260" w:lineRule="atLeast"/>
    </w:pPr>
    <w:rPr>
      <w:color w:val="000000" w:themeColor="text1"/>
      <w:sz w:val="20"/>
    </w:rPr>
  </w:style>
  <w:style w:type="character" w:customStyle="1" w:styleId="ParaChar">
    <w:name w:val="Para Char"/>
    <w:basedOn w:val="DefaultParagraphFont"/>
    <w:link w:val="Para"/>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0">
    <w:name w:val="Para #"/>
    <w:uiPriority w:val="4"/>
    <w:qFormat/>
    <w:rsid w:val="00E71E47"/>
    <w:pPr>
      <w:tabs>
        <w:tab w:val="num" w:pos="720"/>
      </w:tabs>
      <w:spacing w:before="120" w:after="120" w:line="260" w:lineRule="atLeast"/>
      <w:ind w:left="720" w:hanging="720"/>
    </w:pPr>
    <w:rPr>
      <w:sz w:val="20"/>
    </w:rPr>
  </w:style>
  <w:style w:type="paragraph" w:customStyle="1" w:styleId="NumberedList">
    <w:name w:val="Numbered List"/>
    <w:uiPriority w:val="12"/>
    <w:qFormat/>
    <w:rsid w:val="00991A9A"/>
    <w:pPr>
      <w:tabs>
        <w:tab w:val="num" w:pos="720"/>
      </w:tabs>
      <w:spacing w:after="60" w:line="260" w:lineRule="exact"/>
      <w:ind w:left="720" w:hanging="720"/>
    </w:pPr>
    <w:rPr>
      <w:color w:val="000000" w:themeColor="text1"/>
      <w:sz w:val="20"/>
    </w:rPr>
  </w:style>
  <w:style w:type="paragraph" w:customStyle="1" w:styleId="BulletedList">
    <w:name w:val="Bulleted List"/>
    <w:uiPriority w:val="12"/>
    <w:qFormat/>
    <w:rsid w:val="00991A9A"/>
    <w:pPr>
      <w:tabs>
        <w:tab w:val="num" w:pos="720"/>
      </w:tabs>
      <w:spacing w:after="60" w:line="260" w:lineRule="exact"/>
      <w:ind w:left="720" w:hanging="720"/>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
    <w:rsid w:val="00326CAE"/>
    <w:pPr>
      <w:pBdr>
        <w:top w:val="single" w:sz="4" w:space="6" w:color="auto"/>
      </w:pBdr>
      <w:spacing w:before="0" w:line="220" w:lineRule="exact"/>
    </w:pPr>
    <w:rPr>
      <w:sz w:val="18"/>
    </w:rPr>
  </w:style>
  <w:style w:type="paragraph" w:customStyle="1" w:styleId="Action">
    <w:name w:val="Action"/>
    <w:basedOn w:val="Para"/>
    <w:next w:val="Heading2"/>
    <w:rsid w:val="00326CAE"/>
    <w:rPr>
      <w:u w:val="single"/>
    </w:rPr>
  </w:style>
  <w:style w:type="paragraph" w:customStyle="1" w:styleId="Annotation">
    <w:name w:val="Annotation"/>
    <w:basedOn w:val="Normal"/>
    <w:rsid w:val="004243B4"/>
    <w:pPr>
      <w:pBdr>
        <w:bottom w:val="single" w:sz="4" w:space="10" w:color="auto"/>
      </w:pBdr>
      <w:tabs>
        <w:tab w:val="num" w:pos="720"/>
      </w:tabs>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
    <w:rsid w:val="00E67FB6"/>
    <w:pPr>
      <w:keepNext/>
      <w:spacing w:before="240" w:after="120"/>
      <w:ind w:left="851"/>
    </w:pPr>
    <w:rPr>
      <w:b/>
      <w:i/>
    </w:rPr>
  </w:style>
  <w:style w:type="paragraph" w:customStyle="1" w:styleId="Conclusion">
    <w:name w:val="Conclusion"/>
    <w:basedOn w:val="Para"/>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0"/>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
    <w:rsid w:val="00CC1A99"/>
    <w:pPr>
      <w:keepNext/>
      <w:pBdr>
        <w:top w:val="single" w:sz="4" w:space="1" w:color="auto"/>
      </w:pBdr>
      <w:tabs>
        <w:tab w:val="num" w:pos="360"/>
        <w:tab w:val="num" w:pos="72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
    <w:rsid w:val="003E0362"/>
    <w:pPr>
      <w:tabs>
        <w:tab w:val="num" w:pos="360"/>
        <w:tab w:val="left" w:pos="425"/>
        <w:tab w:val="num" w:pos="720"/>
      </w:tabs>
      <w:spacing w:before="0" w:after="240"/>
      <w:ind w:left="2268" w:hanging="425"/>
    </w:pPr>
  </w:style>
  <w:style w:type="paragraph" w:customStyle="1" w:styleId="RefDocuments">
    <w:name w:val="Ref Documents"/>
    <w:basedOn w:val="Para"/>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
    <w:next w:val="Para"/>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basedOn w:val="Normal"/>
    <w:next w:val="Normal"/>
    <w:link w:val="SubtitleChar"/>
    <w:uiPriority w:val="11"/>
    <w:qFormat/>
    <w:pPr>
      <w:keepNext/>
      <w:widowControl/>
      <w:pBdr>
        <w:top w:val="nil"/>
        <w:left w:val="nil"/>
        <w:bottom w:val="nil"/>
        <w:right w:val="nil"/>
        <w:between w:val="nil"/>
      </w:pBdr>
      <w:spacing w:before="240" w:after="120"/>
      <w:jc w:val="left"/>
    </w:pPr>
    <w:rPr>
      <w:rFonts w:ascii="Arial Narrow" w:eastAsia="Arial Narrow" w:hAnsi="Arial Narrow" w:cs="Arial Narrow"/>
      <w:b/>
      <w:color w:val="4E81BD"/>
      <w:sz w:val="24"/>
      <w:szCs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
    <w:uiPriority w:val="11"/>
    <w:qFormat/>
    <w:rsid w:val="00991A9A"/>
    <w:pPr>
      <w:spacing w:before="240" w:after="240" w:line="320" w:lineRule="exact"/>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
    <w:uiPriority w:val="14"/>
    <w:qFormat/>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tabs>
        <w:tab w:val="num" w:pos="720"/>
      </w:tabs>
      <w:spacing w:after="240" w:line="276" w:lineRule="auto"/>
      <w:ind w:left="720" w:hanging="720"/>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table" w:customStyle="1" w:styleId="a">
    <w:basedOn w:val="TableNormal2"/>
    <w:pPr>
      <w:spacing w:before="10" w:after="20" w:line="200" w:lineRule="auto"/>
    </w:pPr>
    <w:rPr>
      <w:rFonts w:ascii="Arial Narrow" w:eastAsia="Arial Narrow" w:hAnsi="Arial Narrow" w:cs="Arial Narrow"/>
      <w:color w:val="366091"/>
      <w:sz w:val="17"/>
      <w:szCs w:val="17"/>
    </w:rPr>
    <w:tblPr>
      <w:tblStyleRowBandSize w:val="1"/>
      <w:tblStyleColBandSize w:val="1"/>
      <w:tblCellMar>
        <w:left w:w="115" w:type="dxa"/>
        <w:right w:w="115" w:type="dxa"/>
      </w:tblCellMar>
    </w:tblPr>
    <w:tcPr>
      <w:shd w:val="clear" w:color="auto" w:fill="auto"/>
    </w:tcPr>
    <w:tblStylePr w:type="firstRow">
      <w:tblPr/>
      <w:tcPr>
        <w:tcBorders>
          <w:bottom w:val="single" w:sz="6" w:space="0" w:color="4E81BD"/>
        </w:tcBorders>
        <w:shd w:val="clear" w:color="auto" w:fill="auto"/>
      </w:tcPr>
    </w:tblStylePr>
    <w:tblStylePr w:type="lastRow">
      <w:tblPr/>
      <w:tcPr>
        <w:tcBorders>
          <w:top w:val="nil"/>
        </w:tcBorders>
        <w:shd w:val="clear" w:color="auto" w:fill="auto"/>
      </w:tcPr>
    </w:tblStylePr>
  </w:style>
  <w:style w:type="table" w:customStyle="1" w:styleId="a0">
    <w:basedOn w:val="TableNormal2"/>
    <w:pPr>
      <w:spacing w:before="10" w:after="20" w:line="200" w:lineRule="auto"/>
    </w:pPr>
    <w:rPr>
      <w:rFonts w:ascii="Arial Narrow" w:eastAsia="Arial Narrow" w:hAnsi="Arial Narrow" w:cs="Arial Narrow"/>
      <w:color w:val="366091"/>
      <w:sz w:val="17"/>
      <w:szCs w:val="17"/>
    </w:rPr>
    <w:tblPr>
      <w:tblStyleRowBandSize w:val="1"/>
      <w:tblStyleColBandSize w:val="1"/>
      <w:tblCellMar>
        <w:left w:w="115" w:type="dxa"/>
        <w:right w:w="115" w:type="dxa"/>
      </w:tblCellMar>
    </w:tblPr>
    <w:tcPr>
      <w:shd w:val="clear" w:color="auto" w:fill="auto"/>
    </w:tcPr>
    <w:tblStylePr w:type="firstRow">
      <w:tblPr/>
      <w:tcPr>
        <w:tcBorders>
          <w:bottom w:val="single" w:sz="6" w:space="0" w:color="4E81BD"/>
        </w:tcBorders>
        <w:shd w:val="clear" w:color="auto" w:fill="auto"/>
      </w:tcPr>
    </w:tblStylePr>
    <w:tblStylePr w:type="lastRow">
      <w:tblPr/>
      <w:tcPr>
        <w:tcBorders>
          <w:top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57920">
      <w:bodyDiv w:val="1"/>
      <w:marLeft w:val="0"/>
      <w:marRight w:val="0"/>
      <w:marTop w:val="0"/>
      <w:marBottom w:val="0"/>
      <w:divBdr>
        <w:top w:val="none" w:sz="0" w:space="0" w:color="auto"/>
        <w:left w:val="none" w:sz="0" w:space="0" w:color="auto"/>
        <w:bottom w:val="none" w:sz="0" w:space="0" w:color="auto"/>
        <w:right w:val="none" w:sz="0" w:space="0" w:color="auto"/>
      </w:divBdr>
    </w:div>
    <w:div w:id="646786991">
      <w:bodyDiv w:val="1"/>
      <w:marLeft w:val="0"/>
      <w:marRight w:val="0"/>
      <w:marTop w:val="0"/>
      <w:marBottom w:val="0"/>
      <w:divBdr>
        <w:top w:val="none" w:sz="0" w:space="0" w:color="auto"/>
        <w:left w:val="none" w:sz="0" w:space="0" w:color="auto"/>
        <w:bottom w:val="none" w:sz="0" w:space="0" w:color="auto"/>
        <w:right w:val="none" w:sz="0" w:space="0" w:color="auto"/>
      </w:divBdr>
    </w:div>
    <w:div w:id="763111408">
      <w:bodyDiv w:val="1"/>
      <w:marLeft w:val="0"/>
      <w:marRight w:val="0"/>
      <w:marTop w:val="0"/>
      <w:marBottom w:val="0"/>
      <w:divBdr>
        <w:top w:val="none" w:sz="0" w:space="0" w:color="auto"/>
        <w:left w:val="none" w:sz="0" w:space="0" w:color="auto"/>
        <w:bottom w:val="none" w:sz="0" w:space="0" w:color="auto"/>
        <w:right w:val="none" w:sz="0" w:space="0" w:color="auto"/>
      </w:divBdr>
    </w:div>
    <w:div w:id="989603099">
      <w:bodyDiv w:val="1"/>
      <w:marLeft w:val="0"/>
      <w:marRight w:val="0"/>
      <w:marTop w:val="0"/>
      <w:marBottom w:val="0"/>
      <w:divBdr>
        <w:top w:val="none" w:sz="0" w:space="0" w:color="auto"/>
        <w:left w:val="none" w:sz="0" w:space="0" w:color="auto"/>
        <w:bottom w:val="none" w:sz="0" w:space="0" w:color="auto"/>
        <w:right w:val="none" w:sz="0" w:space="0" w:color="auto"/>
      </w:divBdr>
    </w:div>
    <w:div w:id="1509713143">
      <w:bodyDiv w:val="1"/>
      <w:marLeft w:val="0"/>
      <w:marRight w:val="0"/>
      <w:marTop w:val="0"/>
      <w:marBottom w:val="0"/>
      <w:divBdr>
        <w:top w:val="none" w:sz="0" w:space="0" w:color="auto"/>
        <w:left w:val="none" w:sz="0" w:space="0" w:color="auto"/>
        <w:bottom w:val="none" w:sz="0" w:space="0" w:color="auto"/>
        <w:right w:val="none" w:sz="0" w:space="0" w:color="auto"/>
      </w:divBdr>
      <w:divsChild>
        <w:div w:id="460923129">
          <w:marLeft w:val="0"/>
          <w:marRight w:val="0"/>
          <w:marTop w:val="0"/>
          <w:marBottom w:val="0"/>
          <w:divBdr>
            <w:top w:val="none" w:sz="0" w:space="0" w:color="auto"/>
            <w:left w:val="none" w:sz="0" w:space="0" w:color="auto"/>
            <w:bottom w:val="none" w:sz="0" w:space="0" w:color="auto"/>
            <w:right w:val="none" w:sz="0" w:space="0" w:color="auto"/>
          </w:divBdr>
        </w:div>
      </w:divsChild>
    </w:div>
    <w:div w:id="1512181917">
      <w:bodyDiv w:val="1"/>
      <w:marLeft w:val="0"/>
      <w:marRight w:val="0"/>
      <w:marTop w:val="0"/>
      <w:marBottom w:val="0"/>
      <w:divBdr>
        <w:top w:val="none" w:sz="0" w:space="0" w:color="auto"/>
        <w:left w:val="none" w:sz="0" w:space="0" w:color="auto"/>
        <w:bottom w:val="none" w:sz="0" w:space="0" w:color="auto"/>
        <w:right w:val="none" w:sz="0" w:space="0" w:color="auto"/>
      </w:divBdr>
    </w:div>
    <w:div w:id="1760519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stats.oecd.org/Index.aspx?DataSetCode=SNG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5.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45pBLpWTBU5KzAhNLyo/X8rwA==">AMUW2mWE2hD6cIpgodpe6W8bqIpEDHIsiPhNZfY5GrEzexw+O9DC0sQ50jdfkyVEml3kS/0ocwhVHkMsESHjXe6OzPwvfsv91rj/pWzteQQk/fdQGBMAchqax2GChwQkaFQqZ1l8jCyh</go:docsCustomData>
</go:gDocsCustomXmlDataStorage>
</file>

<file path=customXml/item7.xml><?xml version="1.0" encoding="utf-8"?>
<?mso-contentType ?>
<FormTemplates xmlns="http://schemas.microsoft.com/sharepoint/v3/contenttype/forms">
  <Display>OECDListFormCollapsible</Display>
  <Edit>OECDListFormCollapsible</Edit>
  <New>OECDListFormCollapsible</New>
</FormTemplates>
</file>

<file path=customXml/itemProps1.xml><?xml version="1.0" encoding="utf-8"?>
<ds:datastoreItem xmlns:ds="http://schemas.openxmlformats.org/officeDocument/2006/customXml" ds:itemID="{ED545384-739B-4CBD-A6D8-5613A6452927}">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576E209A-6474-4B0C-98BB-76967ACA9531}">
  <ds:schemaRefs>
    <ds:schemaRef ds:uri="Microsoft.SharePoint.Taxonomy.ContentTypeSync"/>
  </ds:schemaRefs>
</ds:datastoreItem>
</file>

<file path=customXml/itemProps3.xml><?xml version="1.0" encoding="utf-8"?>
<ds:datastoreItem xmlns:ds="http://schemas.openxmlformats.org/officeDocument/2006/customXml" ds:itemID="{17713454-6F8C-4008-8AC9-8F413A1CDDE2}">
  <ds:schemaRefs>
    <ds:schemaRef ds:uri="http://schemas.openxmlformats.org/officeDocument/2006/bibliography"/>
  </ds:schemaRefs>
</ds:datastoreItem>
</file>

<file path=customXml/itemProps4.xml><?xml version="1.0" encoding="utf-8"?>
<ds:datastoreItem xmlns:ds="http://schemas.openxmlformats.org/officeDocument/2006/customXml" ds:itemID="{8946F623-62DC-440C-A38C-DA32E19603C1}">
  <ds:schemaRefs>
    <ds:schemaRef ds:uri="c0e75541-f54f-401c-9a34-cb7fded40982"/>
    <ds:schemaRef ds:uri="http://schemas.openxmlformats.org/package/2006/metadata/core-properties"/>
    <ds:schemaRef ds:uri="http://purl.org/dc/dcmitype/"/>
    <ds:schemaRef ds:uri="http://schemas.microsoft.com/office/2006/documentManagement/types"/>
    <ds:schemaRef ds:uri="http://purl.org/dc/terms/"/>
    <ds:schemaRef ds:uri="http://purl.org/dc/elements/1.1/"/>
    <ds:schemaRef ds:uri="http://schemas.microsoft.com/office/2006/metadata/properties"/>
    <ds:schemaRef ds:uri="http://schemas.microsoft.com/office/infopath/2007/PartnerControls"/>
    <ds:schemaRef ds:uri="http://schemas.microsoft.com/sharepoint/v4"/>
    <ds:schemaRef ds:uri="ca82dde9-3436-4d3d-bddd-d31447390034"/>
    <ds:schemaRef ds:uri="bbc7a7a3-1361-4a32-9a19-e150eb4da2ba"/>
    <ds:schemaRef ds:uri="c9f238dd-bb73-4aef-a7a5-d644ad823e52"/>
    <ds:schemaRef ds:uri="54c4cd27-f286-408f-9ce0-33c1e0f3ab39"/>
    <ds:schemaRef ds:uri="http://www.w3.org/XML/1998/namespace"/>
  </ds:schemaRefs>
</ds:datastoreItem>
</file>

<file path=customXml/itemProps5.xml><?xml version="1.0" encoding="utf-8"?>
<ds:datastoreItem xmlns:ds="http://schemas.openxmlformats.org/officeDocument/2006/customXml" ds:itemID="{A6C5341A-5BE3-4CED-97AD-A89128FAE3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7.xml><?xml version="1.0" encoding="utf-8"?>
<ds:datastoreItem xmlns:ds="http://schemas.openxmlformats.org/officeDocument/2006/customXml" ds:itemID="{F61E0857-5E81-4B6A-AA73-D58646218E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12</TotalTime>
  <Pages>4</Pages>
  <Words>1622</Words>
  <Characters>10060</Characters>
  <Application>Microsoft Office Word</Application>
  <DocSecurity>0</DocSecurity>
  <Lines>186</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CLAVREUL Delphine</dc:creator>
  <cp:lastModifiedBy>CLAVREUL Delphine, CFE/RDG</cp:lastModifiedBy>
  <cp:revision>5</cp:revision>
  <dcterms:created xsi:type="dcterms:W3CDTF">2023-04-12T13:43:00Z</dcterms:created>
  <dcterms:modified xsi:type="dcterms:W3CDTF">2023-09-24T13:05:00Z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