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7D19D59B" w:rsidR="00E73C65" w:rsidRDefault="00FD4945" w:rsidP="009C07F3">
      <w:pPr>
        <w:pStyle w:val="Title"/>
        <w:spacing w:after="960"/>
      </w:pPr>
      <w:r>
        <w:t>ESTONIA</w:t>
      </w:r>
    </w:p>
    <w:p w14:paraId="18BD9336" w14:textId="483D0871" w:rsidR="00594B16" w:rsidRPr="00A47C9A" w:rsidRDefault="005317DE" w:rsidP="005317DE">
      <w:pPr>
        <w:pStyle w:val="Title2"/>
      </w:pPr>
      <w:r w:rsidRPr="00A47C9A">
        <w:t>Overview</w:t>
      </w:r>
    </w:p>
    <w:tbl>
      <w:tblPr>
        <w:tblStyle w:val="OECD"/>
        <w:tblW w:w="4955" w:type="pct"/>
        <w:tblLook w:val="0420" w:firstRow="1" w:lastRow="0" w:firstColumn="0" w:lastColumn="0" w:noHBand="0" w:noVBand="1"/>
      </w:tblPr>
      <w:tblGrid>
        <w:gridCol w:w="2777"/>
        <w:gridCol w:w="6437"/>
      </w:tblGrid>
      <w:tr w:rsidR="00356A32" w:rsidRPr="00356A32" w14:paraId="0453A63B" w14:textId="77777777" w:rsidTr="00C729D4">
        <w:trPr>
          <w:cnfStyle w:val="100000000000" w:firstRow="1" w:lastRow="0" w:firstColumn="0" w:lastColumn="0" w:oddVBand="0" w:evenVBand="0" w:oddHBand="0" w:evenHBand="0" w:firstRowFirstColumn="0" w:firstRowLastColumn="0" w:lastRowFirstColumn="0" w:lastRowLastColumn="0"/>
          <w:trHeight w:val="238"/>
        </w:trPr>
        <w:tc>
          <w:tcPr>
            <w:tcW w:w="1507" w:type="pct"/>
          </w:tcPr>
          <w:p w14:paraId="3BC53EE8" w14:textId="419F9F61" w:rsidR="00594B16" w:rsidRPr="00356A32" w:rsidRDefault="00594B16" w:rsidP="00AF050A">
            <w:pPr>
              <w:pStyle w:val="TableRow"/>
              <w:jc w:val="left"/>
              <w:rPr>
                <w:color w:val="auto"/>
                <w:sz w:val="20"/>
                <w:lang w:val="en-GB"/>
              </w:rPr>
            </w:pPr>
            <w:r w:rsidRPr="00356A32">
              <w:rPr>
                <w:color w:val="auto"/>
                <w:sz w:val="20"/>
                <w:lang w:val="en-GB"/>
              </w:rPr>
              <w:t xml:space="preserve">Population </w:t>
            </w:r>
            <w:r w:rsidR="00B103D2" w:rsidRPr="00356A32">
              <w:rPr>
                <w:i/>
                <w:iCs/>
                <w:color w:val="auto"/>
                <w:sz w:val="20"/>
                <w:lang w:val="en-GB"/>
              </w:rPr>
              <w:t>(</w:t>
            </w:r>
            <w:r w:rsidR="00A108A8" w:rsidRPr="00356A32">
              <w:rPr>
                <w:i/>
                <w:iCs/>
                <w:color w:val="auto"/>
                <w:sz w:val="20"/>
                <w:lang w:val="en-GB"/>
              </w:rPr>
              <w:t>specify date)</w:t>
            </w:r>
            <w:r w:rsidR="00A108A8" w:rsidRPr="00356A32">
              <w:rPr>
                <w:color w:val="auto"/>
                <w:sz w:val="20"/>
                <w:lang w:val="en-GB"/>
              </w:rPr>
              <w:t xml:space="preserve"> </w:t>
            </w:r>
            <w:r w:rsidRPr="00356A32">
              <w:rPr>
                <w:color w:val="auto"/>
                <w:sz w:val="20"/>
                <w:lang w:val="en-GB"/>
              </w:rPr>
              <w:t xml:space="preserve">and territory </w:t>
            </w:r>
          </w:p>
        </w:tc>
        <w:tc>
          <w:tcPr>
            <w:tcW w:w="3493" w:type="pct"/>
          </w:tcPr>
          <w:p w14:paraId="190B1E47" w14:textId="5243589B" w:rsidR="00594B16" w:rsidRPr="004B03CF" w:rsidRDefault="00831FDB" w:rsidP="00B103D2">
            <w:pPr>
              <w:pStyle w:val="TableRow"/>
              <w:jc w:val="left"/>
              <w:rPr>
                <w:color w:val="auto"/>
                <w:sz w:val="20"/>
                <w:lang w:val="en-GB"/>
              </w:rPr>
            </w:pPr>
            <w:r w:rsidRPr="004B03CF">
              <w:rPr>
                <w:color w:val="auto"/>
                <w:sz w:val="20"/>
                <w:lang w:val="en-GB"/>
              </w:rPr>
              <w:t>1 357 739 (</w:t>
            </w:r>
            <w:r w:rsidR="00717B6A" w:rsidRPr="004B03CF">
              <w:rPr>
                <w:color w:val="auto"/>
                <w:sz w:val="20"/>
                <w:lang w:val="en-GB"/>
              </w:rPr>
              <w:t xml:space="preserve">1 </w:t>
            </w:r>
            <w:r w:rsidRPr="004B03CF">
              <w:rPr>
                <w:color w:val="auto"/>
                <w:sz w:val="20"/>
                <w:lang w:val="en-GB"/>
              </w:rPr>
              <w:t>January 2023)</w:t>
            </w:r>
            <w:r w:rsidR="00717B6A" w:rsidRPr="004B03CF">
              <w:rPr>
                <w:color w:val="auto"/>
                <w:sz w:val="20"/>
                <w:lang w:val="en-GB"/>
              </w:rPr>
              <w:t xml:space="preserve">, </w:t>
            </w:r>
            <w:r w:rsidR="00A868FA" w:rsidRPr="004B03CF">
              <w:rPr>
                <w:color w:val="auto"/>
                <w:sz w:val="20"/>
                <w:lang w:val="en-GB"/>
              </w:rPr>
              <w:t>45,339 km2</w:t>
            </w:r>
          </w:p>
        </w:tc>
      </w:tr>
      <w:tr w:rsidR="00356A32" w:rsidRPr="00356A32" w14:paraId="5F444A04" w14:textId="77777777" w:rsidTr="00C729D4">
        <w:trPr>
          <w:trHeight w:val="238"/>
        </w:trPr>
        <w:tc>
          <w:tcPr>
            <w:tcW w:w="1507" w:type="pct"/>
          </w:tcPr>
          <w:p w14:paraId="181CC701" w14:textId="7D968577" w:rsidR="00594B16" w:rsidRPr="00356A32" w:rsidRDefault="00594B16" w:rsidP="005317DE">
            <w:pPr>
              <w:pStyle w:val="TableRow"/>
              <w:jc w:val="left"/>
              <w:rPr>
                <w:color w:val="auto"/>
                <w:sz w:val="20"/>
                <w:lang w:val="en-GB"/>
              </w:rPr>
            </w:pPr>
            <w:r w:rsidRPr="00356A32">
              <w:rPr>
                <w:color w:val="auto"/>
                <w:sz w:val="20"/>
                <w:lang w:val="en-GB"/>
              </w:rPr>
              <w:t>Administrative structure</w:t>
            </w:r>
            <w:r w:rsidR="00A108A8" w:rsidRPr="00356A32">
              <w:rPr>
                <w:color w:val="auto"/>
                <w:sz w:val="20"/>
                <w:lang w:val="en-GB"/>
              </w:rPr>
              <w:t xml:space="preserve"> </w:t>
            </w:r>
            <w:r w:rsidR="00A108A8" w:rsidRPr="00356A32">
              <w:rPr>
                <w:rFonts w:cs="Arial"/>
                <w:i/>
                <w:iCs/>
                <w:color w:val="auto"/>
                <w:sz w:val="20"/>
              </w:rPr>
              <w:t>(unitary/federal)</w:t>
            </w:r>
          </w:p>
        </w:tc>
        <w:tc>
          <w:tcPr>
            <w:tcW w:w="3493" w:type="pct"/>
          </w:tcPr>
          <w:p w14:paraId="230B333A" w14:textId="52598602" w:rsidR="00B60055" w:rsidRPr="004B03CF" w:rsidRDefault="00A95D01" w:rsidP="004B03CF">
            <w:pPr>
              <w:pStyle w:val="TableRow"/>
              <w:jc w:val="left"/>
              <w:rPr>
                <w:color w:val="auto"/>
                <w:sz w:val="20"/>
                <w:lang w:val="en-GB"/>
              </w:rPr>
            </w:pPr>
            <w:r w:rsidRPr="004B03CF">
              <w:rPr>
                <w:color w:val="auto"/>
                <w:sz w:val="20"/>
                <w:lang w:val="en-GB"/>
              </w:rPr>
              <w:t>U</w:t>
            </w:r>
            <w:r w:rsidR="00DC767F" w:rsidRPr="004B03CF">
              <w:rPr>
                <w:color w:val="auto"/>
                <w:sz w:val="20"/>
                <w:lang w:val="en-GB"/>
              </w:rPr>
              <w:t>nitary</w:t>
            </w:r>
          </w:p>
        </w:tc>
      </w:tr>
      <w:tr w:rsidR="00356A32" w:rsidRPr="00356A32" w14:paraId="6A1167E9" w14:textId="77777777" w:rsidTr="00C729D4">
        <w:trPr>
          <w:trHeight w:val="238"/>
        </w:trPr>
        <w:tc>
          <w:tcPr>
            <w:tcW w:w="1507" w:type="pct"/>
          </w:tcPr>
          <w:p w14:paraId="7F455AD5" w14:textId="7B3E72E3" w:rsidR="00B103D2" w:rsidRPr="00356A32" w:rsidRDefault="00B103D2" w:rsidP="00B103D2">
            <w:pPr>
              <w:pStyle w:val="TableRow"/>
              <w:jc w:val="right"/>
              <w:rPr>
                <w:color w:val="auto"/>
                <w:sz w:val="20"/>
                <w:lang w:val="en-GB"/>
              </w:rPr>
            </w:pPr>
            <w:r w:rsidRPr="00356A32">
              <w:rPr>
                <w:rFonts w:asciiTheme="majorHAnsi" w:hAnsiTheme="majorHAnsi"/>
                <w:color w:val="auto"/>
                <w:sz w:val="20"/>
                <w:lang w:val="en-GB"/>
              </w:rPr>
              <w:t xml:space="preserve">Regional or state-level governments </w:t>
            </w:r>
            <w:r w:rsidRPr="00356A32">
              <w:rPr>
                <w:rFonts w:asciiTheme="majorHAnsi" w:hAnsiTheme="majorHAnsi"/>
                <w:i/>
                <w:iCs/>
                <w:color w:val="auto"/>
                <w:sz w:val="20"/>
                <w:lang w:val="en-GB"/>
              </w:rPr>
              <w:t>(number)</w:t>
            </w:r>
          </w:p>
        </w:tc>
        <w:tc>
          <w:tcPr>
            <w:tcW w:w="3493" w:type="pct"/>
          </w:tcPr>
          <w:p w14:paraId="22BA8F1F" w14:textId="31774A11" w:rsidR="00B103D2" w:rsidRPr="004B03CF" w:rsidRDefault="00DC767F" w:rsidP="004B03CF">
            <w:pPr>
              <w:pStyle w:val="TableRow"/>
              <w:jc w:val="left"/>
              <w:rPr>
                <w:color w:val="auto"/>
                <w:sz w:val="20"/>
                <w:lang w:val="en-GB"/>
              </w:rPr>
            </w:pPr>
            <w:r w:rsidRPr="004B03CF">
              <w:rPr>
                <w:color w:val="auto"/>
                <w:sz w:val="20"/>
                <w:lang w:val="en-GB"/>
              </w:rPr>
              <w:t>1</w:t>
            </w:r>
          </w:p>
        </w:tc>
      </w:tr>
      <w:tr w:rsidR="00356A32" w:rsidRPr="00356A32" w14:paraId="0C8C2A89" w14:textId="77777777" w:rsidTr="00C729D4">
        <w:trPr>
          <w:trHeight w:val="238"/>
        </w:trPr>
        <w:tc>
          <w:tcPr>
            <w:tcW w:w="1507" w:type="pct"/>
          </w:tcPr>
          <w:p w14:paraId="38CC32B5" w14:textId="324D25A5" w:rsidR="00B103D2" w:rsidRPr="00356A32" w:rsidRDefault="00B103D2" w:rsidP="00B103D2">
            <w:pPr>
              <w:pStyle w:val="TableRow"/>
              <w:jc w:val="right"/>
              <w:rPr>
                <w:color w:val="auto"/>
                <w:sz w:val="20"/>
                <w:lang w:val="en-GB"/>
              </w:rPr>
            </w:pPr>
            <w:r w:rsidRPr="00356A32">
              <w:rPr>
                <w:rFonts w:asciiTheme="majorHAnsi" w:hAnsiTheme="majorHAnsi"/>
                <w:color w:val="auto"/>
                <w:sz w:val="20"/>
                <w:lang w:val="en-GB"/>
              </w:rPr>
              <w:t xml:space="preserve">Intermediate-level governments </w:t>
            </w:r>
            <w:r w:rsidRPr="00356A32">
              <w:rPr>
                <w:rFonts w:asciiTheme="majorHAnsi" w:hAnsiTheme="majorHAnsi"/>
                <w:i/>
                <w:iCs/>
                <w:color w:val="auto"/>
                <w:sz w:val="20"/>
                <w:lang w:val="en-GB"/>
              </w:rPr>
              <w:t>(number)</w:t>
            </w:r>
          </w:p>
        </w:tc>
        <w:tc>
          <w:tcPr>
            <w:tcW w:w="3493" w:type="pct"/>
          </w:tcPr>
          <w:p w14:paraId="0CC21429" w14:textId="64E08398" w:rsidR="00B103D2" w:rsidRPr="004B03CF" w:rsidRDefault="00DC767F" w:rsidP="004B03CF">
            <w:pPr>
              <w:pStyle w:val="TableRow"/>
              <w:jc w:val="left"/>
              <w:rPr>
                <w:color w:val="auto"/>
                <w:sz w:val="20"/>
                <w:lang w:val="en-GB"/>
              </w:rPr>
            </w:pPr>
            <w:r w:rsidRPr="004B03CF">
              <w:rPr>
                <w:color w:val="auto"/>
                <w:sz w:val="20"/>
                <w:lang w:val="en-GB"/>
              </w:rPr>
              <w:t>0</w:t>
            </w:r>
          </w:p>
        </w:tc>
      </w:tr>
      <w:tr w:rsidR="00356A32" w:rsidRPr="00356A32" w14:paraId="469B7188" w14:textId="77777777" w:rsidTr="00C729D4">
        <w:trPr>
          <w:trHeight w:val="238"/>
        </w:trPr>
        <w:tc>
          <w:tcPr>
            <w:tcW w:w="1507" w:type="pct"/>
          </w:tcPr>
          <w:p w14:paraId="5222F5C1" w14:textId="17419874" w:rsidR="00B103D2" w:rsidRPr="00356A32" w:rsidRDefault="00B103D2" w:rsidP="00B103D2">
            <w:pPr>
              <w:pStyle w:val="TableRow"/>
              <w:jc w:val="right"/>
              <w:rPr>
                <w:color w:val="auto"/>
                <w:sz w:val="20"/>
                <w:lang w:val="en-GB"/>
              </w:rPr>
            </w:pPr>
            <w:r w:rsidRPr="00356A32">
              <w:rPr>
                <w:rFonts w:asciiTheme="majorHAnsi" w:hAnsiTheme="majorHAnsi"/>
                <w:color w:val="auto"/>
                <w:sz w:val="20"/>
                <w:lang w:val="en-GB"/>
              </w:rPr>
              <w:t xml:space="preserve">Municipal-level governments </w:t>
            </w:r>
            <w:r w:rsidRPr="00356A32">
              <w:rPr>
                <w:rFonts w:asciiTheme="majorHAnsi" w:hAnsiTheme="majorHAnsi"/>
                <w:i/>
                <w:iCs/>
                <w:color w:val="auto"/>
                <w:sz w:val="20"/>
                <w:lang w:val="en-GB"/>
              </w:rPr>
              <w:t>(number)</w:t>
            </w:r>
          </w:p>
        </w:tc>
        <w:tc>
          <w:tcPr>
            <w:tcW w:w="3493" w:type="pct"/>
          </w:tcPr>
          <w:p w14:paraId="223AD8CA" w14:textId="6BD18442" w:rsidR="00B103D2" w:rsidRPr="004B03CF" w:rsidRDefault="00DC767F" w:rsidP="004B03CF">
            <w:pPr>
              <w:pStyle w:val="TableRow"/>
              <w:jc w:val="left"/>
              <w:rPr>
                <w:color w:val="auto"/>
                <w:sz w:val="20"/>
                <w:lang w:val="en-GB"/>
              </w:rPr>
            </w:pPr>
            <w:r w:rsidRPr="004B03CF">
              <w:rPr>
                <w:color w:val="auto"/>
                <w:sz w:val="20"/>
                <w:lang w:val="en-GB"/>
              </w:rPr>
              <w:t xml:space="preserve">79 </w:t>
            </w:r>
          </w:p>
        </w:tc>
      </w:tr>
      <w:tr w:rsidR="00356A32" w:rsidRPr="00356A32" w14:paraId="052D3ED4" w14:textId="77777777" w:rsidTr="00C729D4">
        <w:trPr>
          <w:trHeight w:val="238"/>
        </w:trPr>
        <w:tc>
          <w:tcPr>
            <w:tcW w:w="1507" w:type="pct"/>
          </w:tcPr>
          <w:p w14:paraId="2EA71AAA" w14:textId="3327B9D0" w:rsidR="00594B16" w:rsidRPr="00356A32" w:rsidRDefault="00594B16" w:rsidP="005317DE">
            <w:pPr>
              <w:pStyle w:val="TableRow"/>
              <w:jc w:val="left"/>
              <w:rPr>
                <w:color w:val="auto"/>
                <w:sz w:val="20"/>
                <w:lang w:val="en-GB"/>
              </w:rPr>
            </w:pPr>
            <w:r w:rsidRPr="00356A32">
              <w:rPr>
                <w:color w:val="auto"/>
                <w:sz w:val="20"/>
                <w:lang w:val="en-GB"/>
              </w:rPr>
              <w:t xml:space="preserve">Share of subnational government in total </w:t>
            </w:r>
            <w:r w:rsidR="00306BB7" w:rsidRPr="00356A32">
              <w:rPr>
                <w:color w:val="auto"/>
                <w:sz w:val="20"/>
                <w:lang w:val="en-GB"/>
              </w:rPr>
              <w:t>expenditure</w:t>
            </w:r>
            <w:r w:rsidRPr="00356A32">
              <w:rPr>
                <w:color w:val="auto"/>
                <w:sz w:val="20"/>
                <w:lang w:val="en-GB"/>
              </w:rPr>
              <w:t>/revenues</w:t>
            </w:r>
            <w:r w:rsidR="007A4F39">
              <w:rPr>
                <w:color w:val="auto"/>
                <w:sz w:val="20"/>
                <w:lang w:val="en-GB"/>
              </w:rPr>
              <w:t xml:space="preserve"> (2021)</w:t>
            </w:r>
          </w:p>
        </w:tc>
        <w:tc>
          <w:tcPr>
            <w:tcW w:w="3493" w:type="pct"/>
          </w:tcPr>
          <w:p w14:paraId="05A369DB" w14:textId="779E89E9" w:rsidR="007A4F39" w:rsidRPr="00951EED" w:rsidRDefault="007A4F39" w:rsidP="007A4F39">
            <w:pPr>
              <w:widowControl/>
              <w:jc w:val="left"/>
              <w:rPr>
                <w:sz w:val="20"/>
                <w:lang w:val="en-GB"/>
              </w:rPr>
            </w:pPr>
            <w:r>
              <w:rPr>
                <w:sz w:val="20"/>
                <w:lang w:val="en-GB"/>
              </w:rPr>
              <w:t>24.</w:t>
            </w:r>
            <w:r w:rsidRPr="00951EED">
              <w:rPr>
                <w:sz w:val="20"/>
                <w:lang w:val="en-GB"/>
              </w:rPr>
              <w:t>4% of total expenditure</w:t>
            </w:r>
          </w:p>
          <w:p w14:paraId="6920A5FC" w14:textId="3A1E795C" w:rsidR="007A4F39" w:rsidRPr="00951EED" w:rsidRDefault="007A4F39" w:rsidP="007A4F39">
            <w:pPr>
              <w:widowControl/>
              <w:jc w:val="left"/>
              <w:rPr>
                <w:sz w:val="20"/>
                <w:lang w:val="en-GB"/>
              </w:rPr>
            </w:pPr>
            <w:r>
              <w:rPr>
                <w:sz w:val="20"/>
                <w:lang w:val="en-GB"/>
              </w:rPr>
              <w:t>25.0</w:t>
            </w:r>
            <w:r w:rsidRPr="00951EED">
              <w:rPr>
                <w:sz w:val="20"/>
                <w:lang w:val="en-GB"/>
              </w:rPr>
              <w:t>% of total revenues</w:t>
            </w:r>
          </w:p>
          <w:p w14:paraId="248CB3ED" w14:textId="77777777" w:rsidR="007A4F39" w:rsidRPr="00951EED" w:rsidRDefault="007A4F39" w:rsidP="007A4F39">
            <w:pPr>
              <w:widowControl/>
              <w:jc w:val="left"/>
              <w:rPr>
                <w:sz w:val="20"/>
                <w:lang w:val="en-GB"/>
              </w:rPr>
            </w:pPr>
          </w:p>
          <w:p w14:paraId="5BB6B1BD" w14:textId="44DF5CD8" w:rsidR="00824C86" w:rsidRPr="004B03CF" w:rsidRDefault="007A4F39" w:rsidP="007A4F39">
            <w:pPr>
              <w:pStyle w:val="TableRow"/>
              <w:jc w:val="left"/>
              <w:rPr>
                <w:color w:val="auto"/>
                <w:sz w:val="20"/>
                <w:lang w:val="en-GB"/>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356A32" w:rsidRPr="00356A32" w14:paraId="00042320" w14:textId="77777777" w:rsidTr="00C729D4">
        <w:trPr>
          <w:trHeight w:val="238"/>
        </w:trPr>
        <w:tc>
          <w:tcPr>
            <w:tcW w:w="1507" w:type="pct"/>
          </w:tcPr>
          <w:p w14:paraId="1E3CC064" w14:textId="770297BD" w:rsidR="00594B16" w:rsidRPr="00356A32" w:rsidRDefault="005317DE" w:rsidP="005317DE">
            <w:pPr>
              <w:pStyle w:val="TableRow"/>
              <w:jc w:val="left"/>
              <w:rPr>
                <w:color w:val="auto"/>
                <w:sz w:val="20"/>
                <w:lang w:val="en-GB"/>
              </w:rPr>
            </w:pPr>
            <w:r w:rsidRPr="00356A32">
              <w:rPr>
                <w:color w:val="auto"/>
                <w:sz w:val="20"/>
                <w:lang w:val="en-GB"/>
              </w:rPr>
              <w:t xml:space="preserve">Key </w:t>
            </w:r>
            <w:r w:rsidR="00B103D2" w:rsidRPr="00356A32">
              <w:rPr>
                <w:color w:val="auto"/>
                <w:sz w:val="20"/>
                <w:lang w:val="en-GB"/>
              </w:rPr>
              <w:t xml:space="preserve">regional development </w:t>
            </w:r>
            <w:r w:rsidRPr="00356A32">
              <w:rPr>
                <w:color w:val="auto"/>
                <w:sz w:val="20"/>
                <w:lang w:val="en-GB"/>
              </w:rPr>
              <w:t>challenges</w:t>
            </w:r>
          </w:p>
        </w:tc>
        <w:tc>
          <w:tcPr>
            <w:tcW w:w="3493" w:type="pct"/>
          </w:tcPr>
          <w:p w14:paraId="67987CC0" w14:textId="33E625C0" w:rsidR="0064701F" w:rsidRPr="004B03CF" w:rsidRDefault="00717B6A" w:rsidP="004B03CF">
            <w:pPr>
              <w:pStyle w:val="TableRow"/>
              <w:jc w:val="left"/>
              <w:rPr>
                <w:color w:val="auto"/>
                <w:sz w:val="20"/>
                <w:lang w:val="en-GB"/>
              </w:rPr>
            </w:pPr>
            <w:r w:rsidRPr="004B03CF">
              <w:rPr>
                <w:color w:val="auto"/>
                <w:sz w:val="20"/>
                <w:lang w:val="en-GB"/>
              </w:rPr>
              <w:t xml:space="preserve">• </w:t>
            </w:r>
            <w:r w:rsidR="00D73C4B" w:rsidRPr="004B03CF">
              <w:rPr>
                <w:color w:val="auto"/>
                <w:sz w:val="20"/>
                <w:lang w:val="en-GB"/>
              </w:rPr>
              <w:t>Large regional disparities in socio-economic development, despite the small size of the country (for example in GDP, business performance indicators, demographic trends, incomes in particular).</w:t>
            </w:r>
            <w:r w:rsidR="00104DD2" w:rsidRPr="004B03CF">
              <w:rPr>
                <w:color w:val="auto"/>
                <w:sz w:val="20"/>
                <w:lang w:val="en-GB"/>
              </w:rPr>
              <w:t xml:space="preserve"> There has been no </w:t>
            </w:r>
            <w:r w:rsidR="00963CF4" w:rsidRPr="004B03CF">
              <w:rPr>
                <w:color w:val="auto"/>
                <w:sz w:val="20"/>
                <w:lang w:val="en-GB"/>
              </w:rPr>
              <w:t>significant</w:t>
            </w:r>
            <w:r w:rsidR="00104DD2" w:rsidRPr="004B03CF">
              <w:rPr>
                <w:color w:val="auto"/>
                <w:sz w:val="20"/>
                <w:lang w:val="en-GB"/>
              </w:rPr>
              <w:t xml:space="preserve"> trend towards territorially more balanced development in recent years also.</w:t>
            </w:r>
          </w:p>
          <w:p w14:paraId="78DC87A3" w14:textId="4332A58F" w:rsidR="0064701F" w:rsidRPr="004B03CF" w:rsidRDefault="00717B6A" w:rsidP="004B03CF">
            <w:pPr>
              <w:pStyle w:val="TableRow"/>
              <w:jc w:val="left"/>
              <w:rPr>
                <w:color w:val="auto"/>
                <w:sz w:val="20"/>
                <w:lang w:val="en-GB"/>
              </w:rPr>
            </w:pPr>
            <w:r w:rsidRPr="004B03CF">
              <w:rPr>
                <w:color w:val="auto"/>
                <w:sz w:val="20"/>
                <w:lang w:val="en-GB"/>
              </w:rPr>
              <w:t xml:space="preserve">• </w:t>
            </w:r>
            <w:r w:rsidR="008F4699" w:rsidRPr="004B03CF">
              <w:rPr>
                <w:color w:val="auto"/>
                <w:sz w:val="20"/>
                <w:lang w:val="en-GB"/>
              </w:rPr>
              <w:t>More active economic activity and attractive/profitable jobs are concentrating in larger urban regions, and regional differences in economic growth are deepening.</w:t>
            </w:r>
          </w:p>
          <w:p w14:paraId="2DCF447C" w14:textId="3FFA555C" w:rsidR="0064701F" w:rsidRPr="004B03CF" w:rsidRDefault="00717B6A" w:rsidP="004B03CF">
            <w:pPr>
              <w:pStyle w:val="TableRow"/>
              <w:jc w:val="left"/>
              <w:rPr>
                <w:color w:val="auto"/>
                <w:sz w:val="20"/>
                <w:lang w:val="en-GB"/>
              </w:rPr>
            </w:pPr>
            <w:r w:rsidRPr="004B03CF">
              <w:rPr>
                <w:color w:val="auto"/>
                <w:sz w:val="20"/>
                <w:lang w:val="en-GB"/>
              </w:rPr>
              <w:t xml:space="preserve">• </w:t>
            </w:r>
            <w:r w:rsidR="008F4699" w:rsidRPr="004B03CF">
              <w:rPr>
                <w:color w:val="auto"/>
                <w:sz w:val="20"/>
                <w:lang w:val="en-GB"/>
              </w:rPr>
              <w:t xml:space="preserve">Demographic changes, especially internal migration of younger people towards largest urban areas are </w:t>
            </w:r>
            <w:r w:rsidR="00851901" w:rsidRPr="004B03CF">
              <w:rPr>
                <w:color w:val="auto"/>
                <w:sz w:val="20"/>
                <w:lang w:val="en-GB"/>
              </w:rPr>
              <w:t xml:space="preserve">generating regional shrinkage outside major urban areas and is </w:t>
            </w:r>
            <w:r w:rsidR="008F4699" w:rsidRPr="004B03CF">
              <w:rPr>
                <w:color w:val="auto"/>
                <w:sz w:val="20"/>
                <w:lang w:val="en-GB"/>
              </w:rPr>
              <w:t xml:space="preserve">weakening the development prospects of </w:t>
            </w:r>
            <w:r w:rsidR="00851901" w:rsidRPr="004B03CF">
              <w:rPr>
                <w:color w:val="auto"/>
                <w:sz w:val="20"/>
                <w:lang w:val="en-GB"/>
              </w:rPr>
              <w:t>these shrinking regions.</w:t>
            </w:r>
          </w:p>
          <w:p w14:paraId="3D207992" w14:textId="5670D876" w:rsidR="0064701F" w:rsidRPr="004B03CF" w:rsidRDefault="00717B6A" w:rsidP="004B03CF">
            <w:pPr>
              <w:pStyle w:val="TableRow"/>
              <w:jc w:val="left"/>
              <w:rPr>
                <w:color w:val="auto"/>
                <w:sz w:val="20"/>
                <w:lang w:val="en-GB"/>
              </w:rPr>
            </w:pPr>
            <w:r w:rsidRPr="004B03CF">
              <w:rPr>
                <w:color w:val="auto"/>
                <w:sz w:val="20"/>
                <w:lang w:val="en-GB"/>
              </w:rPr>
              <w:t xml:space="preserve">• </w:t>
            </w:r>
            <w:r w:rsidR="00963CF4" w:rsidRPr="004B03CF">
              <w:rPr>
                <w:color w:val="auto"/>
                <w:sz w:val="20"/>
                <w:lang w:val="en-GB"/>
              </w:rPr>
              <w:t>L</w:t>
            </w:r>
            <w:r w:rsidR="008F4699" w:rsidRPr="004B03CF">
              <w:rPr>
                <w:color w:val="auto"/>
                <w:sz w:val="20"/>
                <w:lang w:val="en-GB"/>
              </w:rPr>
              <w:t xml:space="preserve">ocal governance, </w:t>
            </w:r>
            <w:r w:rsidR="00963CF4" w:rsidRPr="004B03CF">
              <w:rPr>
                <w:color w:val="auto"/>
                <w:sz w:val="20"/>
                <w:lang w:val="en-GB"/>
              </w:rPr>
              <w:t>investment</w:t>
            </w:r>
            <w:r w:rsidR="008F4699" w:rsidRPr="004B03CF">
              <w:rPr>
                <w:color w:val="auto"/>
                <w:sz w:val="20"/>
                <w:lang w:val="en-GB"/>
              </w:rPr>
              <w:t xml:space="preserve"> and development capacity</w:t>
            </w:r>
            <w:r w:rsidR="00963CF4" w:rsidRPr="004B03CF">
              <w:rPr>
                <w:color w:val="auto"/>
                <w:sz w:val="20"/>
                <w:lang w:val="en-GB"/>
              </w:rPr>
              <w:t xml:space="preserve"> (e.g in delivery of quality public services)</w:t>
            </w:r>
            <w:r w:rsidR="008F4699" w:rsidRPr="004B03CF">
              <w:rPr>
                <w:color w:val="auto"/>
                <w:sz w:val="20"/>
                <w:lang w:val="en-GB"/>
              </w:rPr>
              <w:t xml:space="preserve"> is still uneven</w:t>
            </w:r>
            <w:r w:rsidR="00963CF4" w:rsidRPr="004B03CF">
              <w:rPr>
                <w:color w:val="auto"/>
                <w:sz w:val="20"/>
                <w:lang w:val="en-GB"/>
              </w:rPr>
              <w:t xml:space="preserve"> across municipalities. Municipalities in larger urban areas with more favourable demographic structure have normally higher and remote, sparsely populated municipalities located further away from cities lower capacity. </w:t>
            </w:r>
          </w:p>
          <w:p w14:paraId="1BAD7AD2" w14:textId="1A4B49BF" w:rsidR="00963CF4" w:rsidRPr="004B03CF" w:rsidRDefault="00717B6A" w:rsidP="004B03CF">
            <w:pPr>
              <w:pStyle w:val="TableRow"/>
              <w:jc w:val="left"/>
              <w:rPr>
                <w:color w:val="auto"/>
                <w:sz w:val="20"/>
                <w:lang w:val="en-GB"/>
              </w:rPr>
            </w:pPr>
            <w:r w:rsidRPr="004B03CF">
              <w:rPr>
                <w:color w:val="auto"/>
                <w:sz w:val="20"/>
                <w:lang w:val="en-GB"/>
              </w:rPr>
              <w:t xml:space="preserve">• </w:t>
            </w:r>
            <w:r w:rsidR="008F4699" w:rsidRPr="004B03CF">
              <w:rPr>
                <w:color w:val="auto"/>
                <w:sz w:val="20"/>
                <w:lang w:val="en-GB"/>
              </w:rPr>
              <w:t>There are still shortcomings in the coordination of the regional impact of sectoral policies in the goals of balanced regional development.</w:t>
            </w:r>
          </w:p>
        </w:tc>
      </w:tr>
      <w:tr w:rsidR="00356A32" w:rsidRPr="00356A32" w14:paraId="60D8C1E4" w14:textId="77777777" w:rsidTr="00C729D4">
        <w:trPr>
          <w:trHeight w:val="238"/>
        </w:trPr>
        <w:tc>
          <w:tcPr>
            <w:tcW w:w="1507" w:type="pct"/>
          </w:tcPr>
          <w:p w14:paraId="39C429F7" w14:textId="72D388CD" w:rsidR="00594B16" w:rsidRPr="00356A32" w:rsidRDefault="005317DE" w:rsidP="005317DE">
            <w:pPr>
              <w:pStyle w:val="TableRow"/>
              <w:jc w:val="left"/>
              <w:rPr>
                <w:color w:val="auto"/>
                <w:sz w:val="20"/>
                <w:lang w:val="en-GB"/>
              </w:rPr>
            </w:pPr>
            <w:r w:rsidRPr="00356A32">
              <w:rPr>
                <w:color w:val="auto"/>
                <w:sz w:val="20"/>
                <w:lang w:val="en-GB"/>
              </w:rPr>
              <w:t>Objectives of regional policy</w:t>
            </w:r>
          </w:p>
        </w:tc>
        <w:tc>
          <w:tcPr>
            <w:tcW w:w="3493" w:type="pct"/>
          </w:tcPr>
          <w:p w14:paraId="0B4329A2" w14:textId="3671FE70" w:rsidR="0064701F" w:rsidRPr="004B03CF" w:rsidRDefault="00717B6A" w:rsidP="004B03CF">
            <w:pPr>
              <w:pStyle w:val="TableRow"/>
              <w:jc w:val="left"/>
              <w:rPr>
                <w:color w:val="auto"/>
                <w:sz w:val="20"/>
                <w:lang w:val="en-GB"/>
              </w:rPr>
            </w:pPr>
            <w:r w:rsidRPr="004B03CF">
              <w:rPr>
                <w:color w:val="auto"/>
                <w:sz w:val="20"/>
                <w:lang w:val="en-GB"/>
              </w:rPr>
              <w:t xml:space="preserve">• </w:t>
            </w:r>
            <w:r w:rsidR="00F96144" w:rsidRPr="004B03CF">
              <w:rPr>
                <w:color w:val="auto"/>
                <w:sz w:val="20"/>
                <w:lang w:val="en-GB"/>
              </w:rPr>
              <w:t>D</w:t>
            </w:r>
            <w:r w:rsidR="00E268DE" w:rsidRPr="004B03CF">
              <w:rPr>
                <w:color w:val="auto"/>
                <w:sz w:val="20"/>
                <w:lang w:val="en-GB"/>
              </w:rPr>
              <w:t xml:space="preserve">iminishing regional development disparities; </w:t>
            </w:r>
          </w:p>
          <w:p w14:paraId="359830E3" w14:textId="77777777" w:rsidR="00717B6A" w:rsidRPr="004B03CF" w:rsidRDefault="00717B6A" w:rsidP="004B03CF">
            <w:pPr>
              <w:pStyle w:val="TableRow"/>
              <w:jc w:val="left"/>
              <w:rPr>
                <w:color w:val="auto"/>
                <w:sz w:val="20"/>
                <w:lang w:val="en-GB"/>
              </w:rPr>
            </w:pPr>
            <w:r w:rsidRPr="004B03CF">
              <w:rPr>
                <w:color w:val="auto"/>
                <w:sz w:val="20"/>
                <w:lang w:val="en-GB"/>
              </w:rPr>
              <w:t xml:space="preserve">• </w:t>
            </w:r>
            <w:r w:rsidR="00C050DA" w:rsidRPr="004B03CF">
              <w:rPr>
                <w:color w:val="auto"/>
                <w:sz w:val="20"/>
                <w:lang w:val="en-GB"/>
              </w:rPr>
              <w:t>Strengthening cities’ role in development of larger regions through proximity effects/urban-rural interactions and promoting smart shrinkage of regions facing depopulation;</w:t>
            </w:r>
          </w:p>
          <w:p w14:paraId="4C77F451" w14:textId="2A984F34" w:rsidR="0064701F" w:rsidRPr="004B03CF" w:rsidRDefault="00717B6A" w:rsidP="004B03CF">
            <w:pPr>
              <w:pStyle w:val="TableRow"/>
              <w:jc w:val="left"/>
              <w:rPr>
                <w:color w:val="auto"/>
                <w:sz w:val="20"/>
                <w:lang w:val="en-GB"/>
              </w:rPr>
            </w:pPr>
            <w:r w:rsidRPr="004B03CF">
              <w:rPr>
                <w:color w:val="auto"/>
                <w:sz w:val="20"/>
                <w:lang w:val="en-GB"/>
              </w:rPr>
              <w:t xml:space="preserve">• </w:t>
            </w:r>
            <w:r w:rsidR="00F96144" w:rsidRPr="004B03CF">
              <w:rPr>
                <w:color w:val="auto"/>
                <w:sz w:val="20"/>
                <w:lang w:val="en-GB"/>
              </w:rPr>
              <w:t>S</w:t>
            </w:r>
            <w:r w:rsidR="00E268DE" w:rsidRPr="004B03CF">
              <w:rPr>
                <w:color w:val="auto"/>
                <w:sz w:val="20"/>
                <w:lang w:val="en-GB"/>
              </w:rPr>
              <w:t xml:space="preserve">trengthening coordination of regional policy objectives across national sectorial policies and levels of governance (as multilevel governance of regional development); </w:t>
            </w:r>
          </w:p>
          <w:p w14:paraId="7B57715F" w14:textId="5AC4DD07" w:rsidR="0064701F" w:rsidRPr="004B03CF" w:rsidRDefault="00717B6A" w:rsidP="004B03CF">
            <w:pPr>
              <w:pStyle w:val="TableRow"/>
              <w:jc w:val="left"/>
              <w:rPr>
                <w:color w:val="auto"/>
                <w:sz w:val="20"/>
                <w:lang w:val="en-GB"/>
              </w:rPr>
            </w:pPr>
            <w:r w:rsidRPr="004B03CF">
              <w:rPr>
                <w:color w:val="auto"/>
                <w:sz w:val="20"/>
                <w:lang w:val="en-GB"/>
              </w:rPr>
              <w:t xml:space="preserve">• </w:t>
            </w:r>
            <w:r w:rsidR="00F96144" w:rsidRPr="004B03CF">
              <w:rPr>
                <w:color w:val="auto"/>
                <w:sz w:val="20"/>
                <w:lang w:val="en-GB"/>
              </w:rPr>
              <w:t>P</w:t>
            </w:r>
            <w:r w:rsidR="00E268DE" w:rsidRPr="004B03CF">
              <w:rPr>
                <w:color w:val="auto"/>
                <w:sz w:val="20"/>
                <w:lang w:val="en-GB"/>
              </w:rPr>
              <w:t xml:space="preserve">romoting financial autonomy </w:t>
            </w:r>
            <w:r w:rsidR="00F96144" w:rsidRPr="004B03CF">
              <w:rPr>
                <w:color w:val="auto"/>
                <w:sz w:val="20"/>
                <w:lang w:val="en-GB"/>
              </w:rPr>
              <w:t xml:space="preserve">of local municipalities </w:t>
            </w:r>
            <w:r w:rsidR="00E268DE" w:rsidRPr="004B03CF">
              <w:rPr>
                <w:color w:val="auto"/>
                <w:sz w:val="20"/>
                <w:lang w:val="en-GB"/>
              </w:rPr>
              <w:t xml:space="preserve">and </w:t>
            </w:r>
            <w:r w:rsidR="00F96144" w:rsidRPr="004B03CF">
              <w:rPr>
                <w:color w:val="auto"/>
                <w:sz w:val="20"/>
                <w:lang w:val="en-GB"/>
              </w:rPr>
              <w:t>reducing the political dependency from the central government when it comes to the formation of their tax base</w:t>
            </w:r>
            <w:r w:rsidR="00E268DE" w:rsidRPr="004B03CF">
              <w:rPr>
                <w:color w:val="auto"/>
                <w:sz w:val="20"/>
                <w:lang w:val="en-GB"/>
              </w:rPr>
              <w:t xml:space="preserve">; </w:t>
            </w:r>
          </w:p>
          <w:p w14:paraId="144200A5" w14:textId="1742CBB5" w:rsidR="0064701F" w:rsidRPr="004B03CF" w:rsidRDefault="00717B6A" w:rsidP="004B03CF">
            <w:pPr>
              <w:pStyle w:val="TableRow"/>
              <w:jc w:val="left"/>
              <w:rPr>
                <w:color w:val="auto"/>
                <w:sz w:val="20"/>
                <w:lang w:val="en-GB"/>
              </w:rPr>
            </w:pPr>
            <w:r w:rsidRPr="004B03CF">
              <w:rPr>
                <w:color w:val="auto"/>
                <w:sz w:val="20"/>
                <w:lang w:val="en-GB"/>
              </w:rPr>
              <w:t>•</w:t>
            </w:r>
            <w:r w:rsidR="00F96144" w:rsidRPr="004B03CF">
              <w:rPr>
                <w:color w:val="auto"/>
                <w:sz w:val="20"/>
                <w:lang w:val="en-GB"/>
              </w:rPr>
              <w:t>Transferrin</w:t>
            </w:r>
            <w:r w:rsidR="00E268DE" w:rsidRPr="004B03CF">
              <w:rPr>
                <w:color w:val="auto"/>
                <w:sz w:val="20"/>
                <w:lang w:val="en-GB"/>
              </w:rPr>
              <w:t xml:space="preserve">g </w:t>
            </w:r>
            <w:r w:rsidR="00F96144" w:rsidRPr="004B03CF">
              <w:rPr>
                <w:color w:val="auto"/>
                <w:sz w:val="20"/>
                <w:lang w:val="en-GB"/>
              </w:rPr>
              <w:t>some complementary</w:t>
            </w:r>
            <w:r w:rsidR="00E268DE" w:rsidRPr="004B03CF">
              <w:rPr>
                <w:color w:val="auto"/>
                <w:sz w:val="20"/>
                <w:lang w:val="en-GB"/>
              </w:rPr>
              <w:t xml:space="preserve"> state govern</w:t>
            </w:r>
            <w:r w:rsidR="00F96144" w:rsidRPr="004B03CF">
              <w:rPr>
                <w:color w:val="auto"/>
                <w:sz w:val="20"/>
                <w:lang w:val="en-GB"/>
              </w:rPr>
              <w:t>ment responsibilities/</w:t>
            </w:r>
            <w:r w:rsidR="00E268DE" w:rsidRPr="004B03CF">
              <w:rPr>
                <w:color w:val="auto"/>
                <w:sz w:val="20"/>
                <w:lang w:val="en-GB"/>
              </w:rPr>
              <w:t>functions to local municipalities and increasing decentralisation in public governance</w:t>
            </w:r>
            <w:r w:rsidR="00F96144" w:rsidRPr="004B03CF">
              <w:rPr>
                <w:color w:val="auto"/>
                <w:sz w:val="20"/>
                <w:lang w:val="en-GB"/>
              </w:rPr>
              <w:t>, along with ensuring the necessary revenue base</w:t>
            </w:r>
            <w:r w:rsidR="00E268DE" w:rsidRPr="004B03CF">
              <w:rPr>
                <w:color w:val="auto"/>
                <w:sz w:val="20"/>
                <w:lang w:val="en-GB"/>
              </w:rPr>
              <w:t xml:space="preserve">; </w:t>
            </w:r>
          </w:p>
          <w:p w14:paraId="358AAA12" w14:textId="42C7457F" w:rsidR="00594B16" w:rsidRPr="004B03CF" w:rsidRDefault="00717B6A" w:rsidP="004B03CF">
            <w:pPr>
              <w:pStyle w:val="TableRow"/>
              <w:jc w:val="left"/>
              <w:rPr>
                <w:color w:val="auto"/>
                <w:sz w:val="20"/>
                <w:lang w:val="en-GB"/>
              </w:rPr>
            </w:pPr>
            <w:r w:rsidRPr="004B03CF">
              <w:rPr>
                <w:color w:val="auto"/>
                <w:sz w:val="20"/>
                <w:lang w:val="en-GB"/>
              </w:rPr>
              <w:t xml:space="preserve">• </w:t>
            </w:r>
            <w:r w:rsidR="00F96144" w:rsidRPr="004B03CF">
              <w:rPr>
                <w:color w:val="auto"/>
                <w:sz w:val="20"/>
                <w:lang w:val="en-GB"/>
              </w:rPr>
              <w:t xml:space="preserve">Increasing the role of local governments and their responsibilities in the development of the business environment and ensuring appropriate instruments and funds </w:t>
            </w:r>
          </w:p>
        </w:tc>
      </w:tr>
      <w:tr w:rsidR="00356A32" w:rsidRPr="00356A32" w14:paraId="0A562549" w14:textId="77777777" w:rsidTr="00C729D4">
        <w:trPr>
          <w:trHeight w:val="238"/>
        </w:trPr>
        <w:tc>
          <w:tcPr>
            <w:tcW w:w="1507" w:type="pct"/>
          </w:tcPr>
          <w:p w14:paraId="76933AD7" w14:textId="15CCCA35" w:rsidR="00594B16" w:rsidRPr="00356A32" w:rsidRDefault="005317DE" w:rsidP="005317DE">
            <w:pPr>
              <w:pStyle w:val="TableRow"/>
              <w:jc w:val="left"/>
              <w:rPr>
                <w:color w:val="auto"/>
                <w:sz w:val="20"/>
                <w:lang w:val="en-GB"/>
              </w:rPr>
            </w:pPr>
            <w:r w:rsidRPr="00356A32">
              <w:rPr>
                <w:color w:val="auto"/>
                <w:sz w:val="20"/>
                <w:lang w:val="en-GB"/>
              </w:rPr>
              <w:t>Legal/institutional framework for regional policy</w:t>
            </w:r>
          </w:p>
        </w:tc>
        <w:tc>
          <w:tcPr>
            <w:tcW w:w="3493" w:type="pct"/>
          </w:tcPr>
          <w:p w14:paraId="1FE4B346" w14:textId="482F9FA1" w:rsidR="00D66DF4" w:rsidRPr="004B03CF" w:rsidRDefault="004B03CF" w:rsidP="00950162">
            <w:pPr>
              <w:pStyle w:val="TableRow"/>
              <w:jc w:val="left"/>
              <w:rPr>
                <w:color w:val="auto"/>
                <w:sz w:val="20"/>
                <w:lang w:val="en-GB"/>
              </w:rPr>
            </w:pPr>
            <w:r w:rsidRPr="004B03CF">
              <w:rPr>
                <w:color w:val="auto"/>
                <w:sz w:val="20"/>
                <w:lang w:val="en-GB"/>
              </w:rPr>
              <w:t>The M</w:t>
            </w:r>
            <w:r w:rsidR="00950162" w:rsidRPr="004B03CF">
              <w:rPr>
                <w:color w:val="auto"/>
                <w:sz w:val="20"/>
                <w:lang w:val="en-GB"/>
              </w:rPr>
              <w:t xml:space="preserve">inistry of </w:t>
            </w:r>
            <w:r w:rsidRPr="004B03CF">
              <w:rPr>
                <w:color w:val="auto"/>
                <w:sz w:val="20"/>
                <w:lang w:val="en-GB"/>
              </w:rPr>
              <w:t xml:space="preserve">Regional Affairs and Agriculture </w:t>
            </w:r>
            <w:r w:rsidR="00D66DF4" w:rsidRPr="004B03CF">
              <w:rPr>
                <w:color w:val="auto"/>
                <w:sz w:val="20"/>
                <w:lang w:val="en-GB"/>
              </w:rPr>
              <w:t>is</w:t>
            </w:r>
            <w:r w:rsidR="00950162" w:rsidRPr="004B03CF">
              <w:rPr>
                <w:color w:val="auto"/>
                <w:sz w:val="20"/>
                <w:lang w:val="en-GB"/>
              </w:rPr>
              <w:t xml:space="preserve"> responsible for developing, implementing</w:t>
            </w:r>
            <w:r w:rsidR="00742A1D" w:rsidRPr="004B03CF">
              <w:rPr>
                <w:color w:val="auto"/>
                <w:sz w:val="20"/>
                <w:lang w:val="en-GB"/>
              </w:rPr>
              <w:t>,</w:t>
            </w:r>
            <w:r w:rsidR="00A476E8" w:rsidRPr="004B03CF">
              <w:rPr>
                <w:color w:val="auto"/>
                <w:sz w:val="20"/>
                <w:lang w:val="en-GB"/>
              </w:rPr>
              <w:t xml:space="preserve"> </w:t>
            </w:r>
            <w:r w:rsidR="00950162" w:rsidRPr="004B03CF">
              <w:rPr>
                <w:color w:val="auto"/>
                <w:sz w:val="20"/>
                <w:lang w:val="en-GB"/>
              </w:rPr>
              <w:t xml:space="preserve">coordinating </w:t>
            </w:r>
            <w:r w:rsidR="00A476E8" w:rsidRPr="004B03CF">
              <w:rPr>
                <w:color w:val="auto"/>
                <w:sz w:val="20"/>
                <w:lang w:val="en-GB"/>
              </w:rPr>
              <w:t xml:space="preserve">and monitoring </w:t>
            </w:r>
            <w:r w:rsidR="00950162" w:rsidRPr="004B03CF">
              <w:rPr>
                <w:color w:val="auto"/>
                <w:sz w:val="20"/>
                <w:lang w:val="en-GB"/>
              </w:rPr>
              <w:t>regional development</w:t>
            </w:r>
            <w:r w:rsidR="00742A1D" w:rsidRPr="004B03CF">
              <w:rPr>
                <w:color w:val="auto"/>
                <w:sz w:val="20"/>
                <w:lang w:val="en-GB"/>
              </w:rPr>
              <w:t>,</w:t>
            </w:r>
            <w:r w:rsidR="00950162" w:rsidRPr="004B03CF">
              <w:rPr>
                <w:color w:val="auto"/>
                <w:sz w:val="20"/>
                <w:lang w:val="en-GB"/>
              </w:rPr>
              <w:t xml:space="preserve"> spatial planning</w:t>
            </w:r>
            <w:r w:rsidR="00742A1D" w:rsidRPr="004B03CF">
              <w:rPr>
                <w:color w:val="auto"/>
                <w:sz w:val="20"/>
                <w:lang w:val="en-GB"/>
              </w:rPr>
              <w:t xml:space="preserve"> and </w:t>
            </w:r>
            <w:r w:rsidR="00D66DF4" w:rsidRPr="004B03CF">
              <w:rPr>
                <w:color w:val="auto"/>
                <w:sz w:val="20"/>
                <w:lang w:val="en-GB"/>
              </w:rPr>
              <w:t xml:space="preserve"> </w:t>
            </w:r>
            <w:r w:rsidR="00742A1D" w:rsidRPr="004B03CF">
              <w:rPr>
                <w:color w:val="auto"/>
                <w:sz w:val="20"/>
                <w:lang w:val="en-GB"/>
              </w:rPr>
              <w:t xml:space="preserve">territorial administration </w:t>
            </w:r>
            <w:r w:rsidR="00A476E8" w:rsidRPr="004B03CF">
              <w:rPr>
                <w:color w:val="auto"/>
                <w:sz w:val="20"/>
                <w:lang w:val="en-GB"/>
              </w:rPr>
              <w:t xml:space="preserve">policy </w:t>
            </w:r>
            <w:r w:rsidR="00691007" w:rsidRPr="004B03CF">
              <w:rPr>
                <w:color w:val="auto"/>
                <w:sz w:val="20"/>
                <w:lang w:val="en-GB"/>
              </w:rPr>
              <w:t>and developing and counselling local municipalities of Estonia</w:t>
            </w:r>
            <w:r w:rsidR="00950162" w:rsidRPr="004B03CF">
              <w:rPr>
                <w:color w:val="auto"/>
                <w:sz w:val="20"/>
                <w:lang w:val="en-GB"/>
              </w:rPr>
              <w:t xml:space="preserve">. </w:t>
            </w:r>
            <w:r w:rsidRPr="004B03CF">
              <w:rPr>
                <w:color w:val="auto"/>
                <w:sz w:val="20"/>
                <w:lang w:val="en-GB"/>
              </w:rPr>
              <w:t>The Ministry</w:t>
            </w:r>
            <w:r w:rsidR="00950162" w:rsidRPr="004B03CF">
              <w:rPr>
                <w:color w:val="auto"/>
                <w:sz w:val="20"/>
                <w:lang w:val="en-GB"/>
              </w:rPr>
              <w:t xml:space="preserve"> is also in charge of the issues of territorial administration and setting financial management principles for local authorities</w:t>
            </w:r>
            <w:r w:rsidR="00742A1D" w:rsidRPr="004B03CF">
              <w:rPr>
                <w:color w:val="auto"/>
                <w:sz w:val="20"/>
                <w:lang w:val="en-GB"/>
              </w:rPr>
              <w:t xml:space="preserve">. </w:t>
            </w:r>
            <w:r w:rsidRPr="004B03CF">
              <w:rPr>
                <w:color w:val="auto"/>
                <w:sz w:val="20"/>
                <w:lang w:val="en-GB"/>
              </w:rPr>
              <w:t>The Ministry</w:t>
            </w:r>
            <w:r w:rsidR="00D66DF4" w:rsidRPr="004B03CF">
              <w:rPr>
                <w:color w:val="auto"/>
                <w:sz w:val="20"/>
                <w:lang w:val="en-GB"/>
              </w:rPr>
              <w:t xml:space="preserve"> also </w:t>
            </w:r>
            <w:r w:rsidR="00950162" w:rsidRPr="004B03CF">
              <w:rPr>
                <w:color w:val="auto"/>
                <w:sz w:val="20"/>
                <w:lang w:val="en-GB"/>
              </w:rPr>
              <w:t xml:space="preserve">designs and coordinates the implementation of </w:t>
            </w:r>
            <w:r w:rsidRPr="004B03CF">
              <w:rPr>
                <w:color w:val="auto"/>
                <w:sz w:val="20"/>
                <w:lang w:val="en-GB"/>
              </w:rPr>
              <w:t xml:space="preserve">regional development </w:t>
            </w:r>
            <w:r w:rsidRPr="004B03CF">
              <w:rPr>
                <w:color w:val="auto"/>
                <w:sz w:val="20"/>
                <w:lang w:val="en-GB"/>
              </w:rPr>
              <w:lastRenderedPageBreak/>
              <w:t xml:space="preserve">(e.g. rural and urban areas) </w:t>
            </w:r>
            <w:r w:rsidR="00950162" w:rsidRPr="004B03CF">
              <w:rPr>
                <w:color w:val="auto"/>
                <w:sz w:val="20"/>
                <w:lang w:val="en-GB"/>
              </w:rPr>
              <w:t>grant schemes</w:t>
            </w:r>
            <w:r w:rsidRPr="004B03CF">
              <w:rPr>
                <w:color w:val="auto"/>
                <w:sz w:val="20"/>
                <w:lang w:val="en-GB"/>
              </w:rPr>
              <w:t xml:space="preserve"> and development of regional public transport. </w:t>
            </w:r>
          </w:p>
          <w:p w14:paraId="660BB8FB" w14:textId="77777777" w:rsidR="004B03CF" w:rsidRPr="004B03CF" w:rsidRDefault="004B03CF" w:rsidP="00950162">
            <w:pPr>
              <w:pStyle w:val="TableRow"/>
              <w:jc w:val="left"/>
              <w:rPr>
                <w:color w:val="auto"/>
                <w:sz w:val="20"/>
                <w:lang w:val="en-GB"/>
              </w:rPr>
            </w:pPr>
          </w:p>
          <w:p w14:paraId="421613CD" w14:textId="04FA7631" w:rsidR="00950162" w:rsidRPr="004B03CF" w:rsidRDefault="00950162" w:rsidP="00950162">
            <w:pPr>
              <w:pStyle w:val="TableRow"/>
              <w:jc w:val="left"/>
              <w:rPr>
                <w:color w:val="auto"/>
                <w:sz w:val="20"/>
                <w:lang w:val="en-GB"/>
              </w:rPr>
            </w:pPr>
            <w:r w:rsidRPr="004B03CF">
              <w:rPr>
                <w:color w:val="auto"/>
                <w:sz w:val="20"/>
                <w:lang w:val="en-GB"/>
              </w:rPr>
              <w:t xml:space="preserve">The other ministries also contribute to development of </w:t>
            </w:r>
            <w:r w:rsidR="00D66DF4" w:rsidRPr="004B03CF">
              <w:rPr>
                <w:color w:val="auto"/>
                <w:sz w:val="20"/>
                <w:lang w:val="en-GB"/>
              </w:rPr>
              <w:t>regions and cities</w:t>
            </w:r>
            <w:r w:rsidRPr="004B03CF">
              <w:rPr>
                <w:color w:val="auto"/>
                <w:sz w:val="20"/>
                <w:lang w:val="en-GB"/>
              </w:rPr>
              <w:t xml:space="preserve"> by coordinating specific sectorial policies having a stronger </w:t>
            </w:r>
            <w:r w:rsidR="00D66DF4" w:rsidRPr="004B03CF">
              <w:rPr>
                <w:color w:val="auto"/>
                <w:sz w:val="20"/>
                <w:lang w:val="en-GB"/>
              </w:rPr>
              <w:t>territorial</w:t>
            </w:r>
            <w:r w:rsidRPr="004B03CF">
              <w:rPr>
                <w:color w:val="auto"/>
                <w:sz w:val="20"/>
                <w:lang w:val="en-GB"/>
              </w:rPr>
              <w:t xml:space="preserve"> relevance:</w:t>
            </w:r>
          </w:p>
          <w:p w14:paraId="369B50B2" w14:textId="6B1F2C74" w:rsidR="0064701F" w:rsidRPr="004B03CF" w:rsidRDefault="00717B6A" w:rsidP="00717B6A">
            <w:pPr>
              <w:pStyle w:val="TableRow"/>
              <w:jc w:val="left"/>
              <w:rPr>
                <w:color w:val="auto"/>
                <w:sz w:val="20"/>
                <w:lang w:val="en-GB"/>
              </w:rPr>
            </w:pPr>
            <w:r w:rsidRPr="004B03CF">
              <w:rPr>
                <w:color w:val="auto"/>
                <w:sz w:val="20"/>
                <w:lang w:val="en-GB"/>
              </w:rPr>
              <w:t xml:space="preserve">• </w:t>
            </w:r>
            <w:r w:rsidR="00950162" w:rsidRPr="004B03CF">
              <w:rPr>
                <w:color w:val="auto"/>
                <w:sz w:val="20"/>
                <w:lang w:val="en-GB"/>
              </w:rPr>
              <w:t xml:space="preserve">Ministry of Economic Affairs and Communications </w:t>
            </w:r>
            <w:r w:rsidR="00D22F00" w:rsidRPr="004B03CF">
              <w:rPr>
                <w:color w:val="auto"/>
                <w:sz w:val="20"/>
                <w:lang w:val="en-GB"/>
              </w:rPr>
              <w:t>is responsible for</w:t>
            </w:r>
            <w:r w:rsidR="00950162" w:rsidRPr="004B03CF">
              <w:rPr>
                <w:color w:val="auto"/>
                <w:sz w:val="20"/>
                <w:lang w:val="en-GB"/>
              </w:rPr>
              <w:t xml:space="preserve"> housing, urban transport, business development, energy, ICT and digital society, innovation and R&amp;D policies</w:t>
            </w:r>
            <w:r w:rsidR="00D22F00" w:rsidRPr="004B03CF">
              <w:rPr>
                <w:color w:val="auto"/>
                <w:sz w:val="20"/>
                <w:lang w:val="en-GB"/>
              </w:rPr>
              <w:t xml:space="preserve"> having significant importance to development of regions</w:t>
            </w:r>
            <w:r w:rsidR="00950162" w:rsidRPr="004B03CF">
              <w:rPr>
                <w:color w:val="auto"/>
                <w:sz w:val="20"/>
                <w:lang w:val="en-GB"/>
              </w:rPr>
              <w:t xml:space="preserve">; </w:t>
            </w:r>
          </w:p>
          <w:p w14:paraId="7ACDE4EC" w14:textId="0771E2F0" w:rsidR="0064701F" w:rsidRPr="004B03CF" w:rsidRDefault="00717B6A" w:rsidP="00717B6A">
            <w:pPr>
              <w:pStyle w:val="TableRow"/>
              <w:jc w:val="left"/>
              <w:rPr>
                <w:color w:val="auto"/>
                <w:sz w:val="20"/>
                <w:lang w:val="en-GB"/>
              </w:rPr>
            </w:pPr>
            <w:r w:rsidRPr="004B03CF">
              <w:rPr>
                <w:color w:val="auto"/>
                <w:sz w:val="20"/>
                <w:lang w:val="en-GB"/>
              </w:rPr>
              <w:t xml:space="preserve">• </w:t>
            </w:r>
            <w:r w:rsidR="00D22F00" w:rsidRPr="004B03CF">
              <w:rPr>
                <w:color w:val="auto"/>
                <w:sz w:val="20"/>
                <w:lang w:val="en-GB"/>
              </w:rPr>
              <w:t>Ministry of the Environment, as coordinating environmental,</w:t>
            </w:r>
            <w:r w:rsidR="00950162" w:rsidRPr="004B03CF">
              <w:rPr>
                <w:color w:val="auto"/>
                <w:sz w:val="20"/>
                <w:lang w:val="en-GB"/>
              </w:rPr>
              <w:t xml:space="preserve"> sustainable </w:t>
            </w:r>
            <w:r w:rsidR="00A476E8" w:rsidRPr="004B03CF">
              <w:rPr>
                <w:color w:val="auto"/>
                <w:sz w:val="20"/>
                <w:lang w:val="en-GB"/>
              </w:rPr>
              <w:t>development, adaptation/mitigation of climate change</w:t>
            </w:r>
            <w:r w:rsidR="004B03CF" w:rsidRPr="004B03CF">
              <w:rPr>
                <w:color w:val="auto"/>
                <w:sz w:val="20"/>
                <w:lang w:val="en-GB"/>
              </w:rPr>
              <w:t xml:space="preserve">, circular economy and mobility, as well as housing and energy </w:t>
            </w:r>
            <w:r w:rsidR="00A476E8" w:rsidRPr="004B03CF">
              <w:rPr>
                <w:color w:val="auto"/>
                <w:sz w:val="20"/>
                <w:lang w:val="en-GB"/>
              </w:rPr>
              <w:t xml:space="preserve">policies; </w:t>
            </w:r>
          </w:p>
          <w:p w14:paraId="09B637B7" w14:textId="4BBAA12D" w:rsidR="00A476E8" w:rsidRPr="004B03CF" w:rsidRDefault="00717B6A" w:rsidP="00717B6A">
            <w:pPr>
              <w:pStyle w:val="TableRow"/>
              <w:jc w:val="left"/>
              <w:rPr>
                <w:color w:val="auto"/>
                <w:sz w:val="20"/>
                <w:lang w:val="en-GB"/>
              </w:rPr>
            </w:pPr>
            <w:r w:rsidRPr="004B03CF">
              <w:rPr>
                <w:color w:val="auto"/>
                <w:sz w:val="20"/>
                <w:lang w:val="en-GB"/>
              </w:rPr>
              <w:t xml:space="preserve">• </w:t>
            </w:r>
            <w:r w:rsidR="00950162" w:rsidRPr="004B03CF">
              <w:rPr>
                <w:color w:val="auto"/>
                <w:sz w:val="20"/>
                <w:lang w:val="en-GB"/>
              </w:rPr>
              <w:t>Ministry of Social Affairs</w:t>
            </w:r>
            <w:r w:rsidR="00A476E8" w:rsidRPr="004B03CF">
              <w:rPr>
                <w:color w:val="auto"/>
                <w:sz w:val="20"/>
                <w:lang w:val="en-GB"/>
              </w:rPr>
              <w:t xml:space="preserve">, as being responsible for social protection, </w:t>
            </w:r>
            <w:r w:rsidR="00950162" w:rsidRPr="004B03CF">
              <w:rPr>
                <w:color w:val="auto"/>
                <w:sz w:val="20"/>
                <w:lang w:val="en-GB"/>
              </w:rPr>
              <w:t>labo</w:t>
            </w:r>
            <w:r w:rsidR="00A476E8" w:rsidRPr="004B03CF">
              <w:rPr>
                <w:color w:val="auto"/>
                <w:sz w:val="20"/>
                <w:lang w:val="en-GB"/>
              </w:rPr>
              <w:t>u</w:t>
            </w:r>
            <w:r w:rsidR="00950162" w:rsidRPr="004B03CF">
              <w:rPr>
                <w:color w:val="auto"/>
                <w:sz w:val="20"/>
                <w:lang w:val="en-GB"/>
              </w:rPr>
              <w:t>r market</w:t>
            </w:r>
            <w:r w:rsidR="00A476E8" w:rsidRPr="004B03CF">
              <w:rPr>
                <w:color w:val="auto"/>
                <w:sz w:val="20"/>
                <w:lang w:val="en-GB"/>
              </w:rPr>
              <w:t xml:space="preserve"> and lifelong learning</w:t>
            </w:r>
            <w:r w:rsidR="00950162" w:rsidRPr="004B03CF">
              <w:rPr>
                <w:color w:val="auto"/>
                <w:sz w:val="20"/>
                <w:lang w:val="en-GB"/>
              </w:rPr>
              <w:t xml:space="preserve"> policies</w:t>
            </w:r>
            <w:r w:rsidR="004B03CF" w:rsidRPr="004B03CF">
              <w:rPr>
                <w:color w:val="auto"/>
                <w:sz w:val="20"/>
                <w:lang w:val="en-GB"/>
              </w:rPr>
              <w:t>, e.g. developing labour market grand schemes.</w:t>
            </w:r>
          </w:p>
          <w:p w14:paraId="51C62260" w14:textId="4B959C2B" w:rsidR="004B03CF" w:rsidRPr="004B03CF" w:rsidRDefault="004B03CF" w:rsidP="00717B6A">
            <w:pPr>
              <w:pStyle w:val="TableRow"/>
              <w:jc w:val="left"/>
              <w:rPr>
                <w:color w:val="auto"/>
                <w:sz w:val="20"/>
                <w:lang w:val="en-GB"/>
              </w:rPr>
            </w:pPr>
            <w:r w:rsidRPr="004B03CF">
              <w:rPr>
                <w:color w:val="auto"/>
                <w:sz w:val="20"/>
                <w:lang w:val="en-GB"/>
              </w:rPr>
              <w:t>Ministry of Education and Research, as being responsible for education policy, school network and R&amp;D policies and relevant funding instruments.</w:t>
            </w:r>
          </w:p>
          <w:p w14:paraId="205A776D" w14:textId="0586ACEE" w:rsidR="00950162" w:rsidRPr="004B03CF" w:rsidRDefault="00950162" w:rsidP="00A476E8">
            <w:pPr>
              <w:pStyle w:val="TableRow"/>
              <w:ind w:left="720"/>
              <w:jc w:val="left"/>
              <w:rPr>
                <w:color w:val="auto"/>
                <w:sz w:val="20"/>
                <w:lang w:val="en-GB"/>
              </w:rPr>
            </w:pPr>
          </w:p>
          <w:p w14:paraId="09454358" w14:textId="3C0F35C6" w:rsidR="00825AC5" w:rsidRPr="004B03CF" w:rsidRDefault="00A476E8" w:rsidP="00950162">
            <w:pPr>
              <w:pStyle w:val="TableCell"/>
              <w:jc w:val="left"/>
              <w:rPr>
                <w:color w:val="auto"/>
                <w:sz w:val="20"/>
                <w:lang w:val="en-GB"/>
              </w:rPr>
            </w:pPr>
            <w:r w:rsidRPr="004B03CF">
              <w:rPr>
                <w:color w:val="auto"/>
                <w:sz w:val="20"/>
                <w:lang w:val="en-GB"/>
              </w:rPr>
              <w:t>L</w:t>
            </w:r>
            <w:r w:rsidR="00950162" w:rsidRPr="004B03CF">
              <w:rPr>
                <w:color w:val="auto"/>
                <w:sz w:val="20"/>
                <w:lang w:val="en-GB"/>
              </w:rPr>
              <w:t>ocal municipalities are responsible for spatial and strategic development planning and provision of local public services within their territories</w:t>
            </w:r>
            <w:r w:rsidR="00502F65" w:rsidRPr="004B03CF">
              <w:rPr>
                <w:color w:val="auto"/>
                <w:sz w:val="20"/>
                <w:lang w:val="en-GB"/>
              </w:rPr>
              <w:t xml:space="preserve">. Local municipalities </w:t>
            </w:r>
            <w:r w:rsidR="00950162" w:rsidRPr="004B03CF">
              <w:rPr>
                <w:color w:val="auto"/>
                <w:sz w:val="20"/>
                <w:lang w:val="en-GB"/>
              </w:rPr>
              <w:t xml:space="preserve">also </w:t>
            </w:r>
            <w:r w:rsidR="00742A1D" w:rsidRPr="004B03CF">
              <w:rPr>
                <w:color w:val="auto"/>
                <w:sz w:val="20"/>
                <w:lang w:val="en-GB"/>
              </w:rPr>
              <w:t>coordinate</w:t>
            </w:r>
            <w:r w:rsidR="00950162" w:rsidRPr="004B03CF">
              <w:rPr>
                <w:color w:val="auto"/>
                <w:sz w:val="20"/>
                <w:lang w:val="en-GB"/>
              </w:rPr>
              <w:t xml:space="preserve"> strategic development at county level</w:t>
            </w:r>
            <w:r w:rsidR="00742A1D" w:rsidRPr="004B03CF">
              <w:rPr>
                <w:color w:val="auto"/>
                <w:sz w:val="20"/>
                <w:lang w:val="en-GB"/>
              </w:rPr>
              <w:t xml:space="preserve"> jointly through County Development Organisations</w:t>
            </w:r>
            <w:r w:rsidR="00950162" w:rsidRPr="004B03CF">
              <w:rPr>
                <w:color w:val="auto"/>
                <w:sz w:val="20"/>
                <w:lang w:val="en-GB"/>
              </w:rPr>
              <w:t xml:space="preserve">. </w:t>
            </w:r>
          </w:p>
        </w:tc>
      </w:tr>
      <w:tr w:rsidR="00356A32" w:rsidRPr="00356A32" w14:paraId="60BF0C13" w14:textId="77777777" w:rsidTr="00C729D4">
        <w:trPr>
          <w:trHeight w:val="238"/>
        </w:trPr>
        <w:tc>
          <w:tcPr>
            <w:tcW w:w="1507" w:type="pct"/>
          </w:tcPr>
          <w:p w14:paraId="581AEDCF" w14:textId="53DBFB2A" w:rsidR="00922AC4" w:rsidRPr="00356A32" w:rsidRDefault="00922AC4" w:rsidP="005317DE">
            <w:pPr>
              <w:pStyle w:val="TableRow"/>
              <w:rPr>
                <w:color w:val="auto"/>
                <w:sz w:val="20"/>
                <w:lang w:val="en-GB"/>
              </w:rPr>
            </w:pPr>
            <w:r w:rsidRPr="00356A32">
              <w:rPr>
                <w:color w:val="auto"/>
                <w:sz w:val="20"/>
                <w:lang w:val="en-GB"/>
              </w:rPr>
              <w:lastRenderedPageBreak/>
              <w:t>Budget allocated to regional development</w:t>
            </w:r>
            <w:r w:rsidR="00A437BA" w:rsidRPr="00356A32">
              <w:rPr>
                <w:color w:val="auto"/>
                <w:sz w:val="20"/>
                <w:lang w:val="en-GB"/>
              </w:rPr>
              <w:t xml:space="preserve"> (</w:t>
            </w:r>
            <w:r w:rsidR="001641D6" w:rsidRPr="00356A32">
              <w:rPr>
                <w:color w:val="auto"/>
                <w:sz w:val="20"/>
                <w:lang w:val="en-GB"/>
              </w:rPr>
              <w:t xml:space="preserve">i.e., </w:t>
            </w:r>
            <w:r w:rsidR="00A437BA" w:rsidRPr="00356A32">
              <w:rPr>
                <w:color w:val="auto"/>
                <w:sz w:val="20"/>
                <w:lang w:val="en-GB"/>
              </w:rPr>
              <w:t>amount)</w:t>
            </w:r>
            <w:r w:rsidR="001641D6" w:rsidRPr="00356A32">
              <w:rPr>
                <w:color w:val="auto"/>
                <w:sz w:val="20"/>
                <w:lang w:val="en-GB"/>
              </w:rPr>
              <w:t xml:space="preserve"> and fiscal equalisation mechanisms between jurisdictions (if any)</w:t>
            </w:r>
          </w:p>
        </w:tc>
        <w:tc>
          <w:tcPr>
            <w:tcW w:w="3493" w:type="pct"/>
          </w:tcPr>
          <w:p w14:paraId="58141306" w14:textId="4C79C5A4" w:rsidR="00172819" w:rsidRPr="004B03CF" w:rsidRDefault="00172819" w:rsidP="004B03CF">
            <w:pPr>
              <w:pStyle w:val="TableRow"/>
              <w:jc w:val="left"/>
              <w:rPr>
                <w:color w:val="auto"/>
                <w:sz w:val="20"/>
                <w:lang w:val="en-GB"/>
              </w:rPr>
            </w:pPr>
            <w:r w:rsidRPr="004B03CF">
              <w:rPr>
                <w:color w:val="auto"/>
                <w:sz w:val="20"/>
                <w:lang w:val="en-GB"/>
              </w:rPr>
              <w:t>Presumably</w:t>
            </w:r>
            <w:r w:rsidR="0078043E" w:rsidRPr="004B03CF">
              <w:rPr>
                <w:color w:val="auto"/>
                <w:sz w:val="20"/>
                <w:lang w:val="en-GB"/>
              </w:rPr>
              <w:t xml:space="preserve"> </w:t>
            </w:r>
            <w:r w:rsidR="00A36253" w:rsidRPr="004B03CF">
              <w:rPr>
                <w:color w:val="auto"/>
                <w:sz w:val="20"/>
                <w:lang w:val="en-GB"/>
              </w:rPr>
              <w:t>around</w:t>
            </w:r>
            <w:r w:rsidR="0078043E" w:rsidRPr="004B03CF">
              <w:rPr>
                <w:color w:val="auto"/>
                <w:sz w:val="20"/>
                <w:lang w:val="en-GB"/>
              </w:rPr>
              <w:t xml:space="preserve"> 70-80 million euros will be allocated</w:t>
            </w:r>
            <w:r w:rsidRPr="004B03CF">
              <w:rPr>
                <w:color w:val="auto"/>
                <w:sz w:val="20"/>
                <w:lang w:val="en-GB"/>
              </w:rPr>
              <w:t xml:space="preserve"> to regional development</w:t>
            </w:r>
            <w:r w:rsidR="0078043E" w:rsidRPr="004B03CF">
              <w:rPr>
                <w:color w:val="auto"/>
                <w:sz w:val="20"/>
                <w:lang w:val="en-GB"/>
              </w:rPr>
              <w:t xml:space="preserve"> annually during the next 7-years implementation period of </w:t>
            </w:r>
            <w:r w:rsidR="00A36253" w:rsidRPr="004B03CF">
              <w:rPr>
                <w:color w:val="auto"/>
                <w:sz w:val="20"/>
                <w:lang w:val="en-GB"/>
              </w:rPr>
              <w:t xml:space="preserve">the </w:t>
            </w:r>
            <w:r w:rsidR="0078043E" w:rsidRPr="004B03CF">
              <w:rPr>
                <w:color w:val="auto"/>
                <w:sz w:val="20"/>
                <w:lang w:val="en-GB"/>
              </w:rPr>
              <w:t>EU funds</w:t>
            </w:r>
            <w:r w:rsidR="00A36253" w:rsidRPr="004B03CF">
              <w:rPr>
                <w:color w:val="auto"/>
                <w:sz w:val="20"/>
                <w:lang w:val="en-GB"/>
              </w:rPr>
              <w:t xml:space="preserve"> specifically </w:t>
            </w:r>
            <w:r w:rsidR="00111878" w:rsidRPr="004B03CF">
              <w:rPr>
                <w:color w:val="auto"/>
                <w:sz w:val="20"/>
                <w:lang w:val="en-GB"/>
              </w:rPr>
              <w:t xml:space="preserve">through </w:t>
            </w:r>
            <w:r w:rsidR="00A36253" w:rsidRPr="004B03CF">
              <w:rPr>
                <w:color w:val="auto"/>
                <w:sz w:val="20"/>
                <w:lang w:val="en-GB"/>
              </w:rPr>
              <w:t>the regional development grant schemes (funded from the EU funds as well as from the national budget)</w:t>
            </w:r>
            <w:r w:rsidR="0078043E" w:rsidRPr="004B03CF">
              <w:rPr>
                <w:color w:val="auto"/>
                <w:sz w:val="20"/>
                <w:lang w:val="en-GB"/>
              </w:rPr>
              <w:t xml:space="preserve">. This </w:t>
            </w:r>
            <w:r w:rsidR="00A36253" w:rsidRPr="004B03CF">
              <w:rPr>
                <w:color w:val="auto"/>
                <w:sz w:val="20"/>
                <w:lang w:val="en-GB"/>
              </w:rPr>
              <w:t>calculation</w:t>
            </w:r>
            <w:r w:rsidR="0078043E" w:rsidRPr="004B03CF">
              <w:rPr>
                <w:color w:val="auto"/>
                <w:sz w:val="20"/>
                <w:lang w:val="en-GB"/>
              </w:rPr>
              <w:t xml:space="preserve"> does not include the other </w:t>
            </w:r>
            <w:r w:rsidR="00A36253" w:rsidRPr="004B03CF">
              <w:rPr>
                <w:color w:val="auto"/>
                <w:sz w:val="20"/>
                <w:lang w:val="en-GB"/>
              </w:rPr>
              <w:t xml:space="preserve">sectorial policy grants reaching also to different regions of Estonia. </w:t>
            </w:r>
          </w:p>
          <w:p w14:paraId="1C2208F9" w14:textId="6120C645" w:rsidR="00922AC4" w:rsidRPr="004B03CF" w:rsidRDefault="005B20CF" w:rsidP="004B03CF">
            <w:pPr>
              <w:pStyle w:val="TableRow"/>
              <w:jc w:val="left"/>
              <w:rPr>
                <w:color w:val="auto"/>
                <w:sz w:val="20"/>
                <w:lang w:val="en-GB"/>
              </w:rPr>
            </w:pPr>
            <w:r w:rsidRPr="004B03CF">
              <w:rPr>
                <w:color w:val="auto"/>
                <w:sz w:val="20"/>
                <w:lang w:val="en-GB"/>
              </w:rPr>
              <w:t>T</w:t>
            </w:r>
            <w:r w:rsidR="00172819" w:rsidRPr="004B03CF">
              <w:rPr>
                <w:color w:val="auto"/>
                <w:sz w:val="20"/>
                <w:lang w:val="en-GB"/>
              </w:rPr>
              <w:t>he fiscal equ</w:t>
            </w:r>
            <w:r w:rsidR="00A36253" w:rsidRPr="004B03CF">
              <w:rPr>
                <w:color w:val="auto"/>
                <w:sz w:val="20"/>
                <w:lang w:val="en-GB"/>
              </w:rPr>
              <w:t xml:space="preserve">alisation mechanism </w:t>
            </w:r>
            <w:r w:rsidR="00A953EE" w:rsidRPr="004B03CF">
              <w:rPr>
                <w:color w:val="auto"/>
                <w:sz w:val="20"/>
                <w:lang w:val="en-GB"/>
              </w:rPr>
              <w:t>forms 107,</w:t>
            </w:r>
            <w:r w:rsidRPr="004B03CF">
              <w:rPr>
                <w:color w:val="auto"/>
                <w:sz w:val="20"/>
                <w:lang w:val="en-GB"/>
              </w:rPr>
              <w:t>4 million</w:t>
            </w:r>
            <w:r w:rsidR="00A953EE" w:rsidRPr="004B03CF">
              <w:rPr>
                <w:color w:val="auto"/>
                <w:sz w:val="20"/>
                <w:lang w:val="en-GB"/>
              </w:rPr>
              <w:t xml:space="preserve"> </w:t>
            </w:r>
            <w:r w:rsidRPr="004B03CF">
              <w:rPr>
                <w:color w:val="auto"/>
                <w:sz w:val="20"/>
                <w:lang w:val="en-GB"/>
              </w:rPr>
              <w:t>euros (2023)</w:t>
            </w:r>
            <w:r w:rsidR="00D975F6" w:rsidRPr="004B03CF">
              <w:rPr>
                <w:color w:val="auto"/>
                <w:sz w:val="20"/>
                <w:lang w:val="en-GB"/>
              </w:rPr>
              <w:t xml:space="preserve">, which </w:t>
            </w:r>
            <w:r w:rsidRPr="004B03CF">
              <w:rPr>
                <w:color w:val="auto"/>
                <w:sz w:val="20"/>
                <w:lang w:val="en-GB"/>
              </w:rPr>
              <w:t>represents 3,6% of total local government income.</w:t>
            </w:r>
          </w:p>
        </w:tc>
      </w:tr>
      <w:tr w:rsidR="00356A32" w:rsidRPr="00356A32" w14:paraId="75EA1188" w14:textId="77777777" w:rsidTr="00C729D4">
        <w:trPr>
          <w:trHeight w:val="238"/>
        </w:trPr>
        <w:tc>
          <w:tcPr>
            <w:tcW w:w="1507" w:type="pct"/>
          </w:tcPr>
          <w:p w14:paraId="5193A2FE" w14:textId="124A5020" w:rsidR="00623BE2" w:rsidRPr="00356A32" w:rsidRDefault="00623BE2" w:rsidP="005317DE">
            <w:pPr>
              <w:pStyle w:val="TableRow"/>
              <w:rPr>
                <w:color w:val="auto"/>
                <w:sz w:val="20"/>
                <w:lang w:val="en-GB"/>
              </w:rPr>
            </w:pPr>
            <w:r w:rsidRPr="00356A32">
              <w:rPr>
                <w:color w:val="auto"/>
                <w:sz w:val="20"/>
                <w:lang w:val="en-GB"/>
              </w:rPr>
              <w:t>National regional development policy framework</w:t>
            </w:r>
          </w:p>
        </w:tc>
        <w:tc>
          <w:tcPr>
            <w:tcW w:w="3493" w:type="pct"/>
          </w:tcPr>
          <w:p w14:paraId="659CA106" w14:textId="2B5407EE" w:rsidR="00FA0B4B" w:rsidRPr="004B03CF" w:rsidRDefault="00BD327C" w:rsidP="004B03CF">
            <w:pPr>
              <w:pStyle w:val="TableRow"/>
              <w:jc w:val="left"/>
              <w:rPr>
                <w:color w:val="auto"/>
                <w:sz w:val="20"/>
                <w:lang w:val="en-GB"/>
              </w:rPr>
            </w:pPr>
            <w:r w:rsidRPr="004B03CF">
              <w:rPr>
                <w:color w:val="auto"/>
                <w:sz w:val="20"/>
                <w:lang w:val="en-GB"/>
              </w:rPr>
              <w:t xml:space="preserve">Since 2021 we </w:t>
            </w:r>
            <w:r w:rsidR="00111878" w:rsidRPr="004B03CF">
              <w:rPr>
                <w:color w:val="auto"/>
                <w:sz w:val="20"/>
                <w:lang w:val="en-GB"/>
              </w:rPr>
              <w:t xml:space="preserve">have </w:t>
            </w:r>
            <w:r w:rsidRPr="004B03CF">
              <w:rPr>
                <w:color w:val="auto"/>
                <w:sz w:val="20"/>
                <w:lang w:val="en-GB"/>
              </w:rPr>
              <w:t>no</w:t>
            </w:r>
            <w:r w:rsidR="00111878" w:rsidRPr="004B03CF">
              <w:rPr>
                <w:color w:val="auto"/>
                <w:sz w:val="20"/>
                <w:lang w:val="en-GB"/>
              </w:rPr>
              <w:t xml:space="preserve"> longer had</w:t>
            </w:r>
            <w:r w:rsidRPr="004B03CF">
              <w:rPr>
                <w:color w:val="auto"/>
                <w:sz w:val="20"/>
                <w:lang w:val="en-GB"/>
              </w:rPr>
              <w:t xml:space="preserve"> a </w:t>
            </w:r>
            <w:r w:rsidR="00FA0B4B" w:rsidRPr="004B03CF">
              <w:rPr>
                <w:color w:val="auto"/>
                <w:sz w:val="20"/>
                <w:lang w:val="en-GB"/>
              </w:rPr>
              <w:t>holistic</w:t>
            </w:r>
            <w:r w:rsidRPr="004B03CF">
              <w:rPr>
                <w:color w:val="auto"/>
                <w:sz w:val="20"/>
                <w:lang w:val="en-GB"/>
              </w:rPr>
              <w:t xml:space="preserve"> </w:t>
            </w:r>
            <w:r w:rsidR="00FA0B4B" w:rsidRPr="004B03CF">
              <w:rPr>
                <w:color w:val="auto"/>
                <w:sz w:val="20"/>
                <w:lang w:val="en-GB"/>
              </w:rPr>
              <w:t>national</w:t>
            </w:r>
            <w:r w:rsidRPr="004B03CF">
              <w:rPr>
                <w:color w:val="auto"/>
                <w:sz w:val="20"/>
                <w:lang w:val="en-GB"/>
              </w:rPr>
              <w:t xml:space="preserve"> regional development </w:t>
            </w:r>
            <w:r w:rsidR="00FA0B4B" w:rsidRPr="004B03CF">
              <w:rPr>
                <w:color w:val="auto"/>
                <w:sz w:val="20"/>
                <w:lang w:val="en-GB"/>
              </w:rPr>
              <w:t>strategy being valid</w:t>
            </w:r>
            <w:r w:rsidRPr="004B03CF">
              <w:rPr>
                <w:color w:val="auto"/>
                <w:sz w:val="20"/>
                <w:lang w:val="en-GB"/>
              </w:rPr>
              <w:t xml:space="preserve"> for </w:t>
            </w:r>
            <w:r w:rsidR="00FA0B4B" w:rsidRPr="004B03CF">
              <w:rPr>
                <w:color w:val="auto"/>
                <w:sz w:val="20"/>
                <w:lang w:val="en-GB"/>
              </w:rPr>
              <w:t xml:space="preserve">all sectorial ministries. Nevertheless, regional development goals, e.g to ensure a more balanced territorial development and consideration of different territorial needs through sectorial policy strategies is set within the National Development Strategy “Estonia 2035”.  </w:t>
            </w:r>
          </w:p>
          <w:p w14:paraId="387F1CFF" w14:textId="77777777" w:rsidR="00CA4E6E" w:rsidRPr="004B03CF" w:rsidRDefault="00CA4E6E" w:rsidP="004B03CF">
            <w:pPr>
              <w:pStyle w:val="TableRow"/>
              <w:jc w:val="left"/>
              <w:rPr>
                <w:color w:val="auto"/>
                <w:sz w:val="20"/>
                <w:lang w:val="en-GB"/>
              </w:rPr>
            </w:pPr>
          </w:p>
          <w:p w14:paraId="130CE9C7" w14:textId="752EA785" w:rsidR="00CA4E6E" w:rsidRPr="004B03CF" w:rsidRDefault="00DA2BB4" w:rsidP="004B03CF">
            <w:pPr>
              <w:pStyle w:val="TableRow"/>
              <w:jc w:val="left"/>
              <w:rPr>
                <w:color w:val="auto"/>
                <w:sz w:val="20"/>
                <w:lang w:val="en-GB"/>
              </w:rPr>
            </w:pPr>
            <w:r w:rsidRPr="004B03CF">
              <w:rPr>
                <w:color w:val="auto"/>
                <w:sz w:val="20"/>
                <w:lang w:val="en-GB"/>
              </w:rPr>
              <w:t>T</w:t>
            </w:r>
            <w:r w:rsidR="00237440" w:rsidRPr="004B03CF">
              <w:rPr>
                <w:color w:val="auto"/>
                <w:sz w:val="20"/>
                <w:lang w:val="en-GB"/>
              </w:rPr>
              <w:t xml:space="preserve">here is </w:t>
            </w:r>
            <w:r w:rsidRPr="004B03CF">
              <w:rPr>
                <w:color w:val="auto"/>
                <w:sz w:val="20"/>
                <w:lang w:val="en-GB"/>
              </w:rPr>
              <w:t xml:space="preserve">also </w:t>
            </w:r>
            <w:r w:rsidR="00237440" w:rsidRPr="004B03CF">
              <w:rPr>
                <w:color w:val="auto"/>
                <w:sz w:val="20"/>
                <w:lang w:val="en-GB"/>
              </w:rPr>
              <w:t>a new</w:t>
            </w:r>
            <w:r w:rsidR="00BD327C" w:rsidRPr="004B03CF">
              <w:rPr>
                <w:color w:val="auto"/>
                <w:sz w:val="20"/>
                <w:lang w:val="en-GB"/>
              </w:rPr>
              <w:t xml:space="preserve"> Regional </w:t>
            </w:r>
            <w:r w:rsidR="00111878" w:rsidRPr="004B03CF">
              <w:rPr>
                <w:color w:val="auto"/>
                <w:sz w:val="20"/>
                <w:lang w:val="en-GB"/>
              </w:rPr>
              <w:t>Development</w:t>
            </w:r>
            <w:r w:rsidR="00BD327C" w:rsidRPr="004B03CF">
              <w:rPr>
                <w:color w:val="auto"/>
                <w:sz w:val="20"/>
                <w:lang w:val="en-GB"/>
              </w:rPr>
              <w:t xml:space="preserve"> Action Plan </w:t>
            </w:r>
            <w:r w:rsidR="00111878" w:rsidRPr="004B03CF">
              <w:rPr>
                <w:color w:val="auto"/>
                <w:sz w:val="20"/>
                <w:lang w:val="en-GB"/>
              </w:rPr>
              <w:t>(RD</w:t>
            </w:r>
            <w:r w:rsidRPr="004B03CF">
              <w:rPr>
                <w:color w:val="auto"/>
                <w:sz w:val="20"/>
                <w:lang w:val="en-GB"/>
              </w:rPr>
              <w:t xml:space="preserve">AP) </w:t>
            </w:r>
            <w:r w:rsidR="00237440" w:rsidRPr="004B03CF">
              <w:rPr>
                <w:color w:val="auto"/>
                <w:sz w:val="20"/>
                <w:lang w:val="en-GB"/>
              </w:rPr>
              <w:t>in place</w:t>
            </w:r>
            <w:r w:rsidRPr="004B03CF">
              <w:rPr>
                <w:color w:val="auto"/>
                <w:sz w:val="20"/>
                <w:lang w:val="en-GB"/>
              </w:rPr>
              <w:t xml:space="preserve"> since 2022. The RPAP defines the most eminent </w:t>
            </w:r>
            <w:r w:rsidR="00FB79E9" w:rsidRPr="004B03CF">
              <w:rPr>
                <w:color w:val="auto"/>
                <w:sz w:val="20"/>
                <w:lang w:val="en-GB"/>
              </w:rPr>
              <w:t xml:space="preserve">socio-economic </w:t>
            </w:r>
            <w:r w:rsidRPr="004B03CF">
              <w:rPr>
                <w:color w:val="auto"/>
                <w:sz w:val="20"/>
                <w:lang w:val="en-GB"/>
              </w:rPr>
              <w:t>inequalities of regional development seen as major challenges/root-problems of regional development in Estonia</w:t>
            </w:r>
            <w:r w:rsidR="00834A75" w:rsidRPr="004B03CF">
              <w:rPr>
                <w:color w:val="auto"/>
                <w:sz w:val="20"/>
                <w:lang w:val="en-GB"/>
              </w:rPr>
              <w:t>, and creates a framework for monitoring these processes</w:t>
            </w:r>
            <w:r w:rsidRPr="004B03CF">
              <w:rPr>
                <w:color w:val="auto"/>
                <w:sz w:val="20"/>
                <w:lang w:val="en-GB"/>
              </w:rPr>
              <w:t xml:space="preserve">. It also sets </w:t>
            </w:r>
            <w:r w:rsidR="00D32F31" w:rsidRPr="004B03CF">
              <w:rPr>
                <w:color w:val="auto"/>
                <w:sz w:val="20"/>
                <w:lang w:val="en-GB"/>
              </w:rPr>
              <w:t>more detailed</w:t>
            </w:r>
            <w:r w:rsidRPr="004B03CF">
              <w:rPr>
                <w:color w:val="auto"/>
                <w:sz w:val="20"/>
                <w:lang w:val="en-GB"/>
              </w:rPr>
              <w:t xml:space="preserve"> 4-year action plan covering different sectorial policy activities to alleviate these root problems and support more even regional devel</w:t>
            </w:r>
            <w:r w:rsidR="00834A75" w:rsidRPr="004B03CF">
              <w:rPr>
                <w:color w:val="auto"/>
                <w:sz w:val="20"/>
                <w:lang w:val="en-GB"/>
              </w:rPr>
              <w:t>opment.</w:t>
            </w:r>
            <w:r w:rsidRPr="004B03CF">
              <w:rPr>
                <w:color w:val="auto"/>
                <w:sz w:val="20"/>
                <w:lang w:val="en-GB"/>
              </w:rPr>
              <w:t xml:space="preserve"> </w:t>
            </w:r>
          </w:p>
          <w:p w14:paraId="330AE302" w14:textId="77777777" w:rsidR="00D32F31" w:rsidRPr="004B03CF" w:rsidRDefault="00D32F31" w:rsidP="004B03CF">
            <w:pPr>
              <w:pStyle w:val="TableRow"/>
              <w:jc w:val="left"/>
              <w:rPr>
                <w:color w:val="auto"/>
                <w:sz w:val="20"/>
                <w:lang w:val="en-GB"/>
              </w:rPr>
            </w:pPr>
          </w:p>
          <w:p w14:paraId="299636F1" w14:textId="55F097D4" w:rsidR="00D32F31" w:rsidRPr="004B03CF" w:rsidRDefault="00D32F31" w:rsidP="004B03CF">
            <w:pPr>
              <w:pStyle w:val="TableRow"/>
              <w:jc w:val="left"/>
              <w:rPr>
                <w:color w:val="auto"/>
                <w:sz w:val="20"/>
                <w:lang w:val="en-GB"/>
              </w:rPr>
            </w:pPr>
            <w:r w:rsidRPr="004B03CF">
              <w:rPr>
                <w:color w:val="auto"/>
                <w:sz w:val="20"/>
                <w:lang w:val="en-GB"/>
              </w:rPr>
              <w:t xml:space="preserve">Besides, there is a regional development program for 4-year period (being updated annual-basis), which sets up the implementation plan for the ministry responsible for regional policy in Estonia (Ministry of </w:t>
            </w:r>
            <w:r w:rsidR="004B03CF" w:rsidRPr="004B03CF">
              <w:rPr>
                <w:color w:val="auto"/>
                <w:sz w:val="20"/>
                <w:lang w:val="en-GB"/>
              </w:rPr>
              <w:t>Regional Affairs and Agriculture</w:t>
            </w:r>
            <w:r w:rsidRPr="004B03CF">
              <w:rPr>
                <w:color w:val="auto"/>
                <w:sz w:val="20"/>
                <w:lang w:val="en-GB"/>
              </w:rPr>
              <w:t xml:space="preserve">). This document is also a basis for planning 4-years state budget strategy. </w:t>
            </w:r>
          </w:p>
          <w:p w14:paraId="6D98AE8C" w14:textId="77777777" w:rsidR="00CA4E6E" w:rsidRPr="004B03CF" w:rsidRDefault="00CA4E6E" w:rsidP="004B03CF">
            <w:pPr>
              <w:pStyle w:val="TableRow"/>
              <w:jc w:val="left"/>
              <w:rPr>
                <w:color w:val="auto"/>
                <w:sz w:val="20"/>
                <w:lang w:val="en-GB"/>
              </w:rPr>
            </w:pPr>
          </w:p>
          <w:p w14:paraId="3FDED921" w14:textId="41A838D2" w:rsidR="00CA4E6E" w:rsidRPr="004B03CF" w:rsidRDefault="00BD327C" w:rsidP="004B03CF">
            <w:pPr>
              <w:pStyle w:val="TableRow"/>
              <w:jc w:val="left"/>
              <w:rPr>
                <w:color w:val="auto"/>
                <w:sz w:val="20"/>
                <w:lang w:val="en-GB"/>
              </w:rPr>
            </w:pPr>
            <w:r w:rsidRPr="004B03CF">
              <w:rPr>
                <w:color w:val="auto"/>
                <w:sz w:val="20"/>
                <w:lang w:val="en-GB"/>
              </w:rPr>
              <w:t>At regional level there are 15 county</w:t>
            </w:r>
            <w:r w:rsidRPr="004B03CF">
              <w:rPr>
                <w:color w:val="auto"/>
                <w:sz w:val="20"/>
                <w:lang w:val="en-GB"/>
              </w:rPr>
              <w:footnoteReference w:id="2"/>
            </w:r>
            <w:r w:rsidRPr="004B03CF">
              <w:rPr>
                <w:color w:val="auto"/>
                <w:sz w:val="20"/>
                <w:lang w:val="en-GB"/>
              </w:rPr>
              <w:t xml:space="preserve"> development strategies in place</w:t>
            </w:r>
            <w:r w:rsidR="00CA4E6E" w:rsidRPr="004B03CF">
              <w:rPr>
                <w:color w:val="auto"/>
                <w:sz w:val="20"/>
                <w:lang w:val="en-GB"/>
              </w:rPr>
              <w:t>, developed jointly by the local municipalities of the county</w:t>
            </w:r>
            <w:r w:rsidR="00834A75" w:rsidRPr="004B03CF">
              <w:rPr>
                <w:color w:val="auto"/>
                <w:sz w:val="20"/>
                <w:lang w:val="en-GB"/>
              </w:rPr>
              <w:t xml:space="preserve">. Although there is a general requirement that the county development strategies and national level policy strategies are consistent and </w:t>
            </w:r>
            <w:r w:rsidR="00CA4E6E" w:rsidRPr="004B03CF">
              <w:rPr>
                <w:color w:val="auto"/>
                <w:sz w:val="20"/>
                <w:lang w:val="en-GB"/>
              </w:rPr>
              <w:t>consider</w:t>
            </w:r>
            <w:r w:rsidR="00834A75" w:rsidRPr="004B03CF">
              <w:rPr>
                <w:color w:val="auto"/>
                <w:sz w:val="20"/>
                <w:lang w:val="en-GB"/>
              </w:rPr>
              <w:t xml:space="preserve"> each other’s priorities,</w:t>
            </w:r>
            <w:r w:rsidR="00CA4E6E" w:rsidRPr="004B03CF">
              <w:rPr>
                <w:color w:val="auto"/>
                <w:sz w:val="20"/>
                <w:lang w:val="en-GB"/>
              </w:rPr>
              <w:t xml:space="preserve"> there are</w:t>
            </w:r>
            <w:r w:rsidR="00834A75" w:rsidRPr="004B03CF">
              <w:rPr>
                <w:color w:val="auto"/>
                <w:sz w:val="20"/>
                <w:lang w:val="en-GB"/>
              </w:rPr>
              <w:t xml:space="preserve"> no </w:t>
            </w:r>
            <w:r w:rsidRPr="004B03CF">
              <w:rPr>
                <w:color w:val="auto"/>
                <w:sz w:val="20"/>
                <w:lang w:val="en-GB"/>
              </w:rPr>
              <w:t>bind</w:t>
            </w:r>
            <w:r w:rsidR="00834A75" w:rsidRPr="004B03CF">
              <w:rPr>
                <w:color w:val="auto"/>
                <w:sz w:val="20"/>
                <w:lang w:val="en-GB"/>
              </w:rPr>
              <w:t>ing</w:t>
            </w:r>
            <w:r w:rsidRPr="004B03CF">
              <w:rPr>
                <w:color w:val="auto"/>
                <w:sz w:val="20"/>
                <w:lang w:val="en-GB"/>
              </w:rPr>
              <w:t xml:space="preserve"> mechanisms to en</w:t>
            </w:r>
            <w:r w:rsidR="00834A75" w:rsidRPr="004B03CF">
              <w:rPr>
                <w:color w:val="auto"/>
                <w:sz w:val="20"/>
                <w:lang w:val="en-GB"/>
              </w:rPr>
              <w:t xml:space="preserve">sure this in practice. </w:t>
            </w:r>
          </w:p>
          <w:p w14:paraId="00584ED1" w14:textId="77777777" w:rsidR="00CA4E6E" w:rsidRPr="004B03CF" w:rsidRDefault="00CA4E6E" w:rsidP="004B03CF">
            <w:pPr>
              <w:pStyle w:val="TableRow"/>
              <w:jc w:val="left"/>
              <w:rPr>
                <w:color w:val="auto"/>
                <w:sz w:val="20"/>
                <w:lang w:val="en-GB"/>
              </w:rPr>
            </w:pPr>
          </w:p>
          <w:p w14:paraId="27E0CB75" w14:textId="262C41AA" w:rsidR="00825AC5" w:rsidRPr="004B03CF" w:rsidRDefault="00CA4E6E" w:rsidP="004B03CF">
            <w:pPr>
              <w:pStyle w:val="TableRow"/>
              <w:jc w:val="left"/>
              <w:rPr>
                <w:color w:val="auto"/>
                <w:sz w:val="20"/>
                <w:lang w:val="en-GB"/>
              </w:rPr>
            </w:pPr>
            <w:r w:rsidRPr="004B03CF">
              <w:rPr>
                <w:color w:val="auto"/>
                <w:sz w:val="20"/>
                <w:lang w:val="en-GB"/>
              </w:rPr>
              <w:t>There is n</w:t>
            </w:r>
            <w:r w:rsidR="00BD327C" w:rsidRPr="004B03CF">
              <w:rPr>
                <w:color w:val="auto"/>
                <w:sz w:val="20"/>
                <w:lang w:val="en-GB"/>
              </w:rPr>
              <w:t xml:space="preserve">o </w:t>
            </w:r>
            <w:r w:rsidRPr="004B03CF">
              <w:rPr>
                <w:color w:val="auto"/>
                <w:sz w:val="20"/>
                <w:lang w:val="en-GB"/>
              </w:rPr>
              <w:t>official regional policy council or</w:t>
            </w:r>
            <w:r w:rsidR="00BD327C" w:rsidRPr="004B03CF">
              <w:rPr>
                <w:color w:val="auto"/>
                <w:sz w:val="20"/>
                <w:lang w:val="en-GB"/>
              </w:rPr>
              <w:t xml:space="preserve"> advisory group</w:t>
            </w:r>
            <w:r w:rsidR="00796F7C" w:rsidRPr="004B03CF">
              <w:rPr>
                <w:color w:val="auto"/>
                <w:sz w:val="20"/>
                <w:lang w:val="en-GB"/>
              </w:rPr>
              <w:t xml:space="preserve"> or other such institution</w:t>
            </w:r>
            <w:r w:rsidR="00BD327C" w:rsidRPr="004B03CF">
              <w:rPr>
                <w:color w:val="auto"/>
                <w:sz w:val="20"/>
                <w:lang w:val="en-GB"/>
              </w:rPr>
              <w:t xml:space="preserve"> </w:t>
            </w:r>
            <w:r w:rsidRPr="004B03CF">
              <w:rPr>
                <w:color w:val="auto"/>
                <w:sz w:val="20"/>
                <w:lang w:val="en-GB"/>
              </w:rPr>
              <w:t xml:space="preserve">currently in Estonia at </w:t>
            </w:r>
            <w:r w:rsidR="00796F7C" w:rsidRPr="004B03CF">
              <w:rPr>
                <w:color w:val="auto"/>
                <w:sz w:val="20"/>
                <w:lang w:val="en-GB"/>
              </w:rPr>
              <w:t>government</w:t>
            </w:r>
            <w:r w:rsidRPr="004B03CF">
              <w:rPr>
                <w:color w:val="auto"/>
                <w:sz w:val="20"/>
                <w:lang w:val="en-GB"/>
              </w:rPr>
              <w:t xml:space="preserve"> level coordinating the development and implementation of regional policy across sectorial ministries and levels of governance. </w:t>
            </w:r>
          </w:p>
        </w:tc>
      </w:tr>
      <w:tr w:rsidR="00356A32" w:rsidRPr="00356A32" w14:paraId="1190059F" w14:textId="77777777" w:rsidTr="004B03CF">
        <w:trPr>
          <w:trHeight w:val="2965"/>
        </w:trPr>
        <w:tc>
          <w:tcPr>
            <w:tcW w:w="1507" w:type="pct"/>
          </w:tcPr>
          <w:p w14:paraId="25E12495" w14:textId="2123358E" w:rsidR="00594B16" w:rsidRPr="00356A32" w:rsidRDefault="005317DE" w:rsidP="005317DE">
            <w:pPr>
              <w:pStyle w:val="TableRow"/>
              <w:jc w:val="left"/>
              <w:rPr>
                <w:color w:val="auto"/>
                <w:sz w:val="20"/>
                <w:lang w:val="en-GB"/>
              </w:rPr>
            </w:pPr>
            <w:r w:rsidRPr="00356A32">
              <w:rPr>
                <w:color w:val="auto"/>
                <w:sz w:val="20"/>
                <w:lang w:val="en-GB"/>
              </w:rPr>
              <w:lastRenderedPageBreak/>
              <w:t>Urban policy framework</w:t>
            </w:r>
          </w:p>
        </w:tc>
        <w:tc>
          <w:tcPr>
            <w:tcW w:w="3493" w:type="pct"/>
          </w:tcPr>
          <w:p w14:paraId="547FD7A5" w14:textId="1DF87DBC" w:rsidR="00403D59" w:rsidRPr="004B03CF" w:rsidRDefault="00403D59" w:rsidP="004B03CF">
            <w:pPr>
              <w:pStyle w:val="TableRow"/>
              <w:jc w:val="left"/>
              <w:rPr>
                <w:color w:val="auto"/>
                <w:sz w:val="20"/>
                <w:lang w:val="en-GB"/>
              </w:rPr>
            </w:pPr>
            <w:r w:rsidRPr="004B03CF">
              <w:rPr>
                <w:color w:val="auto"/>
                <w:sz w:val="20"/>
                <w:lang w:val="en-GB"/>
              </w:rPr>
              <w:t>Estonia does not have an explicit national urban policy or national strategy for urban development.</w:t>
            </w:r>
            <w:r w:rsidR="009B3BFD" w:rsidRPr="004B03CF">
              <w:rPr>
                <w:color w:val="auto"/>
                <w:sz w:val="20"/>
                <w:lang w:val="en-GB"/>
              </w:rPr>
              <w:t xml:space="preserve"> The urban development issues </w:t>
            </w:r>
            <w:r w:rsidR="005C257E" w:rsidRPr="004B03CF">
              <w:rPr>
                <w:color w:val="auto"/>
                <w:sz w:val="20"/>
                <w:lang w:val="en-GB"/>
              </w:rPr>
              <w:t>have</w:t>
            </w:r>
            <w:r w:rsidR="009B3BFD" w:rsidRPr="004B03CF">
              <w:rPr>
                <w:color w:val="auto"/>
                <w:sz w:val="20"/>
                <w:lang w:val="en-GB"/>
              </w:rPr>
              <w:t xml:space="preserve"> </w:t>
            </w:r>
            <w:r w:rsidRPr="004B03CF">
              <w:rPr>
                <w:color w:val="auto"/>
                <w:sz w:val="20"/>
                <w:lang w:val="en-GB"/>
              </w:rPr>
              <w:t xml:space="preserve">addressed </w:t>
            </w:r>
            <w:r w:rsidR="009B3BFD" w:rsidRPr="004B03CF">
              <w:rPr>
                <w:color w:val="auto"/>
                <w:sz w:val="20"/>
                <w:lang w:val="en-GB"/>
              </w:rPr>
              <w:t xml:space="preserve">within a </w:t>
            </w:r>
            <w:r w:rsidRPr="004B03CF">
              <w:rPr>
                <w:color w:val="auto"/>
                <w:sz w:val="20"/>
                <w:lang w:val="en-GB"/>
              </w:rPr>
              <w:t>broader national regional policy</w:t>
            </w:r>
            <w:r w:rsidR="009B3BFD" w:rsidRPr="004B03CF">
              <w:rPr>
                <w:color w:val="auto"/>
                <w:sz w:val="20"/>
                <w:lang w:val="en-GB"/>
              </w:rPr>
              <w:t xml:space="preserve"> framework.</w:t>
            </w:r>
            <w:r w:rsidRPr="004B03CF">
              <w:rPr>
                <w:color w:val="auto"/>
                <w:sz w:val="20"/>
                <w:lang w:val="en-GB"/>
              </w:rPr>
              <w:t xml:space="preserve"> </w:t>
            </w:r>
          </w:p>
          <w:p w14:paraId="579729D7" w14:textId="2DC2E329" w:rsidR="00B94337" w:rsidRPr="004B03CF" w:rsidRDefault="005C257E" w:rsidP="004B03CF">
            <w:pPr>
              <w:pStyle w:val="TableRow"/>
              <w:jc w:val="left"/>
              <w:rPr>
                <w:color w:val="auto"/>
                <w:sz w:val="20"/>
                <w:lang w:val="en-GB"/>
              </w:rPr>
            </w:pPr>
            <w:r w:rsidRPr="004B03CF">
              <w:rPr>
                <w:color w:val="auto"/>
                <w:sz w:val="20"/>
                <w:lang w:val="en-GB"/>
              </w:rPr>
              <w:t>E.g.</w:t>
            </w:r>
            <w:r w:rsidR="00B94337" w:rsidRPr="004B03CF">
              <w:rPr>
                <w:color w:val="auto"/>
                <w:sz w:val="20"/>
                <w:lang w:val="en-GB"/>
              </w:rPr>
              <w:t xml:space="preserve"> specific grant schemes for development of 5 largest urban areas of Estonia</w:t>
            </w:r>
            <w:r w:rsidRPr="004B03CF">
              <w:rPr>
                <w:color w:val="auto"/>
                <w:sz w:val="20"/>
                <w:lang w:val="en-GB"/>
              </w:rPr>
              <w:t xml:space="preserve"> </w:t>
            </w:r>
            <w:r w:rsidR="00D129D3" w:rsidRPr="004B03CF">
              <w:rPr>
                <w:color w:val="auto"/>
                <w:sz w:val="20"/>
                <w:lang w:val="en-GB"/>
              </w:rPr>
              <w:t>are applied</w:t>
            </w:r>
            <w:r w:rsidRPr="004B03CF">
              <w:rPr>
                <w:color w:val="auto"/>
                <w:sz w:val="20"/>
                <w:lang w:val="en-GB"/>
              </w:rPr>
              <w:t xml:space="preserve"> being funded from the European Regi</w:t>
            </w:r>
            <w:r w:rsidR="005E2A01" w:rsidRPr="004B03CF">
              <w:rPr>
                <w:color w:val="auto"/>
                <w:sz w:val="20"/>
                <w:lang w:val="en-GB"/>
              </w:rPr>
              <w:t>onal Development Fund of 2021-</w:t>
            </w:r>
            <w:r w:rsidRPr="004B03CF">
              <w:rPr>
                <w:color w:val="auto"/>
                <w:sz w:val="20"/>
                <w:lang w:val="en-GB"/>
              </w:rPr>
              <w:t>27. These grant schemes</w:t>
            </w:r>
            <w:r w:rsidR="00B94337" w:rsidRPr="004B03CF">
              <w:rPr>
                <w:color w:val="auto"/>
                <w:sz w:val="20"/>
                <w:lang w:val="en-GB"/>
              </w:rPr>
              <w:t xml:space="preserve"> </w:t>
            </w:r>
            <w:r w:rsidRPr="004B03CF">
              <w:rPr>
                <w:color w:val="auto"/>
                <w:sz w:val="20"/>
                <w:lang w:val="en-GB"/>
              </w:rPr>
              <w:t xml:space="preserve">aim </w:t>
            </w:r>
            <w:r w:rsidR="00B94337" w:rsidRPr="004B03CF">
              <w:rPr>
                <w:color w:val="auto"/>
                <w:sz w:val="20"/>
                <w:lang w:val="en-GB"/>
              </w:rPr>
              <w:t xml:space="preserve">to support investments in </w:t>
            </w:r>
            <w:r w:rsidRPr="004B03CF">
              <w:rPr>
                <w:color w:val="auto"/>
                <w:sz w:val="20"/>
                <w:lang w:val="en-GB"/>
              </w:rPr>
              <w:t xml:space="preserve">innovative digital solutions and green infrastructure of Estonian largest urban areas and </w:t>
            </w:r>
            <w:r w:rsidR="00B94337" w:rsidRPr="004B03CF">
              <w:rPr>
                <w:color w:val="auto"/>
                <w:sz w:val="20"/>
                <w:lang w:val="en-GB"/>
              </w:rPr>
              <w:t xml:space="preserve">revitalization of </w:t>
            </w:r>
            <w:r w:rsidRPr="004B03CF">
              <w:rPr>
                <w:color w:val="auto"/>
                <w:sz w:val="20"/>
                <w:lang w:val="en-GB"/>
              </w:rPr>
              <w:t>the</w:t>
            </w:r>
            <w:r w:rsidR="00B94337" w:rsidRPr="004B03CF">
              <w:rPr>
                <w:color w:val="auto"/>
                <w:sz w:val="20"/>
                <w:lang w:val="en-GB"/>
              </w:rPr>
              <w:t xml:space="preserve"> largest urban areas </w:t>
            </w:r>
            <w:r w:rsidRPr="004B03CF">
              <w:rPr>
                <w:color w:val="auto"/>
                <w:sz w:val="20"/>
                <w:lang w:val="en-GB"/>
              </w:rPr>
              <w:t xml:space="preserve">in North-Eastern Estonia. </w:t>
            </w:r>
            <w:r w:rsidR="00B94337" w:rsidRPr="004B03CF">
              <w:rPr>
                <w:color w:val="auto"/>
                <w:sz w:val="20"/>
                <w:lang w:val="en-GB"/>
              </w:rPr>
              <w:t xml:space="preserve"> </w:t>
            </w:r>
          </w:p>
          <w:p w14:paraId="49453169" w14:textId="638F738A" w:rsidR="003D2EAC" w:rsidRPr="004B03CF" w:rsidRDefault="00D129D3" w:rsidP="004B03CF">
            <w:pPr>
              <w:pStyle w:val="TableRow"/>
              <w:jc w:val="left"/>
              <w:rPr>
                <w:color w:val="auto"/>
                <w:sz w:val="20"/>
                <w:lang w:val="en-GB"/>
              </w:rPr>
            </w:pPr>
            <w:r w:rsidRPr="004B03CF">
              <w:rPr>
                <w:color w:val="auto"/>
                <w:sz w:val="20"/>
                <w:lang w:val="en-GB"/>
              </w:rPr>
              <w:t>One soft coordination initiative is a n</w:t>
            </w:r>
            <w:r w:rsidR="00B94337" w:rsidRPr="004B03CF">
              <w:rPr>
                <w:color w:val="auto"/>
                <w:sz w:val="20"/>
                <w:lang w:val="en-GB"/>
              </w:rPr>
              <w:t>ational network of urban development specialists</w:t>
            </w:r>
            <w:r w:rsidRPr="004B03CF">
              <w:rPr>
                <w:color w:val="auto"/>
                <w:sz w:val="20"/>
                <w:lang w:val="en-GB"/>
              </w:rPr>
              <w:t>.</w:t>
            </w:r>
            <w:r w:rsidR="00B94337" w:rsidRPr="004B03CF">
              <w:rPr>
                <w:color w:val="auto"/>
                <w:sz w:val="20"/>
                <w:lang w:val="en-GB"/>
              </w:rPr>
              <w:t xml:space="preserve"> </w:t>
            </w:r>
            <w:r w:rsidRPr="004B03CF">
              <w:rPr>
                <w:color w:val="auto"/>
                <w:sz w:val="20"/>
                <w:lang w:val="en-GB"/>
              </w:rPr>
              <w:t xml:space="preserve">This </w:t>
            </w:r>
            <w:r w:rsidR="00B94337" w:rsidRPr="004B03CF">
              <w:rPr>
                <w:color w:val="auto"/>
                <w:sz w:val="20"/>
                <w:lang w:val="en-GB"/>
              </w:rPr>
              <w:t xml:space="preserve">is an informal multilevel governance and collaboration platform, </w:t>
            </w:r>
            <w:r w:rsidR="00FD05EE" w:rsidRPr="004B03CF">
              <w:rPr>
                <w:color w:val="auto"/>
                <w:sz w:val="20"/>
                <w:lang w:val="en-GB"/>
              </w:rPr>
              <w:t xml:space="preserve">assembling officials of urban municipalities in charge or strategic development and spatial planning of their cities/towns and the Association of Estonian Cities and Municipalities. And involving also the representatives from central government body responsible for regional and urban development policy, other relevant ministries. </w:t>
            </w:r>
          </w:p>
        </w:tc>
      </w:tr>
      <w:tr w:rsidR="00356A32" w:rsidRPr="00356A32" w14:paraId="4395EB33" w14:textId="77777777" w:rsidTr="00C729D4">
        <w:trPr>
          <w:trHeight w:val="238"/>
        </w:trPr>
        <w:tc>
          <w:tcPr>
            <w:tcW w:w="1507" w:type="pct"/>
          </w:tcPr>
          <w:p w14:paraId="5D346546" w14:textId="51665631" w:rsidR="00594B16" w:rsidRPr="00356A32" w:rsidRDefault="005317DE" w:rsidP="005317DE">
            <w:pPr>
              <w:pStyle w:val="TableRow"/>
              <w:jc w:val="left"/>
              <w:rPr>
                <w:color w:val="auto"/>
                <w:sz w:val="20"/>
                <w:lang w:val="en-GB"/>
              </w:rPr>
            </w:pPr>
            <w:r w:rsidRPr="00356A32">
              <w:rPr>
                <w:color w:val="auto"/>
                <w:sz w:val="20"/>
                <w:lang w:val="en-GB"/>
              </w:rPr>
              <w:t>Rural policy framework</w:t>
            </w:r>
          </w:p>
        </w:tc>
        <w:tc>
          <w:tcPr>
            <w:tcW w:w="3493" w:type="pct"/>
          </w:tcPr>
          <w:p w14:paraId="58D08471" w14:textId="70839FC3" w:rsidR="00547BA1" w:rsidRPr="004B03CF" w:rsidRDefault="00547BA1" w:rsidP="004B03CF">
            <w:pPr>
              <w:pStyle w:val="TableRow"/>
              <w:jc w:val="left"/>
              <w:rPr>
                <w:color w:val="auto"/>
                <w:sz w:val="20"/>
                <w:lang w:val="en-GB"/>
              </w:rPr>
            </w:pPr>
            <w:r w:rsidRPr="004B03CF">
              <w:rPr>
                <w:color w:val="auto"/>
                <w:sz w:val="20"/>
                <w:lang w:val="en-GB"/>
              </w:rPr>
              <w:t>Rural development policy is</w:t>
            </w:r>
            <w:r w:rsidR="00E01F58" w:rsidRPr="004B03CF">
              <w:rPr>
                <w:color w:val="auto"/>
                <w:sz w:val="20"/>
                <w:lang w:val="en-GB"/>
              </w:rPr>
              <w:t xml:space="preserve"> being</w:t>
            </w:r>
            <w:r w:rsidRPr="004B03CF">
              <w:rPr>
                <w:color w:val="auto"/>
                <w:sz w:val="20"/>
                <w:lang w:val="en-GB"/>
              </w:rPr>
              <w:t xml:space="preserve"> implemented primarily under the national strategy for Rural Development and Fishery 2030. </w:t>
            </w:r>
          </w:p>
          <w:p w14:paraId="447E1E70" w14:textId="4ECA7E17" w:rsidR="00990BBE" w:rsidRPr="004B03CF" w:rsidRDefault="00547BA1" w:rsidP="004B03CF">
            <w:pPr>
              <w:pStyle w:val="TableRow"/>
              <w:jc w:val="left"/>
              <w:rPr>
                <w:color w:val="auto"/>
                <w:sz w:val="20"/>
                <w:lang w:val="en-GB"/>
              </w:rPr>
            </w:pPr>
            <w:r w:rsidRPr="004B03CF">
              <w:rPr>
                <w:color w:val="auto"/>
                <w:sz w:val="20"/>
                <w:lang w:val="en-GB"/>
              </w:rPr>
              <w:t xml:space="preserve">Rural development is under the primary responsibility of </w:t>
            </w:r>
            <w:r w:rsidR="004B03CF" w:rsidRPr="004B03CF">
              <w:rPr>
                <w:color w:val="auto"/>
                <w:sz w:val="20"/>
                <w:lang w:val="en-GB"/>
              </w:rPr>
              <w:t xml:space="preserve">the </w:t>
            </w:r>
            <w:r w:rsidRPr="004B03CF">
              <w:rPr>
                <w:color w:val="auto"/>
                <w:sz w:val="20"/>
                <w:lang w:val="en-GB"/>
              </w:rPr>
              <w:t>Ministry of</w:t>
            </w:r>
            <w:r w:rsidR="00990BBE" w:rsidRPr="004B03CF">
              <w:rPr>
                <w:color w:val="auto"/>
                <w:sz w:val="20"/>
                <w:lang w:val="en-GB"/>
              </w:rPr>
              <w:t xml:space="preserve"> Rural Affairs</w:t>
            </w:r>
            <w:r w:rsidR="004B03CF" w:rsidRPr="004B03CF">
              <w:rPr>
                <w:color w:val="auto"/>
                <w:sz w:val="20"/>
                <w:lang w:val="en-GB"/>
              </w:rPr>
              <w:t xml:space="preserve"> and Agriculture</w:t>
            </w:r>
            <w:r w:rsidR="00990BBE" w:rsidRPr="004B03CF">
              <w:rPr>
                <w:color w:val="auto"/>
                <w:sz w:val="20"/>
                <w:lang w:val="en-GB"/>
              </w:rPr>
              <w:t xml:space="preserve">. The ministry </w:t>
            </w:r>
            <w:r w:rsidR="004B03CF" w:rsidRPr="004B03CF">
              <w:rPr>
                <w:color w:val="auto"/>
                <w:sz w:val="20"/>
                <w:lang w:val="en-GB"/>
              </w:rPr>
              <w:t xml:space="preserve">e.g. </w:t>
            </w:r>
            <w:r w:rsidR="00990BBE" w:rsidRPr="004B03CF">
              <w:rPr>
                <w:color w:val="auto"/>
                <w:sz w:val="20"/>
                <w:lang w:val="en-GB"/>
              </w:rPr>
              <w:t>coordinates Estonia’s rural development policy, implements the European Union’s Common Agricultural Policy for Estonia</w:t>
            </w:r>
            <w:r w:rsidR="00F209EA" w:rsidRPr="004B03CF">
              <w:rPr>
                <w:color w:val="auto"/>
                <w:sz w:val="20"/>
                <w:lang w:val="en-GB"/>
              </w:rPr>
              <w:t xml:space="preserve"> and develops/</w:t>
            </w:r>
            <w:r w:rsidR="00990BBE" w:rsidRPr="004B03CF">
              <w:rPr>
                <w:color w:val="auto"/>
                <w:sz w:val="20"/>
                <w:lang w:val="en-GB"/>
              </w:rPr>
              <w:t>implements the Estonian strategic Rural Development Plans.</w:t>
            </w:r>
          </w:p>
          <w:p w14:paraId="13E0B9EE" w14:textId="2409412C" w:rsidR="00F209EA" w:rsidRPr="004B03CF" w:rsidRDefault="00F209EA" w:rsidP="004B03CF">
            <w:pPr>
              <w:pStyle w:val="TableRow"/>
              <w:jc w:val="left"/>
              <w:rPr>
                <w:color w:val="auto"/>
                <w:sz w:val="20"/>
                <w:lang w:val="en-GB"/>
              </w:rPr>
            </w:pPr>
            <w:r w:rsidRPr="004B03CF">
              <w:rPr>
                <w:color w:val="auto"/>
                <w:sz w:val="20"/>
                <w:lang w:val="en-GB"/>
              </w:rPr>
              <w:t xml:space="preserve">Rural development is also an integral part of the national regional policy and its incentives. </w:t>
            </w:r>
            <w:r w:rsidR="004B03CF" w:rsidRPr="004B03CF">
              <w:rPr>
                <w:color w:val="auto"/>
                <w:sz w:val="20"/>
                <w:lang w:val="en-GB"/>
              </w:rPr>
              <w:t xml:space="preserve">The </w:t>
            </w:r>
            <w:r w:rsidRPr="004B03CF">
              <w:rPr>
                <w:color w:val="auto"/>
                <w:sz w:val="20"/>
                <w:lang w:val="en-GB"/>
              </w:rPr>
              <w:t xml:space="preserve">Ministry of </w:t>
            </w:r>
            <w:r w:rsidR="004B03CF" w:rsidRPr="004B03CF">
              <w:rPr>
                <w:color w:val="auto"/>
                <w:sz w:val="20"/>
                <w:lang w:val="en-GB"/>
              </w:rPr>
              <w:t>Rural Affairs and Agriculture</w:t>
            </w:r>
            <w:r w:rsidRPr="004B03CF">
              <w:rPr>
                <w:color w:val="auto"/>
                <w:sz w:val="20"/>
                <w:lang w:val="en-GB"/>
              </w:rPr>
              <w:t xml:space="preserve"> is in charge of designing and implementing territorial development policies which is largely addressed to specificities and challenges of rural areas.</w:t>
            </w:r>
          </w:p>
          <w:p w14:paraId="3E1E1754" w14:textId="324D0BD0" w:rsidR="00ED5A8D" w:rsidRPr="004B03CF" w:rsidRDefault="008D24ED" w:rsidP="004B03CF">
            <w:pPr>
              <w:pStyle w:val="TableRow"/>
              <w:jc w:val="left"/>
              <w:rPr>
                <w:color w:val="auto"/>
                <w:sz w:val="20"/>
                <w:lang w:val="en-GB"/>
              </w:rPr>
            </w:pPr>
            <w:r w:rsidRPr="004B03CF">
              <w:rPr>
                <w:color w:val="auto"/>
                <w:sz w:val="20"/>
                <w:lang w:val="en-GB"/>
              </w:rPr>
              <w:t>Besides,</w:t>
            </w:r>
            <w:r w:rsidR="00547BA1" w:rsidRPr="004B03CF">
              <w:rPr>
                <w:color w:val="auto"/>
                <w:sz w:val="20"/>
                <w:lang w:val="en-GB"/>
              </w:rPr>
              <w:t xml:space="preserve"> other ministries have their own sectorial responsibilities related to developments in rural areas</w:t>
            </w:r>
            <w:r w:rsidR="004B03CF" w:rsidRPr="004B03CF">
              <w:rPr>
                <w:color w:val="auto"/>
                <w:sz w:val="20"/>
                <w:lang w:val="en-GB"/>
              </w:rPr>
              <w:t>.</w:t>
            </w:r>
          </w:p>
        </w:tc>
      </w:tr>
      <w:tr w:rsidR="00356A32" w:rsidRPr="00356A32" w14:paraId="5C17105F" w14:textId="77777777" w:rsidTr="00C729D4">
        <w:trPr>
          <w:trHeight w:val="238"/>
        </w:trPr>
        <w:tc>
          <w:tcPr>
            <w:tcW w:w="1507" w:type="pct"/>
          </w:tcPr>
          <w:p w14:paraId="696CD113" w14:textId="14C0AF3C" w:rsidR="00594B16" w:rsidRPr="00356A32" w:rsidRDefault="005317DE" w:rsidP="005317DE">
            <w:pPr>
              <w:pStyle w:val="TableRow"/>
              <w:jc w:val="left"/>
              <w:rPr>
                <w:color w:val="auto"/>
                <w:sz w:val="20"/>
                <w:lang w:val="en-GB"/>
              </w:rPr>
            </w:pPr>
            <w:r w:rsidRPr="00356A32">
              <w:rPr>
                <w:color w:val="auto"/>
                <w:sz w:val="20"/>
                <w:lang w:val="en-GB"/>
              </w:rPr>
              <w:t>Major regional policy tools</w:t>
            </w:r>
            <w:r w:rsidR="00623BE2" w:rsidRPr="00356A32">
              <w:rPr>
                <w:color w:val="auto"/>
                <w:sz w:val="20"/>
                <w:lang w:val="en-GB"/>
              </w:rPr>
              <w:t xml:space="preserve"> (e.g., funds, plans, policy initiatives, institutional agreements, etc.)</w:t>
            </w:r>
          </w:p>
        </w:tc>
        <w:tc>
          <w:tcPr>
            <w:tcW w:w="3493" w:type="pct"/>
          </w:tcPr>
          <w:p w14:paraId="07543328" w14:textId="362431F7" w:rsidR="00FC1EAC" w:rsidRPr="004B03CF" w:rsidRDefault="00717B6A" w:rsidP="004B03CF">
            <w:pPr>
              <w:pStyle w:val="TableRow"/>
              <w:jc w:val="left"/>
              <w:rPr>
                <w:color w:val="auto"/>
                <w:sz w:val="20"/>
                <w:lang w:val="en-GB"/>
              </w:rPr>
            </w:pPr>
            <w:r w:rsidRPr="004B03CF">
              <w:rPr>
                <w:color w:val="auto"/>
                <w:sz w:val="20"/>
                <w:lang w:val="en-GB"/>
              </w:rPr>
              <w:t>• R</w:t>
            </w:r>
            <w:r w:rsidR="00111878" w:rsidRPr="004B03CF">
              <w:rPr>
                <w:color w:val="auto"/>
                <w:sz w:val="20"/>
                <w:lang w:val="en-GB"/>
              </w:rPr>
              <w:t xml:space="preserve">egional development grant schemes (funded from the EU funds as well as from the national budget); </w:t>
            </w:r>
          </w:p>
          <w:p w14:paraId="147EFCA6" w14:textId="5C544DC8" w:rsidR="0064701F" w:rsidRPr="004B03CF" w:rsidRDefault="00717B6A" w:rsidP="004B03CF">
            <w:pPr>
              <w:pStyle w:val="TableRow"/>
              <w:jc w:val="left"/>
              <w:rPr>
                <w:color w:val="auto"/>
                <w:sz w:val="20"/>
                <w:lang w:val="en-GB"/>
              </w:rPr>
            </w:pPr>
            <w:r w:rsidRPr="004B03CF">
              <w:rPr>
                <w:color w:val="auto"/>
                <w:sz w:val="20"/>
                <w:lang w:val="en-GB"/>
              </w:rPr>
              <w:t>• F</w:t>
            </w:r>
            <w:r w:rsidR="00111878" w:rsidRPr="004B03CF">
              <w:rPr>
                <w:color w:val="auto"/>
                <w:sz w:val="20"/>
                <w:lang w:val="en-GB"/>
              </w:rPr>
              <w:t xml:space="preserve">iscal equalisation mechanism to local governments; </w:t>
            </w:r>
          </w:p>
          <w:p w14:paraId="410FD328" w14:textId="6F9563BB" w:rsidR="0064701F" w:rsidRPr="004B03CF" w:rsidRDefault="00717B6A" w:rsidP="004B03CF">
            <w:pPr>
              <w:pStyle w:val="TableRow"/>
              <w:jc w:val="left"/>
              <w:rPr>
                <w:color w:val="auto"/>
                <w:sz w:val="20"/>
                <w:lang w:val="en-GB"/>
              </w:rPr>
            </w:pPr>
            <w:r w:rsidRPr="004B03CF">
              <w:rPr>
                <w:color w:val="auto"/>
                <w:sz w:val="20"/>
                <w:lang w:val="en-GB"/>
              </w:rPr>
              <w:t>• N</w:t>
            </w:r>
            <w:r w:rsidR="00111878" w:rsidRPr="004B03CF">
              <w:rPr>
                <w:color w:val="auto"/>
                <w:sz w:val="20"/>
                <w:lang w:val="en-GB"/>
              </w:rPr>
              <w:t>ational Regional Development Action Plan;</w:t>
            </w:r>
          </w:p>
          <w:p w14:paraId="1F2B23E6" w14:textId="5D6DA113" w:rsidR="0064701F" w:rsidRPr="004B03CF" w:rsidRDefault="00717B6A" w:rsidP="004B03CF">
            <w:pPr>
              <w:pStyle w:val="TableRow"/>
              <w:jc w:val="left"/>
              <w:rPr>
                <w:color w:val="auto"/>
                <w:sz w:val="20"/>
                <w:lang w:val="en-GB"/>
              </w:rPr>
            </w:pPr>
            <w:r w:rsidRPr="004B03CF">
              <w:rPr>
                <w:color w:val="auto"/>
                <w:sz w:val="20"/>
                <w:lang w:val="en-GB"/>
              </w:rPr>
              <w:t>• N</w:t>
            </w:r>
            <w:r w:rsidR="00111878" w:rsidRPr="004B03CF">
              <w:rPr>
                <w:color w:val="auto"/>
                <w:sz w:val="20"/>
                <w:lang w:val="en-GB"/>
              </w:rPr>
              <w:t xml:space="preserve">ational Development Plans for North-Eastern and South-Eastern regions of Estonia until 2030; </w:t>
            </w:r>
          </w:p>
          <w:p w14:paraId="0E9DC608" w14:textId="58D886EA" w:rsidR="00D32F31" w:rsidRPr="004B03CF" w:rsidRDefault="00717B6A" w:rsidP="004B03CF">
            <w:pPr>
              <w:pStyle w:val="TableRow"/>
              <w:jc w:val="left"/>
              <w:rPr>
                <w:color w:val="auto"/>
                <w:sz w:val="20"/>
                <w:lang w:val="en-GB"/>
              </w:rPr>
            </w:pPr>
            <w:r w:rsidRPr="004B03CF">
              <w:rPr>
                <w:color w:val="auto"/>
                <w:sz w:val="20"/>
                <w:lang w:val="en-GB"/>
              </w:rPr>
              <w:t>• A</w:t>
            </w:r>
            <w:r w:rsidR="0064701F" w:rsidRPr="004B03CF">
              <w:rPr>
                <w:color w:val="auto"/>
                <w:sz w:val="20"/>
                <w:lang w:val="en-GB"/>
              </w:rPr>
              <w:t xml:space="preserve"> mechanism and </w:t>
            </w:r>
            <w:r w:rsidR="00796F7C" w:rsidRPr="004B03CF">
              <w:rPr>
                <w:color w:val="auto"/>
                <w:sz w:val="20"/>
                <w:lang w:val="en-GB"/>
              </w:rPr>
              <w:t xml:space="preserve">guideline document </w:t>
            </w:r>
            <w:r w:rsidR="0064701F" w:rsidRPr="004B03CF">
              <w:rPr>
                <w:color w:val="auto"/>
                <w:sz w:val="20"/>
                <w:lang w:val="en-GB"/>
              </w:rPr>
              <w:t>for</w:t>
            </w:r>
            <w:r w:rsidR="00796F7C" w:rsidRPr="004B03CF">
              <w:rPr>
                <w:color w:val="auto"/>
                <w:sz w:val="20"/>
                <w:lang w:val="en-GB"/>
              </w:rPr>
              <w:t xml:space="preserve"> impact assessment of legislative acts and national policy strategies, which e.g </w:t>
            </w:r>
            <w:r w:rsidR="00DD6ABB" w:rsidRPr="004B03CF">
              <w:rPr>
                <w:color w:val="auto"/>
                <w:sz w:val="20"/>
                <w:lang w:val="en-GB"/>
              </w:rPr>
              <w:t>requires</w:t>
            </w:r>
            <w:r w:rsidR="00796F7C" w:rsidRPr="004B03CF">
              <w:rPr>
                <w:color w:val="auto"/>
                <w:sz w:val="20"/>
                <w:lang w:val="en-GB"/>
              </w:rPr>
              <w:t xml:space="preserve"> assessment of impacts on regional development </w:t>
            </w:r>
            <w:r w:rsidR="00111878" w:rsidRPr="004B03CF">
              <w:rPr>
                <w:color w:val="auto"/>
                <w:sz w:val="20"/>
                <w:lang w:val="en-GB"/>
              </w:rPr>
              <w:t xml:space="preserve">and rural areas </w:t>
            </w:r>
            <w:r w:rsidR="0064701F" w:rsidRPr="004B03CF">
              <w:rPr>
                <w:color w:val="auto"/>
                <w:sz w:val="20"/>
                <w:lang w:val="en-GB"/>
              </w:rPr>
              <w:t>and</w:t>
            </w:r>
            <w:r w:rsidR="00796F7C" w:rsidRPr="004B03CF">
              <w:rPr>
                <w:color w:val="auto"/>
                <w:sz w:val="20"/>
                <w:lang w:val="en-GB"/>
              </w:rPr>
              <w:t xml:space="preserve"> provid</w:t>
            </w:r>
            <w:r w:rsidR="0064701F" w:rsidRPr="004B03CF">
              <w:rPr>
                <w:color w:val="auto"/>
                <w:sz w:val="20"/>
                <w:lang w:val="en-GB"/>
              </w:rPr>
              <w:t>es</w:t>
            </w:r>
            <w:r w:rsidR="00796F7C" w:rsidRPr="004B03CF">
              <w:rPr>
                <w:color w:val="auto"/>
                <w:sz w:val="20"/>
                <w:lang w:val="en-GB"/>
              </w:rPr>
              <w:t xml:space="preserve"> </w:t>
            </w:r>
            <w:r w:rsidR="0064701F" w:rsidRPr="004B03CF">
              <w:rPr>
                <w:color w:val="auto"/>
                <w:sz w:val="20"/>
                <w:lang w:val="en-GB"/>
              </w:rPr>
              <w:t>a respective</w:t>
            </w:r>
            <w:r w:rsidR="00796F7C" w:rsidRPr="004B03CF">
              <w:rPr>
                <w:color w:val="auto"/>
                <w:sz w:val="20"/>
                <w:lang w:val="en-GB"/>
              </w:rPr>
              <w:t xml:space="preserve"> check-out questionnaire.  </w:t>
            </w:r>
          </w:p>
        </w:tc>
      </w:tr>
      <w:tr w:rsidR="00356A32" w:rsidRPr="00356A32" w14:paraId="7B9EFA1F" w14:textId="77777777" w:rsidTr="00C729D4">
        <w:trPr>
          <w:trHeight w:val="238"/>
        </w:trPr>
        <w:tc>
          <w:tcPr>
            <w:tcW w:w="1507" w:type="pct"/>
          </w:tcPr>
          <w:p w14:paraId="7BDBED3E" w14:textId="5E31E4C5" w:rsidR="00594B16" w:rsidRPr="00356A32" w:rsidRDefault="005317DE" w:rsidP="005317DE">
            <w:pPr>
              <w:pStyle w:val="TableRow"/>
              <w:jc w:val="left"/>
              <w:rPr>
                <w:color w:val="auto"/>
                <w:sz w:val="20"/>
                <w:lang w:val="en-GB"/>
              </w:rPr>
            </w:pPr>
            <w:r w:rsidRPr="00356A32">
              <w:rPr>
                <w:color w:val="auto"/>
                <w:sz w:val="20"/>
                <w:lang w:val="en-GB"/>
              </w:rPr>
              <w:t xml:space="preserve">Policy co-ordination </w:t>
            </w:r>
            <w:r w:rsidR="00B103D2" w:rsidRPr="00356A32">
              <w:rPr>
                <w:color w:val="auto"/>
                <w:sz w:val="20"/>
                <w:lang w:val="en-GB"/>
              </w:rPr>
              <w:t xml:space="preserve">tools </w:t>
            </w:r>
            <w:r w:rsidRPr="00356A32">
              <w:rPr>
                <w:color w:val="auto"/>
                <w:sz w:val="20"/>
                <w:lang w:val="en-GB"/>
              </w:rPr>
              <w:t xml:space="preserve">at </w:t>
            </w:r>
            <w:r w:rsidR="004C0F00" w:rsidRPr="00356A32">
              <w:rPr>
                <w:color w:val="auto"/>
                <w:sz w:val="20"/>
                <w:lang w:val="en-GB"/>
              </w:rPr>
              <w:t>nation</w:t>
            </w:r>
            <w:r w:rsidRPr="00356A32">
              <w:rPr>
                <w:color w:val="auto"/>
                <w:sz w:val="20"/>
                <w:lang w:val="en-GB"/>
              </w:rPr>
              <w:t>al level</w:t>
            </w:r>
            <w:r w:rsidR="00B103D2" w:rsidRPr="00356A32">
              <w:rPr>
                <w:color w:val="auto"/>
                <w:sz w:val="20"/>
                <w:lang w:val="en-GB"/>
              </w:rPr>
              <w:t xml:space="preserve"> </w:t>
            </w:r>
          </w:p>
        </w:tc>
        <w:tc>
          <w:tcPr>
            <w:tcW w:w="3493" w:type="pct"/>
          </w:tcPr>
          <w:p w14:paraId="7B7F9EC9" w14:textId="1591446F" w:rsidR="00FC1EAC" w:rsidRPr="004B03CF" w:rsidRDefault="00717B6A" w:rsidP="004B03CF">
            <w:pPr>
              <w:pStyle w:val="TableRow"/>
              <w:jc w:val="left"/>
              <w:rPr>
                <w:color w:val="auto"/>
                <w:sz w:val="20"/>
                <w:lang w:val="en-GB"/>
              </w:rPr>
            </w:pPr>
            <w:r w:rsidRPr="004B03CF">
              <w:rPr>
                <w:color w:val="auto"/>
                <w:sz w:val="20"/>
                <w:lang w:val="en-GB"/>
              </w:rPr>
              <w:t xml:space="preserve">• </w:t>
            </w:r>
            <w:r w:rsidR="00DD6ABB" w:rsidRPr="004B03CF">
              <w:rPr>
                <w:color w:val="auto"/>
                <w:sz w:val="20"/>
                <w:lang w:val="en-GB"/>
              </w:rPr>
              <w:t>N</w:t>
            </w:r>
            <w:r w:rsidR="00902100" w:rsidRPr="004B03CF">
              <w:rPr>
                <w:color w:val="auto"/>
                <w:sz w:val="20"/>
                <w:lang w:val="en-GB"/>
              </w:rPr>
              <w:t>ational Regional Development Action Plan</w:t>
            </w:r>
            <w:r w:rsidR="0086112C" w:rsidRPr="004B03CF">
              <w:rPr>
                <w:color w:val="auto"/>
                <w:sz w:val="20"/>
                <w:lang w:val="en-GB"/>
              </w:rPr>
              <w:t xml:space="preserve"> (RDAP) aimed at facilitating the cross-sectorial coordination of policy incentives in regional policy and balanced territorial development goals. The RDAP consolidates the most important activities of the central government in order to alleviate the problems of regional development and ensure territorially more balanced development.</w:t>
            </w:r>
            <w:r w:rsidR="00902100" w:rsidRPr="004B03CF">
              <w:rPr>
                <w:color w:val="auto"/>
                <w:sz w:val="20"/>
                <w:lang w:val="en-GB"/>
              </w:rPr>
              <w:t xml:space="preserve"> </w:t>
            </w:r>
          </w:p>
          <w:p w14:paraId="76B8CD28" w14:textId="2B7456AD" w:rsidR="00FC1EAC" w:rsidRPr="004B03CF" w:rsidRDefault="00717B6A" w:rsidP="004B03CF">
            <w:pPr>
              <w:pStyle w:val="TableRow"/>
              <w:jc w:val="left"/>
              <w:rPr>
                <w:color w:val="auto"/>
                <w:sz w:val="20"/>
                <w:lang w:val="en-GB"/>
              </w:rPr>
            </w:pPr>
            <w:r w:rsidRPr="004B03CF">
              <w:rPr>
                <w:color w:val="auto"/>
                <w:sz w:val="20"/>
                <w:lang w:val="en-GB"/>
              </w:rPr>
              <w:t xml:space="preserve">• </w:t>
            </w:r>
            <w:r w:rsidR="00FC1EAC" w:rsidRPr="004B03CF">
              <w:rPr>
                <w:color w:val="auto"/>
                <w:sz w:val="20"/>
                <w:lang w:val="en-GB"/>
              </w:rPr>
              <w:t>N</w:t>
            </w:r>
            <w:r w:rsidR="00902100" w:rsidRPr="004B03CF">
              <w:rPr>
                <w:color w:val="auto"/>
                <w:sz w:val="20"/>
                <w:lang w:val="en-GB"/>
              </w:rPr>
              <w:t>ational Development Plans for North-Eastern and South-Eastern regions of Estonia until 2030;</w:t>
            </w:r>
          </w:p>
          <w:p w14:paraId="06149E66" w14:textId="2E558329" w:rsidR="00FC1EAC" w:rsidRPr="004B03CF" w:rsidRDefault="00717B6A" w:rsidP="004B03CF">
            <w:pPr>
              <w:pStyle w:val="TableRow"/>
              <w:jc w:val="left"/>
              <w:rPr>
                <w:color w:val="auto"/>
                <w:sz w:val="20"/>
                <w:lang w:val="en-GB"/>
              </w:rPr>
            </w:pPr>
            <w:r w:rsidRPr="004B03CF">
              <w:rPr>
                <w:color w:val="auto"/>
                <w:sz w:val="20"/>
                <w:lang w:val="en-GB"/>
              </w:rPr>
              <w:t xml:space="preserve">• </w:t>
            </w:r>
            <w:r w:rsidR="00F41603" w:rsidRPr="004B03CF">
              <w:rPr>
                <w:color w:val="auto"/>
                <w:sz w:val="20"/>
                <w:lang w:val="en-GB"/>
              </w:rPr>
              <w:t>According to the Government of the R</w:t>
            </w:r>
            <w:r w:rsidR="00DD6ABB" w:rsidRPr="004B03CF">
              <w:rPr>
                <w:color w:val="auto"/>
                <w:sz w:val="20"/>
                <w:lang w:val="en-GB"/>
              </w:rPr>
              <w:t>epublic A</w:t>
            </w:r>
            <w:r w:rsidR="00F41603" w:rsidRPr="004B03CF">
              <w:rPr>
                <w:color w:val="auto"/>
                <w:sz w:val="20"/>
                <w:lang w:val="en-GB"/>
              </w:rPr>
              <w:t xml:space="preserve">ct planning and </w:t>
            </w:r>
            <w:r w:rsidR="0086112C" w:rsidRPr="004B03CF">
              <w:rPr>
                <w:color w:val="auto"/>
                <w:sz w:val="20"/>
                <w:lang w:val="en-GB"/>
              </w:rPr>
              <w:t xml:space="preserve">general </w:t>
            </w:r>
            <w:r w:rsidR="00F41603" w:rsidRPr="004B03CF">
              <w:rPr>
                <w:color w:val="auto"/>
                <w:sz w:val="20"/>
                <w:lang w:val="en-GB"/>
              </w:rPr>
              <w:t>co-ordination of regional development lies under the responsibility of the Ministry of F</w:t>
            </w:r>
            <w:r w:rsidR="004521B5" w:rsidRPr="004B03CF">
              <w:rPr>
                <w:color w:val="auto"/>
                <w:sz w:val="20"/>
                <w:lang w:val="en-GB"/>
              </w:rPr>
              <w:t>inance.</w:t>
            </w:r>
            <w:r w:rsidR="00F41603" w:rsidRPr="004B03CF">
              <w:rPr>
                <w:color w:val="auto"/>
                <w:sz w:val="20"/>
                <w:lang w:val="en-GB"/>
              </w:rPr>
              <w:t xml:space="preserve"> </w:t>
            </w:r>
          </w:p>
          <w:p w14:paraId="171DD9AA" w14:textId="50BBD489" w:rsidR="00FC1EAC" w:rsidRPr="004B03CF" w:rsidRDefault="00717B6A" w:rsidP="004B03CF">
            <w:pPr>
              <w:pStyle w:val="TableRow"/>
              <w:jc w:val="left"/>
              <w:rPr>
                <w:color w:val="auto"/>
                <w:sz w:val="20"/>
                <w:lang w:val="en-GB"/>
              </w:rPr>
            </w:pPr>
            <w:r w:rsidRPr="004B03CF">
              <w:rPr>
                <w:color w:val="auto"/>
                <w:sz w:val="20"/>
                <w:lang w:val="en-GB"/>
              </w:rPr>
              <w:t xml:space="preserve">• </w:t>
            </w:r>
            <w:r w:rsidR="00FC1EAC" w:rsidRPr="004B03CF">
              <w:rPr>
                <w:color w:val="auto"/>
                <w:sz w:val="20"/>
                <w:lang w:val="en-GB"/>
              </w:rPr>
              <w:t>M</w:t>
            </w:r>
            <w:r w:rsidR="009407CC" w:rsidRPr="004B03CF">
              <w:rPr>
                <w:color w:val="auto"/>
                <w:sz w:val="20"/>
                <w:lang w:val="en-GB"/>
              </w:rPr>
              <w:t xml:space="preserve">echanism and guideline document for impact assessment of legislative acts and national policy strategies, which e.g </w:t>
            </w:r>
            <w:r w:rsidR="00DD6ABB" w:rsidRPr="004B03CF">
              <w:rPr>
                <w:color w:val="auto"/>
                <w:sz w:val="20"/>
                <w:lang w:val="en-GB"/>
              </w:rPr>
              <w:t>requires</w:t>
            </w:r>
            <w:r w:rsidR="009407CC" w:rsidRPr="004B03CF">
              <w:rPr>
                <w:color w:val="auto"/>
                <w:sz w:val="20"/>
                <w:lang w:val="en-GB"/>
              </w:rPr>
              <w:t xml:space="preserve"> assessment of impacts on regional development and rural areas.</w:t>
            </w:r>
          </w:p>
          <w:p w14:paraId="3F295078" w14:textId="47C041C7" w:rsidR="00DD6ABB" w:rsidRPr="004B03CF" w:rsidRDefault="00717B6A" w:rsidP="004B03CF">
            <w:pPr>
              <w:pStyle w:val="TableRow"/>
              <w:jc w:val="left"/>
              <w:rPr>
                <w:color w:val="auto"/>
                <w:sz w:val="20"/>
                <w:lang w:val="en-GB"/>
              </w:rPr>
            </w:pPr>
            <w:r w:rsidRPr="004B03CF">
              <w:rPr>
                <w:color w:val="auto"/>
                <w:sz w:val="20"/>
                <w:lang w:val="en-GB"/>
              </w:rPr>
              <w:t xml:space="preserve">• </w:t>
            </w:r>
            <w:r w:rsidR="00A260F6" w:rsidRPr="004B03CF">
              <w:rPr>
                <w:color w:val="auto"/>
                <w:sz w:val="20"/>
                <w:lang w:val="en-GB"/>
              </w:rPr>
              <w:t xml:space="preserve">The national Government has given a task to the </w:t>
            </w:r>
            <w:r w:rsidR="00321CEA" w:rsidRPr="004B03CF">
              <w:rPr>
                <w:color w:val="auto"/>
                <w:sz w:val="20"/>
                <w:lang w:val="en-GB"/>
              </w:rPr>
              <w:t xml:space="preserve">sectorial </w:t>
            </w:r>
            <w:r w:rsidR="00A260F6" w:rsidRPr="004B03CF">
              <w:rPr>
                <w:color w:val="auto"/>
                <w:sz w:val="20"/>
                <w:lang w:val="en-GB"/>
              </w:rPr>
              <w:t>ministries to take into account the regional development challenges and impact</w:t>
            </w:r>
            <w:r w:rsidR="00321CEA" w:rsidRPr="004B03CF">
              <w:rPr>
                <w:color w:val="auto"/>
                <w:sz w:val="20"/>
                <w:lang w:val="en-GB"/>
              </w:rPr>
              <w:t>s</w:t>
            </w:r>
            <w:r w:rsidR="00A260F6" w:rsidRPr="004B03CF">
              <w:rPr>
                <w:color w:val="auto"/>
                <w:sz w:val="20"/>
                <w:lang w:val="en-GB"/>
              </w:rPr>
              <w:t xml:space="preserve"> </w:t>
            </w:r>
            <w:r w:rsidR="00321CEA" w:rsidRPr="004B03CF">
              <w:rPr>
                <w:color w:val="auto"/>
                <w:sz w:val="20"/>
                <w:lang w:val="en-GB"/>
              </w:rPr>
              <w:t>in</w:t>
            </w:r>
            <w:r w:rsidR="00A260F6" w:rsidRPr="004B03CF">
              <w:rPr>
                <w:color w:val="auto"/>
                <w:sz w:val="20"/>
                <w:lang w:val="en-GB"/>
              </w:rPr>
              <w:t xml:space="preserve"> designing foreign aid support measures funded from the EU funds of</w:t>
            </w:r>
            <w:r w:rsidR="00321CEA" w:rsidRPr="004B03CF">
              <w:rPr>
                <w:color w:val="auto"/>
                <w:sz w:val="20"/>
                <w:lang w:val="en-GB"/>
              </w:rPr>
              <w:t xml:space="preserve"> 2021-2027</w:t>
            </w:r>
            <w:r w:rsidR="00A260F6" w:rsidRPr="004B03CF">
              <w:rPr>
                <w:color w:val="auto"/>
                <w:sz w:val="20"/>
                <w:lang w:val="en-GB"/>
              </w:rPr>
              <w:t xml:space="preserve"> and plan concrete solutions to strengthen their </w:t>
            </w:r>
            <w:r w:rsidR="00321CEA" w:rsidRPr="004B03CF">
              <w:rPr>
                <w:color w:val="auto"/>
                <w:sz w:val="20"/>
                <w:lang w:val="en-GB"/>
              </w:rPr>
              <w:t>compliance with the balanced territorial development target</w:t>
            </w:r>
            <w:r w:rsidR="00A260F6" w:rsidRPr="004B03CF">
              <w:rPr>
                <w:color w:val="auto"/>
                <w:sz w:val="20"/>
                <w:lang w:val="en-GB"/>
              </w:rPr>
              <w:t xml:space="preserve">. </w:t>
            </w:r>
            <w:r w:rsidR="00321CEA" w:rsidRPr="004B03CF">
              <w:rPr>
                <w:color w:val="auto"/>
                <w:sz w:val="20"/>
                <w:lang w:val="en-GB"/>
              </w:rPr>
              <w:t>A</w:t>
            </w:r>
            <w:r w:rsidR="00A260F6" w:rsidRPr="004B03CF">
              <w:rPr>
                <w:color w:val="auto"/>
                <w:sz w:val="20"/>
                <w:lang w:val="en-GB"/>
              </w:rPr>
              <w:t xml:space="preserve"> special </w:t>
            </w:r>
            <w:r w:rsidR="00321CEA" w:rsidRPr="004B03CF">
              <w:rPr>
                <w:color w:val="auto"/>
                <w:sz w:val="20"/>
                <w:lang w:val="en-GB"/>
              </w:rPr>
              <w:t>guideline</w:t>
            </w:r>
            <w:r w:rsidR="00A260F6" w:rsidRPr="004B03CF">
              <w:rPr>
                <w:color w:val="auto"/>
                <w:sz w:val="20"/>
                <w:lang w:val="en-GB"/>
              </w:rPr>
              <w:t xml:space="preserve"> has also been prepared</w:t>
            </w:r>
            <w:r w:rsidR="00321CEA" w:rsidRPr="004B03CF">
              <w:rPr>
                <w:color w:val="auto"/>
                <w:sz w:val="20"/>
                <w:lang w:val="en-GB"/>
              </w:rPr>
              <w:t xml:space="preserve"> </w:t>
            </w:r>
            <w:r w:rsidR="004A31F1" w:rsidRPr="004B03CF">
              <w:rPr>
                <w:color w:val="auto"/>
                <w:sz w:val="20"/>
                <w:lang w:val="en-GB"/>
              </w:rPr>
              <w:t xml:space="preserve">for this process </w:t>
            </w:r>
            <w:r w:rsidR="00321CEA" w:rsidRPr="004B03CF">
              <w:rPr>
                <w:color w:val="auto"/>
                <w:sz w:val="20"/>
                <w:lang w:val="en-GB"/>
              </w:rPr>
              <w:t xml:space="preserve">with providing potential </w:t>
            </w:r>
            <w:r w:rsidR="004A31F1" w:rsidRPr="004B03CF">
              <w:rPr>
                <w:color w:val="auto"/>
                <w:sz w:val="20"/>
                <w:lang w:val="en-GB"/>
              </w:rPr>
              <w:t xml:space="preserve">solutions </w:t>
            </w:r>
            <w:r w:rsidR="00321CEA" w:rsidRPr="004B03CF">
              <w:rPr>
                <w:color w:val="auto"/>
                <w:sz w:val="20"/>
                <w:lang w:val="en-GB"/>
              </w:rPr>
              <w:t>how to promote this compliance</w:t>
            </w:r>
            <w:r w:rsidR="004A31F1" w:rsidRPr="004B03CF">
              <w:rPr>
                <w:color w:val="auto"/>
                <w:sz w:val="20"/>
                <w:lang w:val="en-GB"/>
              </w:rPr>
              <w:t xml:space="preserve"> in practice</w:t>
            </w:r>
            <w:r w:rsidR="00A260F6" w:rsidRPr="004B03CF">
              <w:rPr>
                <w:color w:val="auto"/>
                <w:sz w:val="20"/>
                <w:lang w:val="en-GB"/>
              </w:rPr>
              <w:t>.</w:t>
            </w:r>
          </w:p>
        </w:tc>
      </w:tr>
      <w:tr w:rsidR="00356A32" w:rsidRPr="00356A32" w14:paraId="303C11FB" w14:textId="77777777" w:rsidTr="00C729D4">
        <w:trPr>
          <w:trHeight w:val="238"/>
        </w:trPr>
        <w:tc>
          <w:tcPr>
            <w:tcW w:w="1507" w:type="pct"/>
          </w:tcPr>
          <w:p w14:paraId="1CEE63FC" w14:textId="3F0F5F9F" w:rsidR="00594B16" w:rsidRPr="00356A32" w:rsidRDefault="005317DE" w:rsidP="005317DE">
            <w:pPr>
              <w:pStyle w:val="TableRow"/>
              <w:jc w:val="left"/>
              <w:rPr>
                <w:color w:val="auto"/>
                <w:sz w:val="20"/>
                <w:lang w:val="en-GB"/>
              </w:rPr>
            </w:pPr>
            <w:r w:rsidRPr="00356A32">
              <w:rPr>
                <w:color w:val="auto"/>
                <w:sz w:val="20"/>
                <w:lang w:val="en-GB"/>
              </w:rPr>
              <w:t>Multi-level governance</w:t>
            </w:r>
            <w:r w:rsidR="00623BE2" w:rsidRPr="00356A32">
              <w:rPr>
                <w:color w:val="auto"/>
                <w:sz w:val="20"/>
                <w:lang w:val="en-GB"/>
              </w:rPr>
              <w:t xml:space="preserve"> mechanisms</w:t>
            </w:r>
            <w:r w:rsidRPr="00356A32">
              <w:rPr>
                <w:color w:val="auto"/>
                <w:sz w:val="20"/>
                <w:lang w:val="en-GB"/>
              </w:rPr>
              <w:t xml:space="preserve"> between national and subnational levels</w:t>
            </w:r>
            <w:r w:rsidR="00623BE2" w:rsidRPr="00356A32">
              <w:rPr>
                <w:color w:val="auto"/>
                <w:sz w:val="20"/>
                <w:lang w:val="en-GB"/>
              </w:rPr>
              <w:t xml:space="preserve"> (e.g., institutional agreements, Committees, etc.)</w:t>
            </w:r>
          </w:p>
        </w:tc>
        <w:tc>
          <w:tcPr>
            <w:tcW w:w="3493" w:type="pct"/>
          </w:tcPr>
          <w:p w14:paraId="03B05F31" w14:textId="1752A12F" w:rsidR="00064EF0" w:rsidRPr="004B03CF" w:rsidRDefault="00717B6A" w:rsidP="004B03CF">
            <w:pPr>
              <w:pStyle w:val="TableRow"/>
              <w:jc w:val="left"/>
              <w:rPr>
                <w:color w:val="auto"/>
                <w:sz w:val="20"/>
                <w:lang w:val="en-GB"/>
              </w:rPr>
            </w:pPr>
            <w:r w:rsidRPr="004B03CF">
              <w:rPr>
                <w:color w:val="auto"/>
                <w:sz w:val="20"/>
                <w:lang w:val="en-GB"/>
              </w:rPr>
              <w:t xml:space="preserve">• </w:t>
            </w:r>
            <w:r w:rsidR="00064EF0" w:rsidRPr="004B03CF">
              <w:rPr>
                <w:color w:val="auto"/>
                <w:sz w:val="20"/>
                <w:lang w:val="en-GB"/>
              </w:rPr>
              <w:t>Annual National Budget negotiation format between national Government and National Association of Cities and Municipalities.</w:t>
            </w:r>
          </w:p>
          <w:p w14:paraId="2AC91D8C" w14:textId="67A88450" w:rsidR="00FD05EE" w:rsidRPr="004B03CF" w:rsidRDefault="00717B6A" w:rsidP="004B03CF">
            <w:pPr>
              <w:pStyle w:val="TableRow"/>
              <w:jc w:val="left"/>
              <w:rPr>
                <w:color w:val="auto"/>
                <w:sz w:val="20"/>
                <w:lang w:val="en-GB"/>
              </w:rPr>
            </w:pPr>
            <w:r w:rsidRPr="004B03CF">
              <w:rPr>
                <w:color w:val="auto"/>
                <w:sz w:val="20"/>
                <w:lang w:val="en-GB"/>
              </w:rPr>
              <w:t xml:space="preserve">• </w:t>
            </w:r>
            <w:r w:rsidR="00E01F58" w:rsidRPr="004B03CF">
              <w:rPr>
                <w:color w:val="auto"/>
                <w:sz w:val="20"/>
                <w:lang w:val="en-GB"/>
              </w:rPr>
              <w:t>A national network of Co</w:t>
            </w:r>
            <w:r w:rsidR="002638A7" w:rsidRPr="004B03CF">
              <w:rPr>
                <w:color w:val="auto"/>
                <w:sz w:val="20"/>
                <w:lang w:val="en-GB"/>
              </w:rPr>
              <w:t xml:space="preserve">unty Development Organisations (as soft coordination mechanism), which represent local municipalities of each certain county and performs also as a multilevel collaboration and policy discussions with ministries. The network convenes regularly mainly to exchange important information, best practices, initiate consultations on different territorial development </w:t>
            </w:r>
            <w:r w:rsidR="00FD05EE" w:rsidRPr="004B03CF">
              <w:rPr>
                <w:color w:val="auto"/>
                <w:sz w:val="20"/>
                <w:lang w:val="en-GB"/>
              </w:rPr>
              <w:t xml:space="preserve">related issues </w:t>
            </w:r>
            <w:r w:rsidR="002638A7" w:rsidRPr="004B03CF">
              <w:rPr>
                <w:color w:val="auto"/>
                <w:sz w:val="20"/>
                <w:lang w:val="en-GB"/>
              </w:rPr>
              <w:t>between counties (horizontally) and with th</w:t>
            </w:r>
            <w:r w:rsidR="00FD05EE" w:rsidRPr="004B03CF">
              <w:rPr>
                <w:color w:val="auto"/>
                <w:sz w:val="20"/>
                <w:lang w:val="en-GB"/>
              </w:rPr>
              <w:t>e ministries (vertically</w:t>
            </w:r>
            <w:r w:rsidR="002638A7" w:rsidRPr="004B03CF">
              <w:rPr>
                <w:color w:val="auto"/>
                <w:sz w:val="20"/>
                <w:lang w:val="en-GB"/>
              </w:rPr>
              <w:t xml:space="preserve">). </w:t>
            </w:r>
          </w:p>
          <w:p w14:paraId="5D402F25" w14:textId="29AD29CB" w:rsidR="00CC6E97" w:rsidRPr="004B03CF" w:rsidRDefault="00717B6A" w:rsidP="004B03CF">
            <w:pPr>
              <w:pStyle w:val="TableRow"/>
              <w:jc w:val="left"/>
              <w:rPr>
                <w:color w:val="auto"/>
                <w:sz w:val="20"/>
                <w:lang w:val="en-GB"/>
              </w:rPr>
            </w:pPr>
            <w:r w:rsidRPr="004B03CF">
              <w:rPr>
                <w:color w:val="auto"/>
                <w:sz w:val="20"/>
                <w:lang w:val="en-GB"/>
              </w:rPr>
              <w:lastRenderedPageBreak/>
              <w:t xml:space="preserve">• </w:t>
            </w:r>
            <w:r w:rsidR="00FD05EE" w:rsidRPr="004B03CF">
              <w:rPr>
                <w:color w:val="auto"/>
                <w:sz w:val="20"/>
                <w:lang w:val="en-GB"/>
              </w:rPr>
              <w:t xml:space="preserve">Similar </w:t>
            </w:r>
            <w:r w:rsidR="00E01F58" w:rsidRPr="004B03CF">
              <w:rPr>
                <w:color w:val="auto"/>
                <w:sz w:val="20"/>
                <w:lang w:val="en-GB"/>
              </w:rPr>
              <w:t>national network of urban development specialists</w:t>
            </w:r>
            <w:r w:rsidR="00FD05EE" w:rsidRPr="004B03CF">
              <w:rPr>
                <w:color w:val="auto"/>
                <w:sz w:val="20"/>
                <w:lang w:val="en-GB"/>
              </w:rPr>
              <w:t xml:space="preserve"> also exists assembling officials of urban municipalities in charge or strategic development and spatial planning of their cities/towns and the Association of Estonian Cities and Municipalities. And </w:t>
            </w:r>
            <w:r w:rsidR="00E01F58" w:rsidRPr="004B03CF">
              <w:rPr>
                <w:color w:val="auto"/>
                <w:sz w:val="20"/>
                <w:lang w:val="en-GB"/>
              </w:rPr>
              <w:t xml:space="preserve">involving </w:t>
            </w:r>
            <w:r w:rsidR="00FD05EE" w:rsidRPr="004B03CF">
              <w:rPr>
                <w:color w:val="auto"/>
                <w:sz w:val="20"/>
                <w:lang w:val="en-GB"/>
              </w:rPr>
              <w:t xml:space="preserve">also </w:t>
            </w:r>
            <w:r w:rsidR="00E01F58" w:rsidRPr="004B03CF">
              <w:rPr>
                <w:color w:val="auto"/>
                <w:sz w:val="20"/>
                <w:lang w:val="en-GB"/>
              </w:rPr>
              <w:t>the representatives from central government body responsible for regional and urban development policy</w:t>
            </w:r>
            <w:r w:rsidR="00FD05EE" w:rsidRPr="004B03CF">
              <w:rPr>
                <w:color w:val="auto"/>
                <w:sz w:val="20"/>
                <w:lang w:val="en-GB"/>
              </w:rPr>
              <w:t>, other relevant ministries.</w:t>
            </w:r>
            <w:r w:rsidR="00E01F58" w:rsidRPr="004B03CF">
              <w:rPr>
                <w:color w:val="auto"/>
                <w:sz w:val="20"/>
                <w:lang w:val="en-GB"/>
              </w:rPr>
              <w:t xml:space="preserve"> </w:t>
            </w:r>
          </w:p>
          <w:p w14:paraId="21DDF2D8" w14:textId="2D848A81" w:rsidR="009F5BCF" w:rsidRPr="004B03CF" w:rsidRDefault="00717B6A" w:rsidP="004B03CF">
            <w:pPr>
              <w:pStyle w:val="TableRow"/>
              <w:jc w:val="left"/>
              <w:rPr>
                <w:color w:val="auto"/>
                <w:sz w:val="20"/>
                <w:lang w:val="en-GB"/>
              </w:rPr>
            </w:pPr>
            <w:r w:rsidRPr="004B03CF">
              <w:rPr>
                <w:color w:val="auto"/>
                <w:sz w:val="20"/>
                <w:lang w:val="en-GB"/>
              </w:rPr>
              <w:t xml:space="preserve">• </w:t>
            </w:r>
            <w:r w:rsidR="005B2B29" w:rsidRPr="004B03CF">
              <w:rPr>
                <w:color w:val="auto"/>
                <w:sz w:val="20"/>
                <w:lang w:val="en-GB"/>
              </w:rPr>
              <w:t xml:space="preserve">The principles of how national level sectoral development strategies, county development strategies and local government development plans have to consider and support each other's priorities and </w:t>
            </w:r>
            <w:r w:rsidR="009A1393" w:rsidRPr="004B03CF">
              <w:rPr>
                <w:color w:val="auto"/>
                <w:sz w:val="20"/>
                <w:lang w:val="en-GB"/>
              </w:rPr>
              <w:t xml:space="preserve">strive towards </w:t>
            </w:r>
            <w:r w:rsidR="00DC2149" w:rsidRPr="004B03CF">
              <w:rPr>
                <w:color w:val="auto"/>
                <w:sz w:val="20"/>
                <w:lang w:val="en-GB"/>
              </w:rPr>
              <w:t>stronger</w:t>
            </w:r>
            <w:r w:rsidR="009A1393" w:rsidRPr="004B03CF">
              <w:rPr>
                <w:color w:val="auto"/>
                <w:sz w:val="20"/>
                <w:lang w:val="en-GB"/>
              </w:rPr>
              <w:t xml:space="preserve"> coherence are </w:t>
            </w:r>
            <w:r w:rsidR="005B2B29" w:rsidRPr="004B03CF">
              <w:rPr>
                <w:color w:val="auto"/>
                <w:sz w:val="20"/>
                <w:lang w:val="en-GB"/>
              </w:rPr>
              <w:t xml:space="preserve">specified in </w:t>
            </w:r>
            <w:r w:rsidR="009A1393" w:rsidRPr="004B03CF">
              <w:rPr>
                <w:color w:val="auto"/>
                <w:sz w:val="20"/>
                <w:lang w:val="en-GB"/>
              </w:rPr>
              <w:t xml:space="preserve">new </w:t>
            </w:r>
            <w:r w:rsidR="00DC2149" w:rsidRPr="004B03CF">
              <w:rPr>
                <w:color w:val="auto"/>
                <w:sz w:val="20"/>
                <w:lang w:val="en-GB"/>
              </w:rPr>
              <w:t>draft of Local Governments Act</w:t>
            </w:r>
            <w:r w:rsidR="00A75767" w:rsidRPr="004B03CF">
              <w:rPr>
                <w:color w:val="auto"/>
                <w:sz w:val="20"/>
                <w:lang w:val="en-GB"/>
              </w:rPr>
              <w:t xml:space="preserve">, </w:t>
            </w:r>
            <w:r w:rsidR="005B2B29" w:rsidRPr="004B03CF">
              <w:rPr>
                <w:color w:val="auto"/>
                <w:sz w:val="20"/>
                <w:lang w:val="en-GB"/>
              </w:rPr>
              <w:t xml:space="preserve">the strategic planning </w:t>
            </w:r>
            <w:r w:rsidR="00DC2149" w:rsidRPr="004B03CF">
              <w:rPr>
                <w:color w:val="auto"/>
                <w:sz w:val="20"/>
                <w:lang w:val="en-GB"/>
              </w:rPr>
              <w:t>guidelines</w:t>
            </w:r>
            <w:r w:rsidR="009A1393" w:rsidRPr="004B03CF">
              <w:rPr>
                <w:color w:val="auto"/>
                <w:sz w:val="20"/>
                <w:lang w:val="en-GB"/>
              </w:rPr>
              <w:t xml:space="preserve"> issued by the State Government Office</w:t>
            </w:r>
            <w:r w:rsidR="00A75767" w:rsidRPr="004B03CF">
              <w:rPr>
                <w:color w:val="auto"/>
                <w:sz w:val="20"/>
                <w:lang w:val="en-GB"/>
              </w:rPr>
              <w:t xml:space="preserve"> and guidelines for preparation of county development strategies.</w:t>
            </w:r>
          </w:p>
          <w:p w14:paraId="007E839B" w14:textId="4A8EC362" w:rsidR="00AD7991" w:rsidRPr="004B03CF" w:rsidRDefault="00717B6A" w:rsidP="004B03CF">
            <w:pPr>
              <w:pStyle w:val="TableRow"/>
              <w:jc w:val="left"/>
              <w:rPr>
                <w:color w:val="auto"/>
                <w:sz w:val="20"/>
                <w:lang w:val="en-GB"/>
              </w:rPr>
            </w:pPr>
            <w:r w:rsidRPr="004B03CF">
              <w:rPr>
                <w:color w:val="auto"/>
                <w:sz w:val="20"/>
                <w:lang w:val="en-GB"/>
              </w:rPr>
              <w:t xml:space="preserve">• </w:t>
            </w:r>
            <w:r w:rsidR="009F5BCF" w:rsidRPr="004B03CF">
              <w:rPr>
                <w:color w:val="auto"/>
                <w:sz w:val="20"/>
                <w:lang w:val="en-GB"/>
              </w:rPr>
              <w:t>R</w:t>
            </w:r>
            <w:r w:rsidR="00781CEE" w:rsidRPr="004B03CF">
              <w:rPr>
                <w:color w:val="auto"/>
                <w:sz w:val="20"/>
                <w:lang w:val="en-GB"/>
              </w:rPr>
              <w:t xml:space="preserve">ecently </w:t>
            </w:r>
            <w:r w:rsidR="009F5BCF" w:rsidRPr="004B03CF">
              <w:rPr>
                <w:color w:val="auto"/>
                <w:sz w:val="20"/>
                <w:lang w:val="en-GB"/>
              </w:rPr>
              <w:t>established</w:t>
            </w:r>
            <w:r w:rsidR="00781CEE" w:rsidRPr="004B03CF">
              <w:rPr>
                <w:color w:val="auto"/>
                <w:sz w:val="20"/>
                <w:lang w:val="en-GB"/>
              </w:rPr>
              <w:t xml:space="preserve"> </w:t>
            </w:r>
            <w:r w:rsidR="009F5BCF" w:rsidRPr="004B03CF">
              <w:rPr>
                <w:color w:val="auto"/>
                <w:sz w:val="20"/>
                <w:lang w:val="en-GB"/>
              </w:rPr>
              <w:t xml:space="preserve">(in 2022) steering group at national level for coordinating the capacity building of local government employees for planning, implementing and monitoring the specific Action-Plan for local governments capacity building.  </w:t>
            </w:r>
          </w:p>
        </w:tc>
      </w:tr>
      <w:tr w:rsidR="00356A32" w:rsidRPr="00356A32" w14:paraId="4E9E0EAF" w14:textId="77777777" w:rsidTr="00C729D4">
        <w:trPr>
          <w:trHeight w:val="238"/>
        </w:trPr>
        <w:tc>
          <w:tcPr>
            <w:tcW w:w="1507" w:type="pct"/>
          </w:tcPr>
          <w:p w14:paraId="0B8A8BE6" w14:textId="3637DC26" w:rsidR="00594B16" w:rsidRPr="00356A32" w:rsidRDefault="005317DE" w:rsidP="005317DE">
            <w:pPr>
              <w:pStyle w:val="TableRow"/>
              <w:jc w:val="left"/>
              <w:rPr>
                <w:color w:val="auto"/>
                <w:sz w:val="20"/>
                <w:lang w:val="en-GB"/>
              </w:rPr>
            </w:pPr>
            <w:r w:rsidRPr="00356A32">
              <w:rPr>
                <w:color w:val="auto"/>
                <w:sz w:val="20"/>
                <w:lang w:val="en-GB"/>
              </w:rPr>
              <w:lastRenderedPageBreak/>
              <w:t xml:space="preserve">Policy co-ordination </w:t>
            </w:r>
            <w:r w:rsidR="00B103D2" w:rsidRPr="00356A32">
              <w:rPr>
                <w:color w:val="auto"/>
                <w:sz w:val="20"/>
                <w:lang w:val="en-GB"/>
              </w:rPr>
              <w:t xml:space="preserve">tools </w:t>
            </w:r>
            <w:r w:rsidRPr="00356A32">
              <w:rPr>
                <w:color w:val="auto"/>
                <w:sz w:val="20"/>
                <w:lang w:val="en-GB"/>
              </w:rPr>
              <w:t xml:space="preserve">at regional level </w:t>
            </w:r>
          </w:p>
        </w:tc>
        <w:tc>
          <w:tcPr>
            <w:tcW w:w="3493" w:type="pct"/>
          </w:tcPr>
          <w:p w14:paraId="15E63ED0" w14:textId="46FD3C3A" w:rsidR="00975EDC" w:rsidRPr="004B03CF" w:rsidRDefault="00717B6A" w:rsidP="004B03CF">
            <w:pPr>
              <w:pStyle w:val="TableRow"/>
              <w:jc w:val="left"/>
              <w:rPr>
                <w:color w:val="auto"/>
                <w:sz w:val="20"/>
                <w:lang w:val="en-GB"/>
              </w:rPr>
            </w:pPr>
            <w:r w:rsidRPr="004B03CF">
              <w:rPr>
                <w:color w:val="auto"/>
                <w:sz w:val="20"/>
                <w:lang w:val="en-GB"/>
              </w:rPr>
              <w:t xml:space="preserve">• </w:t>
            </w:r>
            <w:r w:rsidR="00975EDC" w:rsidRPr="004B03CF">
              <w:rPr>
                <w:color w:val="auto"/>
                <w:sz w:val="20"/>
                <w:lang w:val="en-GB"/>
              </w:rPr>
              <w:t xml:space="preserve">County development strategies act as multilevel governance instruments also. In principle these strategies should give an input to national level sectorial development strategies/action plans and the state budget strategy. Nevertheless, in practice this coordination mechanism has remained weak and has had some influence as a soft multi-level cooperation instrument. </w:t>
            </w:r>
          </w:p>
          <w:p w14:paraId="29E392BF" w14:textId="32DDDB8A" w:rsidR="00975EDC" w:rsidRPr="004B03CF" w:rsidRDefault="00717B6A" w:rsidP="004B03CF">
            <w:pPr>
              <w:pStyle w:val="TableRow"/>
              <w:jc w:val="left"/>
              <w:rPr>
                <w:color w:val="auto"/>
                <w:sz w:val="20"/>
                <w:lang w:val="en-GB"/>
              </w:rPr>
            </w:pPr>
            <w:r w:rsidRPr="004B03CF">
              <w:rPr>
                <w:color w:val="auto"/>
                <w:sz w:val="20"/>
                <w:lang w:val="en-GB"/>
              </w:rPr>
              <w:t xml:space="preserve">• </w:t>
            </w:r>
            <w:r w:rsidR="009F5E6F" w:rsidRPr="004B03CF">
              <w:rPr>
                <w:color w:val="auto"/>
                <w:sz w:val="20"/>
                <w:lang w:val="en-GB"/>
              </w:rPr>
              <w:t xml:space="preserve">National </w:t>
            </w:r>
            <w:r w:rsidR="007A3CF5" w:rsidRPr="004B03CF">
              <w:rPr>
                <w:color w:val="auto"/>
                <w:sz w:val="20"/>
                <w:lang w:val="en-GB"/>
              </w:rPr>
              <w:t xml:space="preserve">cross-sectorial </w:t>
            </w:r>
            <w:r w:rsidR="009F5E6F" w:rsidRPr="004B03CF">
              <w:rPr>
                <w:color w:val="auto"/>
                <w:sz w:val="20"/>
                <w:lang w:val="en-GB"/>
              </w:rPr>
              <w:t xml:space="preserve">action plans for North-East and South-East regions of Estonia until 2030 to accelerate the development of </w:t>
            </w:r>
            <w:r w:rsidR="007A3CF5" w:rsidRPr="004B03CF">
              <w:rPr>
                <w:color w:val="auto"/>
                <w:sz w:val="20"/>
                <w:lang w:val="en-GB"/>
              </w:rPr>
              <w:t xml:space="preserve">these </w:t>
            </w:r>
            <w:r w:rsidR="009F5E6F" w:rsidRPr="004B03CF">
              <w:rPr>
                <w:color w:val="auto"/>
                <w:sz w:val="20"/>
                <w:lang w:val="en-GB"/>
              </w:rPr>
              <w:t xml:space="preserve">two socio-economically less </w:t>
            </w:r>
            <w:r w:rsidR="007A3CF5" w:rsidRPr="004B03CF">
              <w:rPr>
                <w:color w:val="auto"/>
                <w:sz w:val="20"/>
                <w:lang w:val="en-GB"/>
              </w:rPr>
              <w:t>advanced</w:t>
            </w:r>
            <w:r w:rsidR="009F5E6F" w:rsidRPr="004B03CF">
              <w:rPr>
                <w:color w:val="auto"/>
                <w:sz w:val="20"/>
                <w:lang w:val="en-GB"/>
              </w:rPr>
              <w:t xml:space="preserve"> regions. </w:t>
            </w:r>
            <w:r w:rsidR="001B66C9" w:rsidRPr="004B03CF">
              <w:rPr>
                <w:color w:val="auto"/>
                <w:sz w:val="20"/>
                <w:lang w:val="en-GB"/>
              </w:rPr>
              <w:t>Both</w:t>
            </w:r>
            <w:r w:rsidR="007A3CF5" w:rsidRPr="004B03CF">
              <w:rPr>
                <w:color w:val="auto"/>
                <w:sz w:val="20"/>
                <w:lang w:val="en-GB"/>
              </w:rPr>
              <w:t xml:space="preserve"> documents</w:t>
            </w:r>
            <w:r w:rsidR="009F5E6F" w:rsidRPr="004B03CF">
              <w:rPr>
                <w:color w:val="auto"/>
                <w:sz w:val="20"/>
                <w:lang w:val="en-GB"/>
              </w:rPr>
              <w:t xml:space="preserve"> bring together </w:t>
            </w:r>
            <w:r w:rsidR="001B66C9" w:rsidRPr="004B03CF">
              <w:rPr>
                <w:color w:val="auto"/>
                <w:sz w:val="20"/>
                <w:lang w:val="en-GB"/>
              </w:rPr>
              <w:t>incentives</w:t>
            </w:r>
            <w:r w:rsidR="009F5E6F" w:rsidRPr="004B03CF">
              <w:rPr>
                <w:color w:val="auto"/>
                <w:sz w:val="20"/>
                <w:lang w:val="en-GB"/>
              </w:rPr>
              <w:t xml:space="preserve"> of different </w:t>
            </w:r>
            <w:r w:rsidR="001B66C9" w:rsidRPr="004B03CF">
              <w:rPr>
                <w:color w:val="auto"/>
                <w:sz w:val="20"/>
                <w:lang w:val="en-GB"/>
              </w:rPr>
              <w:t>ministries/</w:t>
            </w:r>
            <w:r w:rsidR="009F5E6F" w:rsidRPr="004B03CF">
              <w:rPr>
                <w:color w:val="auto"/>
                <w:sz w:val="20"/>
                <w:lang w:val="en-GB"/>
              </w:rPr>
              <w:t xml:space="preserve">sectoral policies </w:t>
            </w:r>
            <w:r w:rsidR="001B66C9" w:rsidRPr="004B03CF">
              <w:rPr>
                <w:color w:val="auto"/>
                <w:sz w:val="20"/>
                <w:lang w:val="en-GB"/>
              </w:rPr>
              <w:t>for</w:t>
            </w:r>
            <w:r w:rsidR="007D3C2B" w:rsidRPr="004B03CF">
              <w:rPr>
                <w:color w:val="auto"/>
                <w:sz w:val="20"/>
                <w:lang w:val="en-GB"/>
              </w:rPr>
              <w:t xml:space="preserve"> development of these regions and include only activities initiated by the central government. </w:t>
            </w:r>
          </w:p>
          <w:p w14:paraId="5D25B57E" w14:textId="27A62D6C" w:rsidR="00975EDC" w:rsidRPr="004B03CF" w:rsidRDefault="00717B6A" w:rsidP="004B03CF">
            <w:pPr>
              <w:pStyle w:val="TableRow"/>
              <w:jc w:val="left"/>
              <w:rPr>
                <w:color w:val="auto"/>
                <w:sz w:val="20"/>
                <w:lang w:val="en-GB"/>
              </w:rPr>
            </w:pPr>
            <w:r w:rsidRPr="004B03CF">
              <w:rPr>
                <w:color w:val="auto"/>
                <w:sz w:val="20"/>
                <w:lang w:val="en-GB"/>
              </w:rPr>
              <w:t xml:space="preserve">• </w:t>
            </w:r>
            <w:r w:rsidR="001B66C9" w:rsidRPr="004B03CF">
              <w:rPr>
                <w:color w:val="auto"/>
                <w:sz w:val="20"/>
                <w:lang w:val="en-GB"/>
              </w:rPr>
              <w:t>As a new initiative, the Ministry of</w:t>
            </w:r>
            <w:r w:rsidR="004B03CF" w:rsidRPr="004B03CF">
              <w:rPr>
                <w:color w:val="auto"/>
                <w:sz w:val="20"/>
                <w:lang w:val="en-GB"/>
              </w:rPr>
              <w:t xml:space="preserve"> Regional Affairs and Agriculture is piloting </w:t>
            </w:r>
            <w:r w:rsidR="001B66C9" w:rsidRPr="004B03CF">
              <w:rPr>
                <w:color w:val="auto"/>
                <w:sz w:val="20"/>
                <w:lang w:val="en-GB"/>
              </w:rPr>
              <w:t>regional development agreements</w:t>
            </w:r>
            <w:r w:rsidR="00AF3602" w:rsidRPr="004B03CF">
              <w:rPr>
                <w:color w:val="auto"/>
                <w:sz w:val="20"/>
                <w:lang w:val="en-GB"/>
              </w:rPr>
              <w:t>/’deals’</w:t>
            </w:r>
            <w:r w:rsidR="001B66C9" w:rsidRPr="004B03CF">
              <w:rPr>
                <w:color w:val="auto"/>
                <w:sz w:val="20"/>
                <w:lang w:val="en-GB"/>
              </w:rPr>
              <w:t xml:space="preserve"> </w:t>
            </w:r>
            <w:r w:rsidR="0021170C" w:rsidRPr="004B03CF">
              <w:rPr>
                <w:color w:val="auto"/>
                <w:sz w:val="20"/>
                <w:lang w:val="en-GB"/>
              </w:rPr>
              <w:t xml:space="preserve">in parallel with setting up regional councils mandated for </w:t>
            </w:r>
            <w:r w:rsidR="00AF3602" w:rsidRPr="004B03CF">
              <w:rPr>
                <w:color w:val="auto"/>
                <w:sz w:val="20"/>
                <w:lang w:val="en-GB"/>
              </w:rPr>
              <w:t xml:space="preserve">coordination of </w:t>
            </w:r>
            <w:r w:rsidR="0021170C" w:rsidRPr="004B03CF">
              <w:rPr>
                <w:color w:val="auto"/>
                <w:sz w:val="20"/>
                <w:lang w:val="en-GB"/>
              </w:rPr>
              <w:t>their further elaboration and implementation</w:t>
            </w:r>
            <w:r w:rsidR="004B03CF" w:rsidRPr="004B03CF">
              <w:rPr>
                <w:color w:val="auto"/>
                <w:sz w:val="20"/>
                <w:lang w:val="en-GB"/>
              </w:rPr>
              <w:t xml:space="preserve">, starting </w:t>
            </w:r>
            <w:r w:rsidR="0021170C" w:rsidRPr="004B03CF">
              <w:rPr>
                <w:color w:val="auto"/>
                <w:sz w:val="20"/>
                <w:lang w:val="en-GB"/>
              </w:rPr>
              <w:t>with the pilot</w:t>
            </w:r>
            <w:r w:rsidR="00AF3602" w:rsidRPr="004B03CF">
              <w:rPr>
                <w:color w:val="auto"/>
                <w:sz w:val="20"/>
                <w:lang w:val="en-GB"/>
              </w:rPr>
              <w:t xml:space="preserve"> areas</w:t>
            </w:r>
            <w:r w:rsidR="0021170C" w:rsidRPr="004B03CF">
              <w:rPr>
                <w:color w:val="auto"/>
                <w:sz w:val="20"/>
                <w:lang w:val="en-GB"/>
              </w:rPr>
              <w:t xml:space="preserve"> </w:t>
            </w:r>
            <w:r w:rsidR="00AF3602" w:rsidRPr="004B03CF">
              <w:rPr>
                <w:color w:val="auto"/>
                <w:sz w:val="20"/>
                <w:lang w:val="en-GB"/>
              </w:rPr>
              <w:t>of</w:t>
            </w:r>
            <w:r w:rsidR="005451F5" w:rsidRPr="004B03CF">
              <w:rPr>
                <w:color w:val="auto"/>
                <w:sz w:val="20"/>
                <w:lang w:val="en-GB"/>
              </w:rPr>
              <w:t xml:space="preserve"> </w:t>
            </w:r>
            <w:r w:rsidR="0021170C" w:rsidRPr="004B03CF">
              <w:rPr>
                <w:color w:val="auto"/>
                <w:sz w:val="20"/>
                <w:lang w:val="en-GB"/>
              </w:rPr>
              <w:t>Central- and South-Estonia</w:t>
            </w:r>
            <w:r w:rsidR="00AF3602" w:rsidRPr="004B03CF">
              <w:rPr>
                <w:color w:val="auto"/>
                <w:sz w:val="20"/>
                <w:lang w:val="en-GB"/>
              </w:rPr>
              <w:t>.</w:t>
            </w:r>
            <w:r w:rsidR="0021170C" w:rsidRPr="004B03CF">
              <w:rPr>
                <w:color w:val="auto"/>
                <w:sz w:val="20"/>
                <w:lang w:val="en-GB"/>
              </w:rPr>
              <w:t xml:space="preserve"> </w:t>
            </w:r>
            <w:r w:rsidR="001B66C9" w:rsidRPr="004B03CF">
              <w:rPr>
                <w:color w:val="auto"/>
                <w:sz w:val="20"/>
                <w:lang w:val="en-GB"/>
              </w:rPr>
              <w:t xml:space="preserve">The </w:t>
            </w:r>
            <w:r w:rsidR="00AF3602" w:rsidRPr="004B03CF">
              <w:rPr>
                <w:color w:val="auto"/>
                <w:sz w:val="20"/>
                <w:lang w:val="en-GB"/>
              </w:rPr>
              <w:t xml:space="preserve">regional </w:t>
            </w:r>
            <w:r w:rsidR="00CD52AC" w:rsidRPr="004B03CF">
              <w:rPr>
                <w:color w:val="auto"/>
                <w:sz w:val="20"/>
                <w:lang w:val="en-GB"/>
              </w:rPr>
              <w:t>agreements</w:t>
            </w:r>
            <w:r w:rsidR="001B66C9" w:rsidRPr="004B03CF">
              <w:rPr>
                <w:color w:val="auto"/>
                <w:sz w:val="20"/>
                <w:lang w:val="en-GB"/>
              </w:rPr>
              <w:t xml:space="preserve"> </w:t>
            </w:r>
            <w:r w:rsidR="00AF3602" w:rsidRPr="004B03CF">
              <w:rPr>
                <w:color w:val="auto"/>
                <w:sz w:val="20"/>
                <w:lang w:val="en-GB"/>
              </w:rPr>
              <w:t xml:space="preserve">will be anticipated </w:t>
            </w:r>
            <w:r w:rsidR="00CD52AC" w:rsidRPr="004B03CF">
              <w:rPr>
                <w:color w:val="auto"/>
                <w:sz w:val="20"/>
                <w:lang w:val="en-GB"/>
              </w:rPr>
              <w:t>to become</w:t>
            </w:r>
            <w:r w:rsidR="001B66C9" w:rsidRPr="004B03CF">
              <w:rPr>
                <w:color w:val="auto"/>
                <w:sz w:val="20"/>
                <w:lang w:val="en-GB"/>
              </w:rPr>
              <w:t xml:space="preserve"> agreement</w:t>
            </w:r>
            <w:r w:rsidR="00CD52AC" w:rsidRPr="004B03CF">
              <w:rPr>
                <w:color w:val="auto"/>
                <w:sz w:val="20"/>
                <w:lang w:val="en-GB"/>
              </w:rPr>
              <w:t>s</w:t>
            </w:r>
            <w:r w:rsidR="001B66C9" w:rsidRPr="004B03CF">
              <w:rPr>
                <w:color w:val="auto"/>
                <w:sz w:val="20"/>
                <w:lang w:val="en-GB"/>
              </w:rPr>
              <w:t xml:space="preserve"> between central </w:t>
            </w:r>
            <w:r w:rsidR="00CD52AC" w:rsidRPr="004B03CF">
              <w:rPr>
                <w:color w:val="auto"/>
                <w:sz w:val="20"/>
                <w:lang w:val="en-GB"/>
              </w:rPr>
              <w:t>and local</w:t>
            </w:r>
            <w:r w:rsidR="001B66C9" w:rsidRPr="004B03CF">
              <w:rPr>
                <w:color w:val="auto"/>
                <w:sz w:val="20"/>
                <w:lang w:val="en-GB"/>
              </w:rPr>
              <w:t xml:space="preserve"> governments and </w:t>
            </w:r>
            <w:r w:rsidR="00CD52AC" w:rsidRPr="004B03CF">
              <w:rPr>
                <w:color w:val="auto"/>
                <w:sz w:val="20"/>
                <w:lang w:val="en-GB"/>
              </w:rPr>
              <w:t xml:space="preserve">other </w:t>
            </w:r>
            <w:r w:rsidR="001B66C9" w:rsidRPr="004B03CF">
              <w:rPr>
                <w:color w:val="auto"/>
                <w:sz w:val="20"/>
                <w:lang w:val="en-GB"/>
              </w:rPr>
              <w:t xml:space="preserve">regional </w:t>
            </w:r>
            <w:r w:rsidR="00CD52AC" w:rsidRPr="004B03CF">
              <w:rPr>
                <w:color w:val="auto"/>
                <w:sz w:val="20"/>
                <w:lang w:val="en-GB"/>
              </w:rPr>
              <w:t>stakeholders</w:t>
            </w:r>
            <w:r w:rsidR="001B66C9" w:rsidRPr="004B03CF">
              <w:rPr>
                <w:color w:val="auto"/>
                <w:sz w:val="20"/>
                <w:lang w:val="en-GB"/>
              </w:rPr>
              <w:t xml:space="preserve"> on the objectives</w:t>
            </w:r>
            <w:r w:rsidR="00CD52AC" w:rsidRPr="004B03CF">
              <w:rPr>
                <w:color w:val="auto"/>
                <w:sz w:val="20"/>
                <w:lang w:val="en-GB"/>
              </w:rPr>
              <w:t xml:space="preserve">, key economic </w:t>
            </w:r>
            <w:r w:rsidR="001B66C9" w:rsidRPr="004B03CF">
              <w:rPr>
                <w:color w:val="auto"/>
                <w:sz w:val="20"/>
                <w:lang w:val="en-GB"/>
              </w:rPr>
              <w:t xml:space="preserve">sectors </w:t>
            </w:r>
            <w:r w:rsidR="00CD52AC" w:rsidRPr="004B03CF">
              <w:rPr>
                <w:color w:val="auto"/>
                <w:sz w:val="20"/>
                <w:lang w:val="en-GB"/>
              </w:rPr>
              <w:t>and activities</w:t>
            </w:r>
            <w:r w:rsidR="007D3C2B" w:rsidRPr="004B03CF">
              <w:rPr>
                <w:color w:val="auto"/>
                <w:sz w:val="20"/>
                <w:lang w:val="en-GB"/>
              </w:rPr>
              <w:t xml:space="preserve"> and financing</w:t>
            </w:r>
            <w:r w:rsidR="00CD52AC" w:rsidRPr="004B03CF">
              <w:rPr>
                <w:color w:val="auto"/>
                <w:sz w:val="20"/>
                <w:lang w:val="en-GB"/>
              </w:rPr>
              <w:t xml:space="preserve"> </w:t>
            </w:r>
            <w:r w:rsidR="001B66C9" w:rsidRPr="004B03CF">
              <w:rPr>
                <w:color w:val="auto"/>
                <w:sz w:val="20"/>
                <w:lang w:val="en-GB"/>
              </w:rPr>
              <w:t>for increasing regional economic competitiveness in region larger than a county.</w:t>
            </w:r>
          </w:p>
        </w:tc>
      </w:tr>
      <w:tr w:rsidR="00356A32" w:rsidRPr="00356A32" w14:paraId="56477370" w14:textId="77777777" w:rsidTr="00C729D4">
        <w:trPr>
          <w:trHeight w:val="238"/>
        </w:trPr>
        <w:tc>
          <w:tcPr>
            <w:tcW w:w="1507" w:type="pct"/>
          </w:tcPr>
          <w:p w14:paraId="50E937EB" w14:textId="691C515E" w:rsidR="00594B16" w:rsidRPr="00356A32" w:rsidRDefault="005317DE" w:rsidP="005317DE">
            <w:pPr>
              <w:pStyle w:val="TableRow"/>
              <w:jc w:val="left"/>
              <w:rPr>
                <w:color w:val="auto"/>
                <w:sz w:val="20"/>
                <w:lang w:val="en-GB"/>
              </w:rPr>
            </w:pPr>
            <w:r w:rsidRPr="00356A32">
              <w:rPr>
                <w:color w:val="auto"/>
                <w:sz w:val="20"/>
                <w:lang w:val="en-GB"/>
              </w:rPr>
              <w:t>Evaluation and monitoring</w:t>
            </w:r>
            <w:r w:rsidR="00B103D2" w:rsidRPr="00356A32">
              <w:rPr>
                <w:color w:val="auto"/>
                <w:sz w:val="20"/>
                <w:lang w:val="en-GB"/>
              </w:rPr>
              <w:t xml:space="preserve"> tools</w:t>
            </w:r>
          </w:p>
        </w:tc>
        <w:tc>
          <w:tcPr>
            <w:tcW w:w="3493" w:type="pct"/>
          </w:tcPr>
          <w:p w14:paraId="6509D7BF" w14:textId="7C85D6B7" w:rsidR="00786C98" w:rsidRPr="004B03CF" w:rsidRDefault="00786C98" w:rsidP="004B03CF">
            <w:pPr>
              <w:pStyle w:val="TableRow"/>
              <w:jc w:val="left"/>
              <w:rPr>
                <w:color w:val="auto"/>
                <w:sz w:val="20"/>
                <w:lang w:val="en-GB"/>
              </w:rPr>
            </w:pPr>
            <w:r w:rsidRPr="004B03CF">
              <w:rPr>
                <w:color w:val="auto"/>
                <w:sz w:val="20"/>
                <w:lang w:val="en-GB"/>
              </w:rPr>
              <w:t>Territorial development trends are being regularly observed within the monitoring framework of the national Regional Development Action Plan. There are around 15-20 indicators to monitor regional disparities in major regional policy challenges/root problems. These indicators have been set in accorda</w:t>
            </w:r>
            <w:r w:rsidR="002F6A13" w:rsidRPr="004B03CF">
              <w:rPr>
                <w:color w:val="auto"/>
                <w:sz w:val="20"/>
                <w:lang w:val="en-GB"/>
              </w:rPr>
              <w:t>n</w:t>
            </w:r>
            <w:r w:rsidRPr="004B03CF">
              <w:rPr>
                <w:color w:val="auto"/>
                <w:sz w:val="20"/>
                <w:lang w:val="en-GB"/>
              </w:rPr>
              <w:t>ce with the strategic objectives of the „Estonia 2035“ strategy</w:t>
            </w:r>
            <w:r w:rsidR="002F6A13" w:rsidRPr="004B03CF">
              <w:rPr>
                <w:color w:val="auto"/>
                <w:sz w:val="20"/>
                <w:lang w:val="en-GB"/>
              </w:rPr>
              <w:t xml:space="preserve"> and their monitoring indicators at national level. T</w:t>
            </w:r>
            <w:r w:rsidRPr="004B03CF">
              <w:rPr>
                <w:color w:val="auto"/>
                <w:sz w:val="20"/>
                <w:lang w:val="en-GB"/>
              </w:rPr>
              <w:t>hereby monitoring</w:t>
            </w:r>
            <w:r w:rsidR="002F6A13" w:rsidRPr="004B03CF">
              <w:rPr>
                <w:color w:val="auto"/>
                <w:sz w:val="20"/>
                <w:lang w:val="en-GB"/>
              </w:rPr>
              <w:t xml:space="preserve"> the implementation of the Regional Development Action Plan simultaneously enables to assess also how the goals of the national development strategy are reached in territorial dimension.</w:t>
            </w:r>
            <w:r w:rsidRPr="004B03CF">
              <w:rPr>
                <w:color w:val="auto"/>
                <w:sz w:val="20"/>
                <w:lang w:val="en-GB"/>
              </w:rPr>
              <w:t xml:space="preserve"> </w:t>
            </w:r>
          </w:p>
          <w:p w14:paraId="6F66C4D6" w14:textId="77777777" w:rsidR="00786C98" w:rsidRPr="004B03CF" w:rsidRDefault="00786C98" w:rsidP="004B03CF">
            <w:pPr>
              <w:pStyle w:val="TableRow"/>
              <w:jc w:val="left"/>
              <w:rPr>
                <w:color w:val="auto"/>
                <w:sz w:val="20"/>
                <w:lang w:val="en-GB"/>
              </w:rPr>
            </w:pPr>
          </w:p>
          <w:p w14:paraId="1DACD2BD" w14:textId="42D93027" w:rsidR="00A70738" w:rsidRPr="004B03CF" w:rsidRDefault="00A70738" w:rsidP="004B03CF">
            <w:pPr>
              <w:pStyle w:val="TableRow"/>
              <w:jc w:val="left"/>
              <w:rPr>
                <w:color w:val="auto"/>
                <w:sz w:val="20"/>
                <w:lang w:val="en-GB"/>
              </w:rPr>
            </w:pPr>
            <w:r w:rsidRPr="004B03CF">
              <w:rPr>
                <w:color w:val="auto"/>
                <w:sz w:val="20"/>
                <w:lang w:val="en-GB"/>
              </w:rPr>
              <w:t>Monitoring dashboard minuomavalitsus.ee (</w:t>
            </w:r>
            <w:hyperlink r:id="rId14" w:history="1">
              <w:r w:rsidRPr="004B03CF">
                <w:rPr>
                  <w:color w:val="auto"/>
                  <w:sz w:val="20"/>
                  <w:lang w:val="en-GB"/>
                </w:rPr>
                <w:t>https://minuomavalitsus.fin.ee/en</w:t>
              </w:r>
            </w:hyperlink>
            <w:r w:rsidRPr="004B03CF">
              <w:rPr>
                <w:color w:val="auto"/>
                <w:sz w:val="20"/>
                <w:lang w:val="en-GB"/>
              </w:rPr>
              <w:t xml:space="preserve">). The </w:t>
            </w:r>
            <w:r w:rsidR="00197D39" w:rsidRPr="004B03CF">
              <w:rPr>
                <w:color w:val="auto"/>
                <w:sz w:val="20"/>
                <w:lang w:val="en-GB"/>
              </w:rPr>
              <w:t>aim</w:t>
            </w:r>
            <w:r w:rsidRPr="004B03CF">
              <w:rPr>
                <w:color w:val="auto"/>
                <w:sz w:val="20"/>
                <w:lang w:val="en-GB"/>
              </w:rPr>
              <w:t xml:space="preserve"> is </w:t>
            </w:r>
            <w:r w:rsidR="00AC3979" w:rsidRPr="004B03CF">
              <w:rPr>
                <w:color w:val="auto"/>
                <w:sz w:val="20"/>
                <w:lang w:val="en-GB"/>
              </w:rPr>
              <w:t>observe the quality and satisfaction with</w:t>
            </w:r>
            <w:r w:rsidRPr="004B03CF">
              <w:rPr>
                <w:color w:val="auto"/>
                <w:sz w:val="20"/>
                <w:lang w:val="en-GB"/>
              </w:rPr>
              <w:t xml:space="preserve"> local governments’ services all over Estonia. </w:t>
            </w:r>
            <w:r w:rsidR="00AC3979" w:rsidRPr="004B03CF">
              <w:rPr>
                <w:color w:val="auto"/>
                <w:sz w:val="20"/>
                <w:lang w:val="en-GB"/>
              </w:rPr>
              <w:t>The dashboard analyses and visualises</w:t>
            </w:r>
            <w:r w:rsidRPr="004B03CF">
              <w:rPr>
                <w:color w:val="auto"/>
                <w:sz w:val="20"/>
                <w:lang w:val="en-GB"/>
              </w:rPr>
              <w:t xml:space="preserve"> hundreds of criteria of the state of local governments’ </w:t>
            </w:r>
            <w:r w:rsidR="00AC3979" w:rsidRPr="004B03CF">
              <w:rPr>
                <w:color w:val="auto"/>
                <w:sz w:val="20"/>
                <w:lang w:val="en-GB"/>
              </w:rPr>
              <w:t>services. It</w:t>
            </w:r>
            <w:r w:rsidR="00197D39" w:rsidRPr="004B03CF">
              <w:rPr>
                <w:color w:val="auto"/>
                <w:sz w:val="20"/>
                <w:lang w:val="en-GB"/>
              </w:rPr>
              <w:t xml:space="preserve"> enables </w:t>
            </w:r>
            <w:r w:rsidRPr="004B03CF">
              <w:rPr>
                <w:color w:val="auto"/>
                <w:sz w:val="20"/>
                <w:lang w:val="en-GB"/>
              </w:rPr>
              <w:t>to get an overview of the state of services and development possibilities in each local government</w:t>
            </w:r>
            <w:r w:rsidR="00197D39" w:rsidRPr="004B03CF">
              <w:rPr>
                <w:color w:val="auto"/>
                <w:sz w:val="20"/>
                <w:lang w:val="en-GB"/>
              </w:rPr>
              <w:t xml:space="preserve">, </w:t>
            </w:r>
            <w:r w:rsidRPr="004B03CF">
              <w:rPr>
                <w:color w:val="auto"/>
                <w:sz w:val="20"/>
                <w:lang w:val="en-GB"/>
              </w:rPr>
              <w:t xml:space="preserve">compare local governments’ service levels which contributes </w:t>
            </w:r>
            <w:r w:rsidR="00197D39" w:rsidRPr="004B03CF">
              <w:rPr>
                <w:color w:val="auto"/>
                <w:sz w:val="20"/>
                <w:lang w:val="en-GB"/>
              </w:rPr>
              <w:t xml:space="preserve">to sharing experiences, </w:t>
            </w:r>
            <w:r w:rsidRPr="004B03CF">
              <w:rPr>
                <w:color w:val="auto"/>
                <w:sz w:val="20"/>
                <w:lang w:val="en-GB"/>
              </w:rPr>
              <w:t>raise public awareness of the organisation of local services and increase citizens’ informed involvement</w:t>
            </w:r>
            <w:r w:rsidR="00197D39" w:rsidRPr="004B03CF">
              <w:rPr>
                <w:color w:val="auto"/>
                <w:sz w:val="20"/>
                <w:lang w:val="en-GB"/>
              </w:rPr>
              <w:t xml:space="preserve"> in discussing local development priorities and needs.</w:t>
            </w:r>
          </w:p>
          <w:p w14:paraId="5B1AB5C3" w14:textId="77777777" w:rsidR="00786C98" w:rsidRPr="004B03CF" w:rsidRDefault="00786C98" w:rsidP="004B03CF">
            <w:pPr>
              <w:pStyle w:val="TableRow"/>
              <w:jc w:val="left"/>
              <w:rPr>
                <w:color w:val="auto"/>
                <w:sz w:val="20"/>
                <w:lang w:val="en-GB"/>
              </w:rPr>
            </w:pPr>
          </w:p>
          <w:p w14:paraId="1E131CFF" w14:textId="143396B3" w:rsidR="00197D39" w:rsidRPr="004B03CF" w:rsidRDefault="00001C29" w:rsidP="004B03CF">
            <w:pPr>
              <w:pStyle w:val="TableRow"/>
              <w:jc w:val="left"/>
              <w:rPr>
                <w:color w:val="auto"/>
                <w:sz w:val="20"/>
                <w:lang w:val="en-GB"/>
              </w:rPr>
            </w:pPr>
            <w:r w:rsidRPr="004B03CF">
              <w:rPr>
                <w:color w:val="auto"/>
                <w:sz w:val="20"/>
                <w:lang w:val="en-GB"/>
              </w:rPr>
              <w:t>Other</w:t>
            </w:r>
            <w:r w:rsidR="00197D39" w:rsidRPr="004B03CF">
              <w:rPr>
                <w:color w:val="auto"/>
                <w:sz w:val="20"/>
                <w:lang w:val="en-GB"/>
              </w:rPr>
              <w:t xml:space="preserve"> need-based </w:t>
            </w:r>
            <w:r w:rsidRPr="004B03CF">
              <w:rPr>
                <w:color w:val="auto"/>
                <w:sz w:val="20"/>
                <w:lang w:val="en-GB"/>
              </w:rPr>
              <w:t xml:space="preserve">assessments having territorial relevance, like e.g interim and ex-post assessments of the impacts of EU structural funds, the achievement of EU Cohesion Policy goals, or certain governance area or case-specific monitoring exercises (state audit reports, etc). </w:t>
            </w:r>
          </w:p>
        </w:tc>
      </w:tr>
      <w:tr w:rsidR="00356A32" w:rsidRPr="00356A32" w14:paraId="6E08705C" w14:textId="77777777" w:rsidTr="00C729D4">
        <w:trPr>
          <w:trHeight w:val="238"/>
        </w:trPr>
        <w:tc>
          <w:tcPr>
            <w:tcW w:w="1507" w:type="pct"/>
          </w:tcPr>
          <w:p w14:paraId="0E24760B" w14:textId="625EF3FA" w:rsidR="00594B16" w:rsidRPr="00356A32" w:rsidRDefault="005317DE" w:rsidP="005317DE">
            <w:pPr>
              <w:pStyle w:val="TableRow"/>
              <w:jc w:val="left"/>
              <w:rPr>
                <w:color w:val="auto"/>
                <w:sz w:val="20"/>
                <w:lang w:val="en-GB"/>
              </w:rPr>
            </w:pPr>
            <w:bookmarkStart w:id="0" w:name="_Hlk121751249"/>
            <w:r w:rsidRPr="00356A32">
              <w:rPr>
                <w:color w:val="auto"/>
                <w:sz w:val="20"/>
                <w:lang w:val="en-GB"/>
              </w:rPr>
              <w:t>Future orientations of regional policy</w:t>
            </w:r>
          </w:p>
        </w:tc>
        <w:tc>
          <w:tcPr>
            <w:tcW w:w="3493" w:type="pct"/>
          </w:tcPr>
          <w:p w14:paraId="391AC443" w14:textId="7E8D81D4" w:rsidR="00047F48" w:rsidRPr="004B03CF" w:rsidRDefault="00717B6A" w:rsidP="004B03CF">
            <w:pPr>
              <w:pStyle w:val="TableRow"/>
              <w:jc w:val="left"/>
              <w:rPr>
                <w:color w:val="auto"/>
                <w:sz w:val="20"/>
                <w:lang w:val="en-GB"/>
              </w:rPr>
            </w:pPr>
            <w:r w:rsidRPr="004B03CF">
              <w:rPr>
                <w:color w:val="auto"/>
                <w:sz w:val="20"/>
                <w:lang w:val="en-GB"/>
              </w:rPr>
              <w:t xml:space="preserve">• </w:t>
            </w:r>
            <w:r w:rsidR="00047F48" w:rsidRPr="004B03CF">
              <w:rPr>
                <w:color w:val="auto"/>
                <w:sz w:val="20"/>
                <w:lang w:val="en-GB"/>
              </w:rPr>
              <w:t xml:space="preserve">Strengthening coordination of regional policy objectives </w:t>
            </w:r>
            <w:r w:rsidR="00904DD8" w:rsidRPr="004B03CF">
              <w:rPr>
                <w:color w:val="auto"/>
                <w:sz w:val="20"/>
                <w:lang w:val="en-GB"/>
              </w:rPr>
              <w:t xml:space="preserve">and impacts to regional development </w:t>
            </w:r>
            <w:r w:rsidR="00047F48" w:rsidRPr="004B03CF">
              <w:rPr>
                <w:color w:val="auto"/>
                <w:sz w:val="20"/>
                <w:lang w:val="en-GB"/>
              </w:rPr>
              <w:t xml:space="preserve">across national sectorial </w:t>
            </w:r>
            <w:r w:rsidR="006A2E42" w:rsidRPr="004B03CF">
              <w:rPr>
                <w:color w:val="auto"/>
                <w:sz w:val="20"/>
                <w:lang w:val="en-GB"/>
              </w:rPr>
              <w:t xml:space="preserve">policies - </w:t>
            </w:r>
            <w:r w:rsidR="00904DD8" w:rsidRPr="004B03CF">
              <w:rPr>
                <w:color w:val="auto"/>
                <w:sz w:val="20"/>
                <w:lang w:val="en-GB"/>
              </w:rPr>
              <w:t>like e.g by developing/implementing new cross-sectorial Regional Development Action Plan; guidelines for sectorial ministries to strengthen the positive impacts of new financial support measures to balanced territorial development</w:t>
            </w:r>
            <w:r w:rsidR="00F73CCE" w:rsidRPr="004B03CF">
              <w:rPr>
                <w:color w:val="auto"/>
                <w:sz w:val="20"/>
                <w:lang w:val="en-GB"/>
              </w:rPr>
              <w:t>; facilitating territorial impacts assessment of sectorial policy strategies and regulations</w:t>
            </w:r>
            <w:r w:rsidR="00C741D7" w:rsidRPr="004B03CF">
              <w:rPr>
                <w:color w:val="auto"/>
                <w:sz w:val="20"/>
                <w:lang w:val="en-GB"/>
              </w:rPr>
              <w:t>)</w:t>
            </w:r>
            <w:r w:rsidR="00F73CCE" w:rsidRPr="004B03CF">
              <w:rPr>
                <w:color w:val="auto"/>
                <w:sz w:val="20"/>
                <w:lang w:val="en-GB"/>
              </w:rPr>
              <w:t>.</w:t>
            </w:r>
          </w:p>
          <w:p w14:paraId="0823E4E1" w14:textId="77777777" w:rsidR="006A2E42" w:rsidRPr="004B03CF" w:rsidRDefault="006A2E42" w:rsidP="004B03CF">
            <w:pPr>
              <w:pStyle w:val="TableRow"/>
              <w:jc w:val="left"/>
              <w:rPr>
                <w:color w:val="auto"/>
                <w:sz w:val="20"/>
                <w:lang w:val="en-GB"/>
              </w:rPr>
            </w:pPr>
          </w:p>
          <w:p w14:paraId="54DA84E2" w14:textId="7229863F" w:rsidR="00904DD8" w:rsidRPr="004B03CF" w:rsidRDefault="00717B6A" w:rsidP="004B03CF">
            <w:pPr>
              <w:pStyle w:val="TableRow"/>
              <w:jc w:val="left"/>
              <w:rPr>
                <w:color w:val="auto"/>
                <w:sz w:val="20"/>
                <w:lang w:val="en-GB"/>
              </w:rPr>
            </w:pPr>
            <w:r w:rsidRPr="004B03CF">
              <w:rPr>
                <w:color w:val="auto"/>
                <w:sz w:val="20"/>
                <w:lang w:val="en-GB"/>
              </w:rPr>
              <w:t xml:space="preserve">• </w:t>
            </w:r>
            <w:r w:rsidR="00904DD8" w:rsidRPr="004B03CF">
              <w:rPr>
                <w:color w:val="auto"/>
                <w:sz w:val="20"/>
                <w:lang w:val="en-GB"/>
              </w:rPr>
              <w:t xml:space="preserve">Facilitating multilevel governance and sectorial coordination at regional level larger than counties </w:t>
            </w:r>
            <w:r w:rsidR="00C741D7" w:rsidRPr="004B03CF">
              <w:rPr>
                <w:color w:val="auto"/>
                <w:sz w:val="20"/>
                <w:lang w:val="en-GB"/>
              </w:rPr>
              <w:t xml:space="preserve">- </w:t>
            </w:r>
            <w:r w:rsidR="00904DD8" w:rsidRPr="004B03CF">
              <w:rPr>
                <w:color w:val="auto"/>
                <w:sz w:val="20"/>
                <w:lang w:val="en-GB"/>
              </w:rPr>
              <w:t xml:space="preserve">by piloting regional development agreements/’deals’ </w:t>
            </w:r>
            <w:r w:rsidR="00C741D7" w:rsidRPr="004B03CF">
              <w:rPr>
                <w:color w:val="auto"/>
                <w:sz w:val="20"/>
                <w:lang w:val="en-GB"/>
              </w:rPr>
              <w:t>and</w:t>
            </w:r>
            <w:r w:rsidR="00904DD8" w:rsidRPr="004B03CF">
              <w:rPr>
                <w:color w:val="auto"/>
                <w:sz w:val="20"/>
                <w:lang w:val="en-GB"/>
              </w:rPr>
              <w:t xml:space="preserve"> setting up </w:t>
            </w:r>
            <w:r w:rsidR="00904DD8" w:rsidRPr="004B03CF">
              <w:rPr>
                <w:color w:val="auto"/>
                <w:sz w:val="20"/>
                <w:lang w:val="en-GB"/>
              </w:rPr>
              <w:lastRenderedPageBreak/>
              <w:t>regional councils mandated for coordination of their further</w:t>
            </w:r>
            <w:r w:rsidR="00C741D7" w:rsidRPr="004B03CF">
              <w:rPr>
                <w:color w:val="auto"/>
                <w:sz w:val="20"/>
                <w:lang w:val="en-GB"/>
              </w:rPr>
              <w:t xml:space="preserve"> elaboration and implementation</w:t>
            </w:r>
            <w:r w:rsidR="00F73CCE" w:rsidRPr="004B03CF">
              <w:rPr>
                <w:color w:val="auto"/>
                <w:sz w:val="20"/>
                <w:lang w:val="en-GB"/>
              </w:rPr>
              <w:t>.</w:t>
            </w:r>
            <w:r w:rsidR="00904DD8" w:rsidRPr="004B03CF">
              <w:rPr>
                <w:color w:val="auto"/>
                <w:sz w:val="20"/>
                <w:lang w:val="en-GB"/>
              </w:rPr>
              <w:t xml:space="preserve"> </w:t>
            </w:r>
          </w:p>
          <w:p w14:paraId="52E80239" w14:textId="59B92D2E" w:rsidR="00047F48" w:rsidRPr="004B03CF" w:rsidRDefault="00717B6A" w:rsidP="004B03CF">
            <w:pPr>
              <w:pStyle w:val="TableRow"/>
              <w:jc w:val="left"/>
              <w:rPr>
                <w:color w:val="auto"/>
                <w:sz w:val="20"/>
                <w:lang w:val="en-GB"/>
              </w:rPr>
            </w:pPr>
            <w:r w:rsidRPr="004B03CF">
              <w:rPr>
                <w:color w:val="auto"/>
                <w:sz w:val="20"/>
                <w:lang w:val="en-GB"/>
              </w:rPr>
              <w:t xml:space="preserve">• </w:t>
            </w:r>
            <w:r w:rsidR="00047F48" w:rsidRPr="004B03CF">
              <w:rPr>
                <w:color w:val="auto"/>
                <w:sz w:val="20"/>
                <w:lang w:val="en-GB"/>
              </w:rPr>
              <w:t xml:space="preserve">Promoting financial </w:t>
            </w:r>
            <w:r w:rsidR="005C116F" w:rsidRPr="004B03CF">
              <w:rPr>
                <w:color w:val="auto"/>
                <w:sz w:val="20"/>
                <w:lang w:val="en-GB"/>
              </w:rPr>
              <w:t xml:space="preserve">capacity and </w:t>
            </w:r>
            <w:r w:rsidR="00047F48" w:rsidRPr="004B03CF">
              <w:rPr>
                <w:color w:val="auto"/>
                <w:sz w:val="20"/>
                <w:lang w:val="en-GB"/>
              </w:rPr>
              <w:t>autonomy of local municipalities and reducing the political and fiscal dependency from the central government</w:t>
            </w:r>
            <w:r w:rsidR="00F73CCE" w:rsidRPr="004B03CF">
              <w:rPr>
                <w:color w:val="auto"/>
                <w:sz w:val="20"/>
                <w:lang w:val="en-GB"/>
              </w:rPr>
              <w:t>.</w:t>
            </w:r>
            <w:r w:rsidR="00047F48" w:rsidRPr="004B03CF">
              <w:rPr>
                <w:color w:val="auto"/>
                <w:sz w:val="20"/>
                <w:lang w:val="en-GB"/>
              </w:rPr>
              <w:t xml:space="preserve"> </w:t>
            </w:r>
          </w:p>
          <w:p w14:paraId="01A44D08" w14:textId="05BA4993" w:rsidR="00047F48" w:rsidRPr="004B03CF" w:rsidRDefault="00717B6A" w:rsidP="004B03CF">
            <w:pPr>
              <w:pStyle w:val="TableRow"/>
              <w:jc w:val="left"/>
              <w:rPr>
                <w:color w:val="auto"/>
                <w:sz w:val="20"/>
                <w:lang w:val="en-GB"/>
              </w:rPr>
            </w:pPr>
            <w:r w:rsidRPr="004B03CF">
              <w:rPr>
                <w:color w:val="auto"/>
                <w:sz w:val="20"/>
                <w:lang w:val="en-GB"/>
              </w:rPr>
              <w:t xml:space="preserve">• </w:t>
            </w:r>
            <w:r w:rsidR="00047F48" w:rsidRPr="004B03CF">
              <w:rPr>
                <w:color w:val="auto"/>
                <w:sz w:val="20"/>
                <w:lang w:val="en-GB"/>
              </w:rPr>
              <w:t>Increasing the role of local governments and their responsibilities in the developm</w:t>
            </w:r>
            <w:r w:rsidR="00C741D7" w:rsidRPr="004B03CF">
              <w:rPr>
                <w:color w:val="auto"/>
                <w:sz w:val="20"/>
                <w:lang w:val="en-GB"/>
              </w:rPr>
              <w:t>ent of the business environment.</w:t>
            </w:r>
          </w:p>
          <w:p w14:paraId="27D13C1F" w14:textId="4804DEA4" w:rsidR="00BA1895" w:rsidRPr="004B03CF" w:rsidRDefault="00717B6A" w:rsidP="004B03CF">
            <w:pPr>
              <w:pStyle w:val="TableRow"/>
              <w:jc w:val="left"/>
              <w:rPr>
                <w:color w:val="auto"/>
                <w:sz w:val="20"/>
                <w:lang w:val="en-GB"/>
              </w:rPr>
            </w:pPr>
            <w:r w:rsidRPr="004B03CF">
              <w:rPr>
                <w:color w:val="auto"/>
                <w:sz w:val="20"/>
                <w:lang w:val="en-GB"/>
              </w:rPr>
              <w:t xml:space="preserve">• </w:t>
            </w:r>
            <w:r w:rsidR="006A2E42" w:rsidRPr="004B03CF">
              <w:rPr>
                <w:color w:val="auto"/>
                <w:sz w:val="20"/>
                <w:lang w:val="en-GB"/>
              </w:rPr>
              <w:t>A shift towards more flexible and efficient allocation of regional development grant schemes</w:t>
            </w:r>
            <w:r w:rsidR="00F73CCE" w:rsidRPr="004B03CF">
              <w:rPr>
                <w:color w:val="auto"/>
                <w:sz w:val="20"/>
                <w:lang w:val="en-GB"/>
              </w:rPr>
              <w:t xml:space="preserve">, also by </w:t>
            </w:r>
            <w:r w:rsidR="006A2E42" w:rsidRPr="004B03CF">
              <w:rPr>
                <w:color w:val="auto"/>
                <w:sz w:val="20"/>
                <w:lang w:val="en-GB"/>
              </w:rPr>
              <w:t xml:space="preserve">decreasing their fragmentation. </w:t>
            </w:r>
            <w:r w:rsidR="00F73CCE" w:rsidRPr="004B03CF">
              <w:rPr>
                <w:color w:val="auto"/>
                <w:sz w:val="20"/>
                <w:lang w:val="en-GB"/>
              </w:rPr>
              <w:t xml:space="preserve">A number of </w:t>
            </w:r>
            <w:r w:rsidR="006A2E42" w:rsidRPr="004B03CF">
              <w:rPr>
                <w:color w:val="auto"/>
                <w:sz w:val="20"/>
                <w:lang w:val="en-GB"/>
              </w:rPr>
              <w:t xml:space="preserve">smaller and thematically more </w:t>
            </w:r>
            <w:r w:rsidR="00F73CCE" w:rsidRPr="004B03CF">
              <w:rPr>
                <w:color w:val="auto"/>
                <w:sz w:val="20"/>
                <w:lang w:val="en-GB"/>
              </w:rPr>
              <w:t>narrow</w:t>
            </w:r>
            <w:r w:rsidR="006A2E42" w:rsidRPr="004B03CF">
              <w:rPr>
                <w:color w:val="auto"/>
                <w:sz w:val="20"/>
                <w:lang w:val="en-GB"/>
              </w:rPr>
              <w:t xml:space="preserve"> grant schemes are being combined and </w:t>
            </w:r>
            <w:r w:rsidR="00F73CCE" w:rsidRPr="004B03CF">
              <w:rPr>
                <w:color w:val="auto"/>
                <w:sz w:val="20"/>
                <w:lang w:val="en-GB"/>
              </w:rPr>
              <w:t xml:space="preserve">applied more flexibly according to priorities of counties’ and other territorial strategies. </w:t>
            </w:r>
          </w:p>
        </w:tc>
      </w:tr>
    </w:tbl>
    <w:bookmarkEnd w:id="0"/>
    <w:p w14:paraId="3AA8CF31" w14:textId="2384FC65" w:rsidR="009070E8" w:rsidRPr="00A47C9A" w:rsidRDefault="009070E8" w:rsidP="009070E8">
      <w:pPr>
        <w:pStyle w:val="Title2"/>
      </w:pPr>
      <w:r w:rsidRPr="00A47C9A">
        <w:lastRenderedPageBreak/>
        <w:t>Recent policy developments</w:t>
      </w:r>
    </w:p>
    <w:p w14:paraId="19907AAC" w14:textId="0C737D4E" w:rsidR="00717B6A" w:rsidRPr="00717B6A" w:rsidRDefault="00717B6A" w:rsidP="00717B6A">
      <w:pPr>
        <w:pStyle w:val="Para0"/>
        <w:rPr>
          <w:lang w:val="et-EE"/>
        </w:rPr>
      </w:pPr>
      <w:bookmarkStart w:id="1" w:name="_Hlk119401590"/>
      <w:r w:rsidRPr="00717B6A">
        <w:rPr>
          <w:lang w:val="en-AU"/>
        </w:rPr>
        <w:t>The number of national</w:t>
      </w:r>
      <w:r w:rsidR="00C729D4">
        <w:rPr>
          <w:lang w:val="en-AU"/>
        </w:rPr>
        <w:t>-</w:t>
      </w:r>
      <w:r w:rsidRPr="00717B6A">
        <w:rPr>
          <w:lang w:val="en-AU"/>
        </w:rPr>
        <w:t>level strategic policy documents was reduced</w:t>
      </w:r>
      <w:r w:rsidR="00C729D4">
        <w:rPr>
          <w:lang w:val="en-AU"/>
        </w:rPr>
        <w:t xml:space="preserve"> and there is</w:t>
      </w:r>
      <w:r w:rsidRPr="00717B6A">
        <w:rPr>
          <w:lang w:val="en-AU"/>
        </w:rPr>
        <w:t xml:space="preserve"> no regional policy strategy in place since 2021. Instead</w:t>
      </w:r>
      <w:r w:rsidR="00C729D4">
        <w:rPr>
          <w:lang w:val="en-AU"/>
        </w:rPr>
        <w:t xml:space="preserve">, </w:t>
      </w:r>
      <w:r w:rsidRPr="00717B6A">
        <w:rPr>
          <w:i/>
          <w:lang w:val="en-AU"/>
        </w:rPr>
        <w:t>a Regional Development Action Plan</w:t>
      </w:r>
      <w:r w:rsidRPr="00717B6A">
        <w:rPr>
          <w:lang w:val="en-AU"/>
        </w:rPr>
        <w:t xml:space="preserve"> (RDAP) </w:t>
      </w:r>
      <w:r w:rsidR="00C729D4">
        <w:rPr>
          <w:lang w:val="en-AU"/>
        </w:rPr>
        <w:t xml:space="preserve">was prepared and </w:t>
      </w:r>
      <w:r w:rsidRPr="00717B6A">
        <w:rPr>
          <w:lang w:val="en-AU"/>
        </w:rPr>
        <w:t>identif</w:t>
      </w:r>
      <w:r w:rsidR="00C729D4">
        <w:rPr>
          <w:lang w:val="en-AU"/>
        </w:rPr>
        <w:t>ies</w:t>
      </w:r>
      <w:r w:rsidRPr="00717B6A">
        <w:rPr>
          <w:lang w:val="en-AU"/>
        </w:rPr>
        <w:t xml:space="preserve"> the most eminent </w:t>
      </w:r>
      <w:r w:rsidR="00C729D4">
        <w:rPr>
          <w:lang w:val="en-AU"/>
        </w:rPr>
        <w:t xml:space="preserve">regional </w:t>
      </w:r>
      <w:r w:rsidRPr="00717B6A">
        <w:rPr>
          <w:lang w:val="en-AU"/>
        </w:rPr>
        <w:t xml:space="preserve">socio-economic inequalities </w:t>
      </w:r>
      <w:r w:rsidR="00C729D4">
        <w:rPr>
          <w:lang w:val="en-AU"/>
        </w:rPr>
        <w:t xml:space="preserve">which are considered </w:t>
      </w:r>
      <w:r w:rsidRPr="00717B6A">
        <w:rPr>
          <w:lang w:val="en-AU"/>
        </w:rPr>
        <w:t xml:space="preserve">major challenges/ of regional development in Estonia and sets a 4-year action plan covering different sectoral policy activities to </w:t>
      </w:r>
      <w:r w:rsidR="00C729D4">
        <w:rPr>
          <w:lang w:val="en-AU"/>
        </w:rPr>
        <w:t>address these challenges</w:t>
      </w:r>
      <w:r w:rsidRPr="00717B6A">
        <w:rPr>
          <w:lang w:val="en-AU"/>
        </w:rPr>
        <w:t xml:space="preserve"> and support more </w:t>
      </w:r>
      <w:r w:rsidR="00C729D4">
        <w:rPr>
          <w:lang w:val="en-AU"/>
        </w:rPr>
        <w:t>balanced</w:t>
      </w:r>
      <w:r w:rsidRPr="00717B6A">
        <w:rPr>
          <w:lang w:val="en-AU"/>
        </w:rPr>
        <w:t xml:space="preserve"> regional development </w:t>
      </w:r>
      <w:r w:rsidR="00C729D4">
        <w:rPr>
          <w:lang w:val="en-AU"/>
        </w:rPr>
        <w:t>in the country</w:t>
      </w:r>
      <w:r w:rsidRPr="00717B6A">
        <w:rPr>
          <w:lang w:val="en-AU"/>
        </w:rPr>
        <w:t xml:space="preserve">. </w:t>
      </w:r>
      <w:r w:rsidR="00C729D4">
        <w:rPr>
          <w:lang w:val="en-AU"/>
        </w:rPr>
        <w:t>Furthermore</w:t>
      </w:r>
      <w:r w:rsidRPr="00717B6A">
        <w:rPr>
          <w:lang w:val="en-AU"/>
        </w:rPr>
        <w:t>, the goals of regional balanc</w:t>
      </w:r>
      <w:r w:rsidR="00C729D4">
        <w:rPr>
          <w:lang w:val="en-AU"/>
        </w:rPr>
        <w:t>e</w:t>
      </w:r>
      <w:r w:rsidRPr="00717B6A">
        <w:rPr>
          <w:lang w:val="en-AU"/>
        </w:rPr>
        <w:t xml:space="preserve"> in the country's strategic development goals are set in the </w:t>
      </w:r>
      <w:r w:rsidRPr="00717B6A">
        <w:rPr>
          <w:iCs/>
          <w:lang w:val="en-AU"/>
        </w:rPr>
        <w:t>strategy</w:t>
      </w:r>
      <w:r w:rsidRPr="00717B6A">
        <w:rPr>
          <w:i/>
          <w:lang w:val="en-AU"/>
        </w:rPr>
        <w:t xml:space="preserve"> </w:t>
      </w:r>
      <w:r w:rsidRPr="00717B6A">
        <w:rPr>
          <w:iCs/>
          <w:lang w:val="en-AU"/>
        </w:rPr>
        <w:t>"Estonia 2035"</w:t>
      </w:r>
      <w:r w:rsidRPr="00717B6A">
        <w:rPr>
          <w:i/>
          <w:lang w:val="en-AU"/>
        </w:rPr>
        <w:t xml:space="preserve"> </w:t>
      </w:r>
      <w:r w:rsidRPr="00717B6A">
        <w:rPr>
          <w:lang w:val="en-AU"/>
        </w:rPr>
        <w:t xml:space="preserve">(approved in 2021), which </w:t>
      </w:r>
      <w:r w:rsidR="00C729D4">
        <w:rPr>
          <w:lang w:val="en-AU"/>
        </w:rPr>
        <w:t>is also further</w:t>
      </w:r>
      <w:r w:rsidRPr="00717B6A">
        <w:rPr>
          <w:lang w:val="en-AU"/>
        </w:rPr>
        <w:t xml:space="preserve"> addressed </w:t>
      </w:r>
      <w:r w:rsidR="00C729D4">
        <w:rPr>
          <w:lang w:val="en-AU"/>
        </w:rPr>
        <w:t>by</w:t>
      </w:r>
      <w:r w:rsidRPr="00717B6A">
        <w:rPr>
          <w:lang w:val="en-AU"/>
        </w:rPr>
        <w:t xml:space="preserve"> the country's sectoral development plans.</w:t>
      </w:r>
      <w:r w:rsidRPr="00717B6A">
        <w:rPr>
          <w:lang w:val="et-EE"/>
        </w:rPr>
        <w:t xml:space="preserve">  </w:t>
      </w:r>
    </w:p>
    <w:p w14:paraId="748BC108" w14:textId="1454A4C8" w:rsidR="00717B6A" w:rsidRPr="00717B6A" w:rsidRDefault="00C729D4" w:rsidP="00717B6A">
      <w:pPr>
        <w:pStyle w:val="Para0"/>
        <w:rPr>
          <w:lang w:val="et-EE"/>
        </w:rPr>
      </w:pPr>
      <w:r>
        <w:rPr>
          <w:lang w:val="en-AU"/>
        </w:rPr>
        <w:t xml:space="preserve">Estonia </w:t>
      </w:r>
      <w:r w:rsidR="00717B6A" w:rsidRPr="00717B6A">
        <w:rPr>
          <w:lang w:val="en-AU"/>
        </w:rPr>
        <w:t xml:space="preserve">recently </w:t>
      </w:r>
      <w:r>
        <w:rPr>
          <w:lang w:val="en-AU"/>
        </w:rPr>
        <w:t>started</w:t>
      </w:r>
      <w:r w:rsidR="00717B6A" w:rsidRPr="00717B6A">
        <w:rPr>
          <w:lang w:val="et-EE"/>
        </w:rPr>
        <w:t xml:space="preserve"> </w:t>
      </w:r>
      <w:r w:rsidR="00717B6A" w:rsidRPr="00717B6A">
        <w:t>preparing</w:t>
      </w:r>
      <w:r w:rsidR="00717B6A" w:rsidRPr="00717B6A">
        <w:rPr>
          <w:i/>
        </w:rPr>
        <w:t xml:space="preserve"> a</w:t>
      </w:r>
      <w:r w:rsidR="00717B6A" w:rsidRPr="00717B6A">
        <w:t xml:space="preserve"> </w:t>
      </w:r>
      <w:r w:rsidR="00717B6A" w:rsidRPr="00717B6A">
        <w:rPr>
          <w:iCs/>
        </w:rPr>
        <w:t>new national spatial</w:t>
      </w:r>
      <w:r w:rsidR="00717B6A" w:rsidRPr="00717B6A">
        <w:rPr>
          <w:i/>
        </w:rPr>
        <w:t xml:space="preserve"> </w:t>
      </w:r>
      <w:r w:rsidR="00717B6A" w:rsidRPr="00717B6A">
        <w:t>plan</w:t>
      </w:r>
      <w:r>
        <w:t xml:space="preserve">, </w:t>
      </w:r>
      <w:r w:rsidR="00717B6A" w:rsidRPr="00717B6A">
        <w:t>which is scheduled to be finalised by 2026, replacing the current national spatial plan “Estonia 2030”.</w:t>
      </w:r>
    </w:p>
    <w:p w14:paraId="36BE6E0B" w14:textId="33135427" w:rsidR="00717B6A" w:rsidRPr="00717B6A" w:rsidRDefault="00717B6A" w:rsidP="00717B6A">
      <w:pPr>
        <w:pStyle w:val="Para0"/>
        <w:rPr>
          <w:lang w:val="et-EE"/>
        </w:rPr>
      </w:pPr>
      <w:r w:rsidRPr="00717B6A">
        <w:rPr>
          <w:lang w:val="en-IE"/>
        </w:rPr>
        <w:t>New</w:t>
      </w:r>
      <w:r w:rsidRPr="00717B6A">
        <w:rPr>
          <w:i/>
          <w:lang w:val="en-IE"/>
        </w:rPr>
        <w:t xml:space="preserve"> </w:t>
      </w:r>
      <w:r w:rsidRPr="00717B6A">
        <w:rPr>
          <w:iCs/>
          <w:lang w:val="en-IE"/>
        </w:rPr>
        <w:t>regional development support measures</w:t>
      </w:r>
      <w:r w:rsidRPr="00717B6A">
        <w:rPr>
          <w:lang w:val="en-IE"/>
        </w:rPr>
        <w:t xml:space="preserve"> have been prepared </w:t>
      </w:r>
      <w:r w:rsidR="00C729D4">
        <w:rPr>
          <w:lang w:val="en-IE"/>
        </w:rPr>
        <w:t>for</w:t>
      </w:r>
      <w:r w:rsidRPr="00717B6A">
        <w:rPr>
          <w:lang w:val="en-IE"/>
        </w:rPr>
        <w:t xml:space="preserve"> the EU Cohesion Policy funds in 2021-27 (around 220 million of euros in total). These measures </w:t>
      </w:r>
      <w:r w:rsidR="00C729D4">
        <w:rPr>
          <w:lang w:val="en-IE"/>
        </w:rPr>
        <w:t>aim</w:t>
      </w:r>
      <w:r w:rsidRPr="00717B6A">
        <w:rPr>
          <w:lang w:val="en-IE"/>
        </w:rPr>
        <w:t xml:space="preserve"> to support balanced territorial development and competitiveness</w:t>
      </w:r>
      <w:r w:rsidR="00C729D4">
        <w:rPr>
          <w:lang w:val="en-IE"/>
        </w:rPr>
        <w:t xml:space="preserve"> in</w:t>
      </w:r>
      <w:r w:rsidRPr="00717B6A">
        <w:rPr>
          <w:lang w:val="en-IE"/>
        </w:rPr>
        <w:t xml:space="preserve"> regions and cities.</w:t>
      </w:r>
      <w:r w:rsidRPr="00717B6A">
        <w:rPr>
          <w:lang w:val="et-EE"/>
        </w:rPr>
        <w:t xml:space="preserve"> </w:t>
      </w:r>
      <w:r w:rsidR="00C729D4">
        <w:rPr>
          <w:lang w:val="et-EE"/>
        </w:rPr>
        <w:t>N</w:t>
      </w:r>
      <w:r w:rsidRPr="00717B6A">
        <w:rPr>
          <w:lang w:val="en-IE"/>
        </w:rPr>
        <w:t xml:space="preserve">ew specific support measures have </w:t>
      </w:r>
      <w:r w:rsidR="00C729D4">
        <w:rPr>
          <w:lang w:val="en-IE"/>
        </w:rPr>
        <w:t xml:space="preserve">also </w:t>
      </w:r>
      <w:r w:rsidRPr="00717B6A">
        <w:rPr>
          <w:lang w:val="en-IE"/>
        </w:rPr>
        <w:t xml:space="preserve">been launched in recent years for regions with </w:t>
      </w:r>
      <w:r w:rsidR="00C729D4">
        <w:rPr>
          <w:lang w:val="en-IE"/>
        </w:rPr>
        <w:t xml:space="preserve">the </w:t>
      </w:r>
      <w:r w:rsidRPr="00717B6A">
        <w:rPr>
          <w:lang w:val="en-IE"/>
        </w:rPr>
        <w:t>biggest development challenges under the Ida-Virumaa and South-East Estonia programs.</w:t>
      </w:r>
    </w:p>
    <w:p w14:paraId="3A44CD14" w14:textId="28A2D321" w:rsidR="00717B6A" w:rsidRPr="00717B6A" w:rsidRDefault="00C729D4" w:rsidP="00717B6A">
      <w:pPr>
        <w:pStyle w:val="Para0"/>
      </w:pPr>
      <w:r>
        <w:rPr>
          <w:lang w:val="en-CA"/>
        </w:rPr>
        <w:t>A</w:t>
      </w:r>
      <w:r w:rsidR="00717B6A" w:rsidRPr="00717B6A">
        <w:t xml:space="preserve"> special </w:t>
      </w:r>
      <w:r w:rsidR="00717B6A" w:rsidRPr="00717B6A">
        <w:rPr>
          <w:iCs/>
        </w:rPr>
        <w:t>territorial transition plan for North-Eastern Estonia</w:t>
      </w:r>
      <w:r w:rsidR="00717B6A" w:rsidRPr="00717B6A">
        <w:t xml:space="preserve"> </w:t>
      </w:r>
      <w:r>
        <w:t>was</w:t>
      </w:r>
      <w:r w:rsidR="00717B6A" w:rsidRPr="00717B6A">
        <w:t xml:space="preserve"> endorsed by the European Commission in 2022 </w:t>
      </w:r>
      <w:r>
        <w:t xml:space="preserve">and </w:t>
      </w:r>
      <w:r w:rsidR="00717B6A" w:rsidRPr="00717B6A">
        <w:t>plan</w:t>
      </w:r>
      <w:r>
        <w:t>s for</w:t>
      </w:r>
      <w:r w:rsidR="00717B6A" w:rsidRPr="00717B6A">
        <w:t xml:space="preserve"> various grant schemes and other support activities to promote the economic and labour market restructuring (around 80% of funding) and social and living environment transition processes (around 20% of funding) in this area. The plan will be funded </w:t>
      </w:r>
      <w:r>
        <w:t>by</w:t>
      </w:r>
      <w:r w:rsidR="00717B6A" w:rsidRPr="00717B6A">
        <w:t xml:space="preserve"> the EU Just Transition Fund </w:t>
      </w:r>
      <w:r>
        <w:t>(</w:t>
      </w:r>
      <w:r w:rsidR="00717B6A" w:rsidRPr="00717B6A">
        <w:t>340 million euros</w:t>
      </w:r>
      <w:r>
        <w:t>)</w:t>
      </w:r>
      <w:r w:rsidR="00717B6A" w:rsidRPr="00717B6A">
        <w:t xml:space="preserve">, </w:t>
      </w:r>
      <w:r>
        <w:t>i.e.,</w:t>
      </w:r>
      <w:r w:rsidR="00717B6A" w:rsidRPr="00717B6A">
        <w:t xml:space="preserve"> around 2500 euros per inhabitant. North-Eastern Estonia is an area of oil-shale energy production and other carbon-intensive industries that has </w:t>
      </w:r>
      <w:r>
        <w:t>contributed to</w:t>
      </w:r>
      <w:r w:rsidR="00717B6A" w:rsidRPr="00717B6A">
        <w:t xml:space="preserve"> the </w:t>
      </w:r>
      <w:r>
        <w:t>largest</w:t>
      </w:r>
      <w:r w:rsidR="00717B6A" w:rsidRPr="00717B6A">
        <w:t xml:space="preserve"> share of Estonian carbon emissions and is thereby also most remarkably influenced by decarbonisation processes and transition towards green and carbon-neutral economy and energy production.</w:t>
      </w:r>
    </w:p>
    <w:p w14:paraId="11553EC4" w14:textId="70B98678" w:rsidR="00717B6A" w:rsidRPr="00717B6A" w:rsidRDefault="00717B6A" w:rsidP="00717B6A">
      <w:pPr>
        <w:pStyle w:val="Para0"/>
        <w:rPr>
          <w:lang w:val="en-MY"/>
        </w:rPr>
      </w:pPr>
      <w:r w:rsidRPr="00717B6A">
        <w:rPr>
          <w:lang w:val="en-MY"/>
        </w:rPr>
        <w:t xml:space="preserve"> The national Government has </w:t>
      </w:r>
      <w:r w:rsidR="00C729D4">
        <w:rPr>
          <w:lang w:val="en-MY"/>
        </w:rPr>
        <w:t>assigned</w:t>
      </w:r>
      <w:r w:rsidRPr="00717B6A">
        <w:rPr>
          <w:lang w:val="en-MY"/>
        </w:rPr>
        <w:t xml:space="preserve"> sectorial ministries </w:t>
      </w:r>
      <w:r w:rsidRPr="00717B6A">
        <w:rPr>
          <w:iCs/>
          <w:lang w:val="en-MY"/>
        </w:rPr>
        <w:t xml:space="preserve">to take the regional development challenges and impacts </w:t>
      </w:r>
      <w:r w:rsidR="00C729D4" w:rsidRPr="00717B6A">
        <w:rPr>
          <w:iCs/>
          <w:lang w:val="en-MY"/>
        </w:rPr>
        <w:t xml:space="preserve">into account </w:t>
      </w:r>
      <w:r w:rsidR="00C729D4">
        <w:rPr>
          <w:iCs/>
          <w:lang w:val="en-MY"/>
        </w:rPr>
        <w:t>when</w:t>
      </w:r>
      <w:r w:rsidRPr="00717B6A">
        <w:rPr>
          <w:iCs/>
          <w:lang w:val="en-MY"/>
        </w:rPr>
        <w:t xml:space="preserve"> designing foreign aid support measures</w:t>
      </w:r>
      <w:r w:rsidRPr="00717B6A">
        <w:rPr>
          <w:lang w:val="et-EE"/>
        </w:rPr>
        <w:t xml:space="preserve"> </w:t>
      </w:r>
      <w:r w:rsidRPr="00717B6A">
        <w:rPr>
          <w:lang w:val="en-MY"/>
        </w:rPr>
        <w:t xml:space="preserve">funded </w:t>
      </w:r>
      <w:r w:rsidR="00C729D4">
        <w:rPr>
          <w:lang w:val="en-MY"/>
        </w:rPr>
        <w:t>by</w:t>
      </w:r>
      <w:r w:rsidRPr="00717B6A">
        <w:rPr>
          <w:lang w:val="en-MY"/>
        </w:rPr>
        <w:t xml:space="preserve"> the EU funds of 2021-2027 and </w:t>
      </w:r>
      <w:r w:rsidR="00C729D4">
        <w:rPr>
          <w:lang w:val="en-MY"/>
        </w:rPr>
        <w:t xml:space="preserve">to </w:t>
      </w:r>
      <w:r w:rsidRPr="00717B6A">
        <w:rPr>
          <w:lang w:val="en-MY"/>
        </w:rPr>
        <w:t>plan concrete solutions to strengthen their compliance with the balanced territorial development target</w:t>
      </w:r>
      <w:r w:rsidR="00C729D4">
        <w:rPr>
          <w:lang w:val="en-MY"/>
        </w:rPr>
        <w:t xml:space="preserve"> and a</w:t>
      </w:r>
      <w:r w:rsidRPr="00717B6A">
        <w:rPr>
          <w:lang w:val="en-MY"/>
        </w:rPr>
        <w:t xml:space="preserve"> special </w:t>
      </w:r>
      <w:r w:rsidRPr="00717B6A">
        <w:rPr>
          <w:iCs/>
          <w:lang w:val="en-MY"/>
        </w:rPr>
        <w:t>guideline</w:t>
      </w:r>
      <w:r w:rsidRPr="00717B6A">
        <w:rPr>
          <w:lang w:val="en-MY"/>
        </w:rPr>
        <w:t xml:space="preserve"> </w:t>
      </w:r>
      <w:r w:rsidR="00C729D4">
        <w:rPr>
          <w:lang w:val="en-MY"/>
        </w:rPr>
        <w:t>was</w:t>
      </w:r>
      <w:r w:rsidRPr="00717B6A">
        <w:rPr>
          <w:lang w:val="en-MY"/>
        </w:rPr>
        <w:t xml:space="preserve"> prepared </w:t>
      </w:r>
      <w:r w:rsidR="00C729D4">
        <w:rPr>
          <w:lang w:val="en-MY"/>
        </w:rPr>
        <w:t>to support this</w:t>
      </w:r>
      <w:r w:rsidRPr="00717B6A">
        <w:rPr>
          <w:lang w:val="en-MY"/>
        </w:rPr>
        <w:t xml:space="preserve"> process</w:t>
      </w:r>
      <w:r w:rsidR="00C729D4">
        <w:rPr>
          <w:lang w:val="en-MY"/>
        </w:rPr>
        <w:t>.</w:t>
      </w:r>
    </w:p>
    <w:p w14:paraId="501FD4A6" w14:textId="77777777" w:rsidR="00C729D4" w:rsidRDefault="00717B6A" w:rsidP="00717B6A">
      <w:pPr>
        <w:pStyle w:val="Para0"/>
      </w:pPr>
      <w:r w:rsidRPr="00717B6A">
        <w:t>To strengthen the fiscal capacity of local governments</w:t>
      </w:r>
      <w:r w:rsidR="00C729D4">
        <w:t>,</w:t>
      </w:r>
      <w:r w:rsidRPr="00717B6A">
        <w:t xml:space="preserve"> the income tax allocated to local governments was increased by 0.3% (about 34 million euros more in each financial year in 2021 prices) and the equalisation fund added another 25 million euros. In total, the revenue of local governments from the income tax and equalisation fund increased by 4.2% in 2021.</w:t>
      </w:r>
    </w:p>
    <w:p w14:paraId="7358F050" w14:textId="4CDC3EAF" w:rsidR="00717B6A" w:rsidRPr="00717B6A" w:rsidRDefault="00C729D4" w:rsidP="00717B6A">
      <w:pPr>
        <w:pStyle w:val="Para0"/>
        <w:rPr>
          <w:lang w:val="en-MY"/>
        </w:rPr>
      </w:pPr>
      <w:r>
        <w:t>T</w:t>
      </w:r>
      <w:r w:rsidR="00717B6A" w:rsidRPr="00717B6A">
        <w:t xml:space="preserve">he national government </w:t>
      </w:r>
      <w:r>
        <w:t>supported</w:t>
      </w:r>
      <w:r w:rsidR="00717B6A" w:rsidRPr="00717B6A">
        <w:t xml:space="preserve"> local governments in times of cris</w:t>
      </w:r>
      <w:r>
        <w:t>e</w:t>
      </w:r>
      <w:r w:rsidR="00717B6A" w:rsidRPr="00717B6A">
        <w:t>s. During the COVID-19 crisis (2020</w:t>
      </w:r>
      <w:r>
        <w:t>-</w:t>
      </w:r>
      <w:r w:rsidR="00717B6A" w:rsidRPr="00717B6A">
        <w:t>21), local governments received 176 million euros of additional dedicated support. In 2022</w:t>
      </w:r>
      <w:r>
        <w:t>,</w:t>
      </w:r>
      <w:r w:rsidR="00717B6A" w:rsidRPr="00717B6A">
        <w:t xml:space="preserve"> 2.5 million euros were allocated to local governments for providing emergency assistance to the Ukrainian war refugees and about 80 million for the provision of services.</w:t>
      </w:r>
    </w:p>
    <w:p w14:paraId="133F3F9B" w14:textId="6C5D2072" w:rsidR="00BA1895" w:rsidRPr="00D12CD8" w:rsidRDefault="00C729D4" w:rsidP="00D12CD8">
      <w:pPr>
        <w:pStyle w:val="Para0"/>
        <w:rPr>
          <w:rFonts w:ascii="Arial Narrow" w:hAnsi="Arial Narrow" w:cs="Arial"/>
          <w:color w:val="0070C0"/>
          <w:szCs w:val="20"/>
          <w:lang w:val="et-EE"/>
        </w:rPr>
      </w:pPr>
      <w:r>
        <w:rPr>
          <w:lang w:val="en-MY"/>
        </w:rPr>
        <w:t>I</w:t>
      </w:r>
      <w:r w:rsidR="00717B6A" w:rsidRPr="00717B6A">
        <w:rPr>
          <w:lang w:val="en-MY"/>
        </w:rPr>
        <w:t>n 2022</w:t>
      </w:r>
      <w:r>
        <w:rPr>
          <w:lang w:val="en-MY"/>
        </w:rPr>
        <w:t xml:space="preserve">, Estonia </w:t>
      </w:r>
      <w:r w:rsidR="00717B6A" w:rsidRPr="00717B6A">
        <w:rPr>
          <w:lang w:val="en-MY"/>
        </w:rPr>
        <w:t>launched</w:t>
      </w:r>
      <w:r w:rsidR="00717B6A" w:rsidRPr="00717B6A">
        <w:t xml:space="preserve"> </w:t>
      </w:r>
      <w:r w:rsidR="00717B6A" w:rsidRPr="00C729D4">
        <w:rPr>
          <w:iCs/>
        </w:rPr>
        <w:t>regional development agreements/’deals’</w:t>
      </w:r>
      <w:r w:rsidR="00717B6A" w:rsidRPr="00717B6A">
        <w:rPr>
          <w:i/>
        </w:rPr>
        <w:t xml:space="preserve"> </w:t>
      </w:r>
      <w:r w:rsidR="00717B6A" w:rsidRPr="00C729D4">
        <w:rPr>
          <w:iCs/>
        </w:rPr>
        <w:t>for the pilot areas of Central- and South-Easter Estonia</w:t>
      </w:r>
      <w:r w:rsidR="00717B6A" w:rsidRPr="00717B6A">
        <w:rPr>
          <w:i/>
        </w:rPr>
        <w:t xml:space="preserve"> </w:t>
      </w:r>
      <w:r w:rsidR="00717B6A" w:rsidRPr="00717B6A">
        <w:t xml:space="preserve">in parallel with </w:t>
      </w:r>
      <w:r w:rsidR="00717B6A" w:rsidRPr="00C729D4">
        <w:rPr>
          <w:iCs/>
        </w:rPr>
        <w:t>setting up regional councils</w:t>
      </w:r>
      <w:r w:rsidR="00717B6A" w:rsidRPr="00717B6A">
        <w:t xml:space="preserve"> mandated </w:t>
      </w:r>
      <w:r>
        <w:t>to</w:t>
      </w:r>
      <w:r w:rsidR="00717B6A" w:rsidRPr="00717B6A">
        <w:t xml:space="preserve"> coordinat</w:t>
      </w:r>
      <w:r>
        <w:t xml:space="preserve">e </w:t>
      </w:r>
      <w:r w:rsidR="00717B6A" w:rsidRPr="00717B6A">
        <w:t xml:space="preserve">their elaboration </w:t>
      </w:r>
      <w:r w:rsidR="00717B6A" w:rsidRPr="00717B6A">
        <w:lastRenderedPageBreak/>
        <w:t xml:space="preserve">and implementation. The regional agreements </w:t>
      </w:r>
      <w:r>
        <w:t>are</w:t>
      </w:r>
      <w:r w:rsidR="00717B6A" w:rsidRPr="00717B6A">
        <w:t xml:space="preserve"> anticipated to become agreements between central and local governments and other regional stakeholders on the objectives, key economic sectors and activities and financing for increasing regional economic competitiveness in region</w:t>
      </w:r>
      <w:r w:rsidR="00D12CD8">
        <w:t>s</w:t>
      </w:r>
      <w:r w:rsidR="00717B6A" w:rsidRPr="00717B6A">
        <w:t xml:space="preserve"> larger than a county.</w:t>
      </w:r>
      <w:r w:rsidR="00717B6A" w:rsidRPr="00717B6A">
        <w:rPr>
          <w:lang w:val="en-MY"/>
        </w:rPr>
        <w:t xml:space="preserve"> </w:t>
      </w:r>
    </w:p>
    <w:bookmarkEnd w:id="1"/>
    <w:sectPr w:rsidR="00BA1895" w:rsidRPr="00D12CD8" w:rsidSect="003C4738">
      <w:headerReference w:type="even" r:id="rId15"/>
      <w:headerReference w:type="default" r:id="rId16"/>
      <w:footerReference w:type="even" r:id="rId17"/>
      <w:footerReference w:type="default" r:id="rId18"/>
      <w:headerReference w:type="first" r:id="rId19"/>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6285C" w14:textId="77777777" w:rsidR="00E01F58" w:rsidRDefault="00E01F58" w:rsidP="00CC3749"/>
  </w:endnote>
  <w:endnote w:type="continuationSeparator" w:id="0">
    <w:p w14:paraId="599D4DB2" w14:textId="77777777" w:rsidR="00E01F58" w:rsidRPr="00CF4424" w:rsidRDefault="00E01F58" w:rsidP="00CF4424">
      <w:pPr>
        <w:pStyle w:val="Footer"/>
        <w:jc w:val="both"/>
      </w:pPr>
    </w:p>
  </w:endnote>
  <w:endnote w:type="continuationNotice" w:id="1">
    <w:p w14:paraId="47C2E926" w14:textId="77777777" w:rsidR="00E01F58" w:rsidRDefault="00E01F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217002386"/>
      <w:lock w:val="sdtLocked"/>
    </w:sdtPr>
    <w:sdtEndPr/>
    <w:sdtContent>
      <w:p w14:paraId="125FDBC1" w14:textId="77777777" w:rsidR="00E01F58" w:rsidRDefault="00E01F58" w:rsidP="004E100F">
        <w:pPr>
          <w:pStyle w:val="Footer"/>
          <w:jc w:val="right"/>
        </w:pPr>
        <w:r>
          <w:t xml:space="preserve"> </w:t>
        </w:r>
      </w:p>
    </w:sdtContent>
  </w:sdt>
  <w:sdt>
    <w:sdtPr>
      <w:alias w:val="Classification"/>
      <w:tag w:val="txtHeaderClassif"/>
      <w:id w:val="-1918931641"/>
      <w:lock w:val="sdtLocked"/>
    </w:sdtPr>
    <w:sdtEndPr/>
    <w:sdtContent>
      <w:p w14:paraId="027E26CD" w14:textId="77777777" w:rsidR="00E01F58" w:rsidRDefault="00E01F58"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E01F58" w:rsidRPr="00FD7BD8" w:rsidRDefault="00E01F58"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E01F58" w:rsidRPr="00FD7BD8" w:rsidRDefault="00E01F58"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8940E" w14:textId="77777777" w:rsidR="00E01F58" w:rsidRDefault="00E01F58" w:rsidP="00CC3749">
      <w:r>
        <w:separator/>
      </w:r>
    </w:p>
  </w:footnote>
  <w:footnote w:type="continuationSeparator" w:id="0">
    <w:p w14:paraId="3F8136AC" w14:textId="77777777" w:rsidR="00E01F58" w:rsidRDefault="00E01F58" w:rsidP="00CC3749">
      <w:r>
        <w:continuationSeparator/>
      </w:r>
    </w:p>
  </w:footnote>
  <w:footnote w:type="continuationNotice" w:id="1">
    <w:p w14:paraId="3E2773DA" w14:textId="77777777" w:rsidR="00E01F58" w:rsidRDefault="00E01F58"/>
  </w:footnote>
  <w:footnote w:id="2">
    <w:p w14:paraId="1E1F78CD" w14:textId="217F0247" w:rsidR="00E01F58" w:rsidRPr="00B41A71" w:rsidRDefault="00E01F58" w:rsidP="00BD327C">
      <w:pPr>
        <w:pStyle w:val="FootnoteText"/>
        <w:spacing w:line="228" w:lineRule="auto"/>
        <w:rPr>
          <w:lang w:val="en-IE"/>
        </w:rPr>
      </w:pPr>
      <w:r w:rsidRPr="00B41A71">
        <w:rPr>
          <w:rStyle w:val="FootnoteReference"/>
          <w:lang w:val="en-IE"/>
        </w:rPr>
        <w:footnoteRef/>
      </w:r>
      <w:r w:rsidRPr="00B41A71">
        <w:rPr>
          <w:lang w:val="en-IE"/>
        </w:rPr>
        <w:t xml:space="preserve"> </w:t>
      </w:r>
      <w:r w:rsidRPr="00CC13D4">
        <w:rPr>
          <w:szCs w:val="18"/>
          <w:lang w:val="en-IE"/>
        </w:rPr>
        <w:t xml:space="preserve">In Estonia there is one tier of local governance system. Counties are not municipal administrative units as such, but territories where local governments jointly plan and implement development activities of </w:t>
      </w:r>
      <w:r>
        <w:rPr>
          <w:szCs w:val="18"/>
          <w:lang w:val="en-IE"/>
        </w:rPr>
        <w:t>broader</w:t>
      </w:r>
      <w:r w:rsidRPr="00CC13D4">
        <w:rPr>
          <w:szCs w:val="18"/>
          <w:lang w:val="en-IE"/>
        </w:rPr>
        <w:t xml:space="preserve"> regional importance and manage some public services (public transport for instance).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6CB2AAF7" w:rsidR="00E01F58" w:rsidRDefault="007A4F39"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516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E01F58" w:rsidRPr="00CC3749">
          <w:rPr>
            <w:rStyle w:val="PageNumber"/>
          </w:rPr>
          <w:fldChar w:fldCharType="begin"/>
        </w:r>
        <w:r w:rsidR="00E01F58" w:rsidRPr="00CC3749">
          <w:rPr>
            <w:rStyle w:val="PageNumber"/>
          </w:rPr>
          <w:instrText xml:space="preserve"> PAGE   \* MERGEFORMAT </w:instrText>
        </w:r>
        <w:r w:rsidR="00E01F58" w:rsidRPr="00CC3749">
          <w:rPr>
            <w:rStyle w:val="PageNumber"/>
          </w:rPr>
          <w:fldChar w:fldCharType="separate"/>
        </w:r>
        <w:r w:rsidR="00E31E9B">
          <w:rPr>
            <w:rStyle w:val="PageNumber"/>
            <w:noProof/>
          </w:rPr>
          <w:t>10</w:t>
        </w:r>
        <w:r w:rsidR="00E01F58" w:rsidRPr="00CC3749">
          <w:rPr>
            <w:rStyle w:val="PageNumber"/>
            <w:noProof/>
          </w:rPr>
          <w:fldChar w:fldCharType="end"/>
        </w:r>
      </w:sdtContent>
    </w:sdt>
    <w:r w:rsidR="00E01F58">
      <w:t xml:space="preserve"> </w:t>
    </w:r>
    <w:r w:rsidR="00E01F58">
      <w:sym w:font="Symbol" w:char="F07C"/>
    </w:r>
    <w:r w:rsidR="00E01F58">
      <w:t xml:space="preserve"> </w:t>
    </w:r>
    <w:sdt>
      <w:sdtPr>
        <w:rPr>
          <w:rStyle w:val="HeaderTitle"/>
        </w:rPr>
        <w:alias w:val="Cote/Chapter"/>
        <w:tag w:val="txtHeaderValue"/>
        <w:id w:val="-308635562"/>
        <w:lock w:val="sdtLocked"/>
      </w:sdtPr>
      <w:sdtEndPr>
        <w:rPr>
          <w:rStyle w:val="DefaultParagraphFont"/>
          <w:caps w:val="0"/>
          <w:sz w:val="22"/>
        </w:rPr>
      </w:sdtEndPr>
      <w:sdtContent>
        <w:r w:rsidR="00E01F58">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42F181F4" w:rsidR="00E01F58" w:rsidRDefault="007A4F39"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312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E01F58">
          <w:rPr>
            <w:rStyle w:val="HeaderTitle"/>
          </w:rPr>
          <w:t xml:space="preserve"> </w:t>
        </w:r>
      </w:sdtContent>
    </w:sdt>
    <w:r w:rsidR="00E01F58">
      <w:rPr>
        <w:rStyle w:val="PageNumber"/>
      </w:rPr>
      <w:t xml:space="preserve"> </w:t>
    </w:r>
    <w:r w:rsidR="00E01F58">
      <w:rPr>
        <w:rStyle w:val="PageNumber"/>
      </w:rPr>
      <w:sym w:font="Symbol" w:char="F07C"/>
    </w:r>
    <w:r w:rsidR="00E01F58">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E01F58" w:rsidRPr="00CC3749">
          <w:rPr>
            <w:rStyle w:val="PageNumber"/>
          </w:rPr>
          <w:fldChar w:fldCharType="begin"/>
        </w:r>
        <w:r w:rsidR="00E01F58" w:rsidRPr="00CC3749">
          <w:rPr>
            <w:rStyle w:val="PageNumber"/>
          </w:rPr>
          <w:instrText xml:space="preserve"> PAGE   \* MERGEFORMAT </w:instrText>
        </w:r>
        <w:r w:rsidR="00E01F58" w:rsidRPr="00CC3749">
          <w:rPr>
            <w:rStyle w:val="PageNumber"/>
          </w:rPr>
          <w:fldChar w:fldCharType="separate"/>
        </w:r>
        <w:r w:rsidR="00E31E9B">
          <w:rPr>
            <w:rStyle w:val="PageNumber"/>
            <w:noProof/>
          </w:rPr>
          <w:t>9</w:t>
        </w:r>
        <w:r w:rsidR="00E01F58"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E01F58" w:rsidRDefault="007A4F39">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7216;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0D151FEA"/>
    <w:multiLevelType w:val="hybridMultilevel"/>
    <w:tmpl w:val="FC6ECEF4"/>
    <w:lvl w:ilvl="0" w:tplc="CDACC29E">
      <w:start w:val="3"/>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2"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3"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022BA"/>
    <w:multiLevelType w:val="hybridMultilevel"/>
    <w:tmpl w:val="95320F26"/>
    <w:lvl w:ilvl="0" w:tplc="E68666F0">
      <w:numFmt w:val="bullet"/>
      <w:lvlText w:val="-"/>
      <w:lvlJc w:val="left"/>
      <w:pPr>
        <w:ind w:left="720" w:hanging="360"/>
      </w:pPr>
      <w:rPr>
        <w:rFonts w:ascii="Arial Narrow" w:eastAsiaTheme="minorHAnsi" w:hAnsi="Arial Narrow"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6" w15:restartNumberingAfterBreak="0">
    <w:nsid w:val="27A7685A"/>
    <w:multiLevelType w:val="hybridMultilevel"/>
    <w:tmpl w:val="3F762196"/>
    <w:lvl w:ilvl="0" w:tplc="0425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5180B05"/>
    <w:multiLevelType w:val="hybridMultilevel"/>
    <w:tmpl w:val="42EA6CB8"/>
    <w:lvl w:ilvl="0" w:tplc="CDACC29E">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1" w15:restartNumberingAfterBreak="0">
    <w:nsid w:val="4C8A09AE"/>
    <w:multiLevelType w:val="hybridMultilevel"/>
    <w:tmpl w:val="447E2218"/>
    <w:lvl w:ilvl="0" w:tplc="E4F89254">
      <w:start w:val="2035"/>
      <w:numFmt w:val="bullet"/>
      <w:lvlText w:val="-"/>
      <w:lvlJc w:val="left"/>
      <w:pPr>
        <w:ind w:left="410" w:hanging="360"/>
      </w:pPr>
      <w:rPr>
        <w:rFonts w:ascii="Calibri" w:eastAsia="Times New Roman" w:hAnsi="Calibri" w:cs="Times New Roman" w:hint="default"/>
      </w:rPr>
    </w:lvl>
    <w:lvl w:ilvl="1" w:tplc="04250003">
      <w:start w:val="1"/>
      <w:numFmt w:val="bullet"/>
      <w:lvlText w:val="o"/>
      <w:lvlJc w:val="left"/>
      <w:pPr>
        <w:ind w:left="1130" w:hanging="360"/>
      </w:pPr>
      <w:rPr>
        <w:rFonts w:ascii="Courier New" w:hAnsi="Courier New" w:cs="Times New Roman" w:hint="default"/>
      </w:rPr>
    </w:lvl>
    <w:lvl w:ilvl="2" w:tplc="04250005">
      <w:start w:val="1"/>
      <w:numFmt w:val="bullet"/>
      <w:lvlText w:val=""/>
      <w:lvlJc w:val="left"/>
      <w:pPr>
        <w:ind w:left="1850" w:hanging="360"/>
      </w:pPr>
      <w:rPr>
        <w:rFonts w:ascii="Wingdings" w:hAnsi="Wingdings" w:hint="default"/>
      </w:rPr>
    </w:lvl>
    <w:lvl w:ilvl="3" w:tplc="04250001">
      <w:start w:val="1"/>
      <w:numFmt w:val="bullet"/>
      <w:lvlText w:val=""/>
      <w:lvlJc w:val="left"/>
      <w:pPr>
        <w:ind w:left="2570" w:hanging="360"/>
      </w:pPr>
      <w:rPr>
        <w:rFonts w:ascii="Symbol" w:hAnsi="Symbol" w:hint="default"/>
      </w:rPr>
    </w:lvl>
    <w:lvl w:ilvl="4" w:tplc="04250003">
      <w:start w:val="1"/>
      <w:numFmt w:val="bullet"/>
      <w:lvlText w:val="o"/>
      <w:lvlJc w:val="left"/>
      <w:pPr>
        <w:ind w:left="3290" w:hanging="360"/>
      </w:pPr>
      <w:rPr>
        <w:rFonts w:ascii="Courier New" w:hAnsi="Courier New" w:cs="Times New Roman" w:hint="default"/>
      </w:rPr>
    </w:lvl>
    <w:lvl w:ilvl="5" w:tplc="04250005">
      <w:start w:val="1"/>
      <w:numFmt w:val="bullet"/>
      <w:lvlText w:val=""/>
      <w:lvlJc w:val="left"/>
      <w:pPr>
        <w:ind w:left="4010" w:hanging="360"/>
      </w:pPr>
      <w:rPr>
        <w:rFonts w:ascii="Wingdings" w:hAnsi="Wingdings" w:hint="default"/>
      </w:rPr>
    </w:lvl>
    <w:lvl w:ilvl="6" w:tplc="04250001">
      <w:start w:val="1"/>
      <w:numFmt w:val="bullet"/>
      <w:lvlText w:val=""/>
      <w:lvlJc w:val="left"/>
      <w:pPr>
        <w:ind w:left="4730" w:hanging="360"/>
      </w:pPr>
      <w:rPr>
        <w:rFonts w:ascii="Symbol" w:hAnsi="Symbol" w:hint="default"/>
      </w:rPr>
    </w:lvl>
    <w:lvl w:ilvl="7" w:tplc="04250003">
      <w:start w:val="1"/>
      <w:numFmt w:val="bullet"/>
      <w:lvlText w:val="o"/>
      <w:lvlJc w:val="left"/>
      <w:pPr>
        <w:ind w:left="5450" w:hanging="360"/>
      </w:pPr>
      <w:rPr>
        <w:rFonts w:ascii="Courier New" w:hAnsi="Courier New" w:cs="Times New Roman" w:hint="default"/>
      </w:rPr>
    </w:lvl>
    <w:lvl w:ilvl="8" w:tplc="04250005">
      <w:start w:val="1"/>
      <w:numFmt w:val="bullet"/>
      <w:lvlText w:val=""/>
      <w:lvlJc w:val="left"/>
      <w:pPr>
        <w:ind w:left="6170" w:hanging="360"/>
      </w:pPr>
      <w:rPr>
        <w:rFonts w:ascii="Wingdings" w:hAnsi="Wingdings" w:hint="default"/>
      </w:rPr>
    </w:lvl>
  </w:abstractNum>
  <w:abstractNum w:abstractNumId="12"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3" w15:restartNumberingAfterBreak="0">
    <w:nsid w:val="6397744D"/>
    <w:multiLevelType w:val="hybridMultilevel"/>
    <w:tmpl w:val="606EEA40"/>
    <w:lvl w:ilvl="0" w:tplc="CDACC29E">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5976496"/>
    <w:multiLevelType w:val="hybridMultilevel"/>
    <w:tmpl w:val="5AB4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920582"/>
    <w:multiLevelType w:val="hybridMultilevel"/>
    <w:tmpl w:val="87DECB9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4607156">
    <w:abstractNumId w:val="5"/>
  </w:num>
  <w:num w:numId="2" w16cid:durableId="1535338709">
    <w:abstractNumId w:val="7"/>
  </w:num>
  <w:num w:numId="3" w16cid:durableId="2138374646">
    <w:abstractNumId w:val="3"/>
  </w:num>
  <w:num w:numId="4" w16cid:durableId="1694989231">
    <w:abstractNumId w:val="9"/>
  </w:num>
  <w:num w:numId="5" w16cid:durableId="303504609">
    <w:abstractNumId w:val="2"/>
  </w:num>
  <w:num w:numId="6" w16cid:durableId="2072459241">
    <w:abstractNumId w:val="12"/>
  </w:num>
  <w:num w:numId="7" w16cid:durableId="1824539619">
    <w:abstractNumId w:val="10"/>
  </w:num>
  <w:num w:numId="8" w16cid:durableId="398672546">
    <w:abstractNumId w:val="0"/>
  </w:num>
  <w:num w:numId="9" w16cid:durableId="764888075">
    <w:abstractNumId w:val="16"/>
  </w:num>
  <w:num w:numId="10" w16cid:durableId="1793786086">
    <w:abstractNumId w:val="4"/>
  </w:num>
  <w:num w:numId="11" w16cid:durableId="2003771530">
    <w:abstractNumId w:val="6"/>
  </w:num>
  <w:num w:numId="12" w16cid:durableId="1047492821">
    <w:abstractNumId w:val="8"/>
  </w:num>
  <w:num w:numId="13" w16cid:durableId="147863051">
    <w:abstractNumId w:val="11"/>
  </w:num>
  <w:num w:numId="14" w16cid:durableId="1367634197">
    <w:abstractNumId w:val="13"/>
  </w:num>
  <w:num w:numId="15" w16cid:durableId="1839078265">
    <w:abstractNumId w:val="1"/>
  </w:num>
  <w:num w:numId="16" w16cid:durableId="1217543730">
    <w:abstractNumId w:val="15"/>
  </w:num>
  <w:num w:numId="17" w16cid:durableId="683943634">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1C29"/>
    <w:rsid w:val="000037D9"/>
    <w:rsid w:val="00004DAB"/>
    <w:rsid w:val="000064D6"/>
    <w:rsid w:val="00017230"/>
    <w:rsid w:val="00024178"/>
    <w:rsid w:val="00027D14"/>
    <w:rsid w:val="00030E8C"/>
    <w:rsid w:val="000338B2"/>
    <w:rsid w:val="00033E50"/>
    <w:rsid w:val="0004402D"/>
    <w:rsid w:val="00044517"/>
    <w:rsid w:val="000454E8"/>
    <w:rsid w:val="00046DAE"/>
    <w:rsid w:val="00047F48"/>
    <w:rsid w:val="0005102C"/>
    <w:rsid w:val="00052575"/>
    <w:rsid w:val="00052588"/>
    <w:rsid w:val="00052AF9"/>
    <w:rsid w:val="000542B8"/>
    <w:rsid w:val="00055124"/>
    <w:rsid w:val="00055536"/>
    <w:rsid w:val="00064C7A"/>
    <w:rsid w:val="00064EF0"/>
    <w:rsid w:val="0007759B"/>
    <w:rsid w:val="00083BCB"/>
    <w:rsid w:val="00085197"/>
    <w:rsid w:val="000A5133"/>
    <w:rsid w:val="000A655C"/>
    <w:rsid w:val="000A69AD"/>
    <w:rsid w:val="000B03E2"/>
    <w:rsid w:val="000B74AE"/>
    <w:rsid w:val="000B7665"/>
    <w:rsid w:val="000B7B86"/>
    <w:rsid w:val="000C00F5"/>
    <w:rsid w:val="000C0FE0"/>
    <w:rsid w:val="000C1D34"/>
    <w:rsid w:val="000C1DF4"/>
    <w:rsid w:val="000C7342"/>
    <w:rsid w:val="000D34F9"/>
    <w:rsid w:val="000D4550"/>
    <w:rsid w:val="000D470D"/>
    <w:rsid w:val="000D65EB"/>
    <w:rsid w:val="000E0DC7"/>
    <w:rsid w:val="000E2815"/>
    <w:rsid w:val="000E5F57"/>
    <w:rsid w:val="000F040F"/>
    <w:rsid w:val="000F2925"/>
    <w:rsid w:val="000F45F1"/>
    <w:rsid w:val="000F6863"/>
    <w:rsid w:val="000F68AF"/>
    <w:rsid w:val="000F698B"/>
    <w:rsid w:val="00101323"/>
    <w:rsid w:val="00104DD2"/>
    <w:rsid w:val="00111592"/>
    <w:rsid w:val="00111878"/>
    <w:rsid w:val="00111A19"/>
    <w:rsid w:val="0011701E"/>
    <w:rsid w:val="0011730B"/>
    <w:rsid w:val="00130B1E"/>
    <w:rsid w:val="001313D9"/>
    <w:rsid w:val="00132E78"/>
    <w:rsid w:val="00146063"/>
    <w:rsid w:val="0015065F"/>
    <w:rsid w:val="00150FAB"/>
    <w:rsid w:val="00151A49"/>
    <w:rsid w:val="00151AE5"/>
    <w:rsid w:val="001535B9"/>
    <w:rsid w:val="00157A58"/>
    <w:rsid w:val="00160B10"/>
    <w:rsid w:val="00160D78"/>
    <w:rsid w:val="001641D6"/>
    <w:rsid w:val="00170C55"/>
    <w:rsid w:val="00171769"/>
    <w:rsid w:val="00172819"/>
    <w:rsid w:val="00173418"/>
    <w:rsid w:val="00183469"/>
    <w:rsid w:val="001873E8"/>
    <w:rsid w:val="00192BE9"/>
    <w:rsid w:val="001931F5"/>
    <w:rsid w:val="001933C5"/>
    <w:rsid w:val="00196642"/>
    <w:rsid w:val="00197D39"/>
    <w:rsid w:val="001B2144"/>
    <w:rsid w:val="001B2FAD"/>
    <w:rsid w:val="001B4E01"/>
    <w:rsid w:val="001B66C9"/>
    <w:rsid w:val="001C0B13"/>
    <w:rsid w:val="001C1F73"/>
    <w:rsid w:val="001C4E4F"/>
    <w:rsid w:val="001C617B"/>
    <w:rsid w:val="001D3952"/>
    <w:rsid w:val="001D3AE4"/>
    <w:rsid w:val="001E1F22"/>
    <w:rsid w:val="001E3FAA"/>
    <w:rsid w:val="001E6BC0"/>
    <w:rsid w:val="001F0135"/>
    <w:rsid w:val="001F11B3"/>
    <w:rsid w:val="001F18A8"/>
    <w:rsid w:val="001F63FD"/>
    <w:rsid w:val="001F6920"/>
    <w:rsid w:val="001F76B3"/>
    <w:rsid w:val="00201266"/>
    <w:rsid w:val="00202409"/>
    <w:rsid w:val="00203113"/>
    <w:rsid w:val="00203CC1"/>
    <w:rsid w:val="00210A5D"/>
    <w:rsid w:val="0021170C"/>
    <w:rsid w:val="00211809"/>
    <w:rsid w:val="00224AC3"/>
    <w:rsid w:val="0022556E"/>
    <w:rsid w:val="00237440"/>
    <w:rsid w:val="00237A1B"/>
    <w:rsid w:val="002478A2"/>
    <w:rsid w:val="0025481A"/>
    <w:rsid w:val="002565E1"/>
    <w:rsid w:val="002632A5"/>
    <w:rsid w:val="00263627"/>
    <w:rsid w:val="002638A7"/>
    <w:rsid w:val="00271061"/>
    <w:rsid w:val="002714AA"/>
    <w:rsid w:val="0027449D"/>
    <w:rsid w:val="00275477"/>
    <w:rsid w:val="00280D51"/>
    <w:rsid w:val="002818F4"/>
    <w:rsid w:val="0028212B"/>
    <w:rsid w:val="00287ED5"/>
    <w:rsid w:val="00296CE1"/>
    <w:rsid w:val="002A2091"/>
    <w:rsid w:val="002A226D"/>
    <w:rsid w:val="002A305F"/>
    <w:rsid w:val="002A5FB3"/>
    <w:rsid w:val="002A6B56"/>
    <w:rsid w:val="002B353F"/>
    <w:rsid w:val="002C1DD6"/>
    <w:rsid w:val="002D624E"/>
    <w:rsid w:val="002E0230"/>
    <w:rsid w:val="002E4009"/>
    <w:rsid w:val="002F3A06"/>
    <w:rsid w:val="002F605B"/>
    <w:rsid w:val="002F6A13"/>
    <w:rsid w:val="00303173"/>
    <w:rsid w:val="00305C43"/>
    <w:rsid w:val="00306BB7"/>
    <w:rsid w:val="00310601"/>
    <w:rsid w:val="003165AC"/>
    <w:rsid w:val="003176D9"/>
    <w:rsid w:val="00321CEA"/>
    <w:rsid w:val="00322CB9"/>
    <w:rsid w:val="00323108"/>
    <w:rsid w:val="0032330D"/>
    <w:rsid w:val="00324483"/>
    <w:rsid w:val="00326CAE"/>
    <w:rsid w:val="003276FA"/>
    <w:rsid w:val="00333261"/>
    <w:rsid w:val="003351B6"/>
    <w:rsid w:val="00337396"/>
    <w:rsid w:val="00347AA2"/>
    <w:rsid w:val="00350662"/>
    <w:rsid w:val="00350963"/>
    <w:rsid w:val="00350CCC"/>
    <w:rsid w:val="0035293B"/>
    <w:rsid w:val="00356A32"/>
    <w:rsid w:val="003570CA"/>
    <w:rsid w:val="003578FC"/>
    <w:rsid w:val="00366BED"/>
    <w:rsid w:val="00372918"/>
    <w:rsid w:val="00375A7C"/>
    <w:rsid w:val="00376570"/>
    <w:rsid w:val="00381AB2"/>
    <w:rsid w:val="00386F03"/>
    <w:rsid w:val="003957E7"/>
    <w:rsid w:val="003A3A69"/>
    <w:rsid w:val="003A72FB"/>
    <w:rsid w:val="003B0961"/>
    <w:rsid w:val="003B0FCE"/>
    <w:rsid w:val="003B2EF0"/>
    <w:rsid w:val="003B312C"/>
    <w:rsid w:val="003B42F8"/>
    <w:rsid w:val="003C0274"/>
    <w:rsid w:val="003C4738"/>
    <w:rsid w:val="003C6E42"/>
    <w:rsid w:val="003C7E08"/>
    <w:rsid w:val="003D0071"/>
    <w:rsid w:val="003D0145"/>
    <w:rsid w:val="003D0718"/>
    <w:rsid w:val="003D0D81"/>
    <w:rsid w:val="003D283F"/>
    <w:rsid w:val="003D2EAC"/>
    <w:rsid w:val="003E0362"/>
    <w:rsid w:val="003E2E5C"/>
    <w:rsid w:val="003E5BE5"/>
    <w:rsid w:val="003E5D6B"/>
    <w:rsid w:val="003E6393"/>
    <w:rsid w:val="003E7235"/>
    <w:rsid w:val="003F3341"/>
    <w:rsid w:val="003F3E9F"/>
    <w:rsid w:val="004036CB"/>
    <w:rsid w:val="00403A1F"/>
    <w:rsid w:val="00403D59"/>
    <w:rsid w:val="00404A52"/>
    <w:rsid w:val="00407712"/>
    <w:rsid w:val="004120ED"/>
    <w:rsid w:val="004230BA"/>
    <w:rsid w:val="004234CE"/>
    <w:rsid w:val="004243B4"/>
    <w:rsid w:val="00424AB0"/>
    <w:rsid w:val="004259A6"/>
    <w:rsid w:val="004320EE"/>
    <w:rsid w:val="004348F1"/>
    <w:rsid w:val="00440FA5"/>
    <w:rsid w:val="00444C08"/>
    <w:rsid w:val="00446060"/>
    <w:rsid w:val="004521B5"/>
    <w:rsid w:val="004529B7"/>
    <w:rsid w:val="00452DA0"/>
    <w:rsid w:val="00455FFE"/>
    <w:rsid w:val="00456142"/>
    <w:rsid w:val="00456E03"/>
    <w:rsid w:val="004600ED"/>
    <w:rsid w:val="0046190C"/>
    <w:rsid w:val="00461C3F"/>
    <w:rsid w:val="0046201C"/>
    <w:rsid w:val="004622CF"/>
    <w:rsid w:val="00462721"/>
    <w:rsid w:val="00464ED3"/>
    <w:rsid w:val="004661B2"/>
    <w:rsid w:val="00467C30"/>
    <w:rsid w:val="0048557D"/>
    <w:rsid w:val="00485A2E"/>
    <w:rsid w:val="00493060"/>
    <w:rsid w:val="004A00A8"/>
    <w:rsid w:val="004A117A"/>
    <w:rsid w:val="004A169B"/>
    <w:rsid w:val="004A1A3F"/>
    <w:rsid w:val="004A1A7B"/>
    <w:rsid w:val="004A31F1"/>
    <w:rsid w:val="004A42ED"/>
    <w:rsid w:val="004A6F9B"/>
    <w:rsid w:val="004B03CF"/>
    <w:rsid w:val="004B163D"/>
    <w:rsid w:val="004B3675"/>
    <w:rsid w:val="004B6642"/>
    <w:rsid w:val="004B7B10"/>
    <w:rsid w:val="004C01A6"/>
    <w:rsid w:val="004C0F00"/>
    <w:rsid w:val="004C102F"/>
    <w:rsid w:val="004E100F"/>
    <w:rsid w:val="004E21C4"/>
    <w:rsid w:val="004E3712"/>
    <w:rsid w:val="004E4993"/>
    <w:rsid w:val="004F0BCD"/>
    <w:rsid w:val="004F1D9C"/>
    <w:rsid w:val="004F43FF"/>
    <w:rsid w:val="004F644E"/>
    <w:rsid w:val="004F6BF2"/>
    <w:rsid w:val="004F6CB7"/>
    <w:rsid w:val="005011D9"/>
    <w:rsid w:val="00502163"/>
    <w:rsid w:val="00502342"/>
    <w:rsid w:val="00502F65"/>
    <w:rsid w:val="005059C6"/>
    <w:rsid w:val="00510E93"/>
    <w:rsid w:val="00511263"/>
    <w:rsid w:val="00511381"/>
    <w:rsid w:val="00511FA2"/>
    <w:rsid w:val="00523806"/>
    <w:rsid w:val="00524708"/>
    <w:rsid w:val="00524825"/>
    <w:rsid w:val="0052749E"/>
    <w:rsid w:val="005317DE"/>
    <w:rsid w:val="00532FB1"/>
    <w:rsid w:val="00535F2B"/>
    <w:rsid w:val="005360A8"/>
    <w:rsid w:val="005361EC"/>
    <w:rsid w:val="00543135"/>
    <w:rsid w:val="005451F5"/>
    <w:rsid w:val="00547BA1"/>
    <w:rsid w:val="005527A6"/>
    <w:rsid w:val="0056288C"/>
    <w:rsid w:val="00565897"/>
    <w:rsid w:val="0056606B"/>
    <w:rsid w:val="00567146"/>
    <w:rsid w:val="00575855"/>
    <w:rsid w:val="00576984"/>
    <w:rsid w:val="00582D40"/>
    <w:rsid w:val="00593D13"/>
    <w:rsid w:val="00594B16"/>
    <w:rsid w:val="005A0A55"/>
    <w:rsid w:val="005A116C"/>
    <w:rsid w:val="005A41B4"/>
    <w:rsid w:val="005A4A42"/>
    <w:rsid w:val="005A6B81"/>
    <w:rsid w:val="005B20CF"/>
    <w:rsid w:val="005B2B29"/>
    <w:rsid w:val="005B734D"/>
    <w:rsid w:val="005B7CA2"/>
    <w:rsid w:val="005C116F"/>
    <w:rsid w:val="005C257E"/>
    <w:rsid w:val="005D25FC"/>
    <w:rsid w:val="005D450E"/>
    <w:rsid w:val="005D5F8F"/>
    <w:rsid w:val="005D7D42"/>
    <w:rsid w:val="005E2A01"/>
    <w:rsid w:val="005E3782"/>
    <w:rsid w:val="00603681"/>
    <w:rsid w:val="00605E45"/>
    <w:rsid w:val="0061216A"/>
    <w:rsid w:val="006128C8"/>
    <w:rsid w:val="00616527"/>
    <w:rsid w:val="006218BD"/>
    <w:rsid w:val="00622E0C"/>
    <w:rsid w:val="00623BE2"/>
    <w:rsid w:val="00625626"/>
    <w:rsid w:val="0062763F"/>
    <w:rsid w:val="006304BF"/>
    <w:rsid w:val="00635AEE"/>
    <w:rsid w:val="00640529"/>
    <w:rsid w:val="00644510"/>
    <w:rsid w:val="00644FCE"/>
    <w:rsid w:val="0064701F"/>
    <w:rsid w:val="00651DED"/>
    <w:rsid w:val="006576A2"/>
    <w:rsid w:val="00680162"/>
    <w:rsid w:val="0068361F"/>
    <w:rsid w:val="00691007"/>
    <w:rsid w:val="006954F3"/>
    <w:rsid w:val="006A1139"/>
    <w:rsid w:val="006A2E42"/>
    <w:rsid w:val="006B38E2"/>
    <w:rsid w:val="006B4BAA"/>
    <w:rsid w:val="006B7345"/>
    <w:rsid w:val="006B7A61"/>
    <w:rsid w:val="006C35CC"/>
    <w:rsid w:val="006C7B61"/>
    <w:rsid w:val="006D1C15"/>
    <w:rsid w:val="006D2B23"/>
    <w:rsid w:val="006D42AC"/>
    <w:rsid w:val="006E032D"/>
    <w:rsid w:val="006E25CC"/>
    <w:rsid w:val="006E50BA"/>
    <w:rsid w:val="006E5AA5"/>
    <w:rsid w:val="006F0A20"/>
    <w:rsid w:val="0070033F"/>
    <w:rsid w:val="00705219"/>
    <w:rsid w:val="00710E8C"/>
    <w:rsid w:val="00711F1B"/>
    <w:rsid w:val="00712B15"/>
    <w:rsid w:val="007135D0"/>
    <w:rsid w:val="00717B6A"/>
    <w:rsid w:val="0072116A"/>
    <w:rsid w:val="00722339"/>
    <w:rsid w:val="00724820"/>
    <w:rsid w:val="0072513F"/>
    <w:rsid w:val="007306FA"/>
    <w:rsid w:val="00731836"/>
    <w:rsid w:val="007323ED"/>
    <w:rsid w:val="00733ED1"/>
    <w:rsid w:val="00734135"/>
    <w:rsid w:val="007350EA"/>
    <w:rsid w:val="00735C39"/>
    <w:rsid w:val="00742A1D"/>
    <w:rsid w:val="00743058"/>
    <w:rsid w:val="00743381"/>
    <w:rsid w:val="00751153"/>
    <w:rsid w:val="00751307"/>
    <w:rsid w:val="00753095"/>
    <w:rsid w:val="00753EEE"/>
    <w:rsid w:val="00754C15"/>
    <w:rsid w:val="00756EBF"/>
    <w:rsid w:val="00757D43"/>
    <w:rsid w:val="007622EA"/>
    <w:rsid w:val="00762B89"/>
    <w:rsid w:val="00766D26"/>
    <w:rsid w:val="007712AC"/>
    <w:rsid w:val="00771361"/>
    <w:rsid w:val="007728EB"/>
    <w:rsid w:val="0077601A"/>
    <w:rsid w:val="0077701B"/>
    <w:rsid w:val="0078043E"/>
    <w:rsid w:val="00781CEE"/>
    <w:rsid w:val="007823FE"/>
    <w:rsid w:val="007836B4"/>
    <w:rsid w:val="00785A1E"/>
    <w:rsid w:val="00786655"/>
    <w:rsid w:val="00786C98"/>
    <w:rsid w:val="00793D20"/>
    <w:rsid w:val="00796525"/>
    <w:rsid w:val="00796F7C"/>
    <w:rsid w:val="007A3CF5"/>
    <w:rsid w:val="007A4F39"/>
    <w:rsid w:val="007A5CE9"/>
    <w:rsid w:val="007A6AAA"/>
    <w:rsid w:val="007A76BA"/>
    <w:rsid w:val="007B0D6A"/>
    <w:rsid w:val="007B1A88"/>
    <w:rsid w:val="007B31F6"/>
    <w:rsid w:val="007B32B0"/>
    <w:rsid w:val="007B3B28"/>
    <w:rsid w:val="007B4FFD"/>
    <w:rsid w:val="007B64FE"/>
    <w:rsid w:val="007C3714"/>
    <w:rsid w:val="007C5CAD"/>
    <w:rsid w:val="007C6866"/>
    <w:rsid w:val="007D09AE"/>
    <w:rsid w:val="007D21CF"/>
    <w:rsid w:val="007D3C2B"/>
    <w:rsid w:val="007D7784"/>
    <w:rsid w:val="007F41F9"/>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1FDB"/>
    <w:rsid w:val="00833096"/>
    <w:rsid w:val="00833FF5"/>
    <w:rsid w:val="00834A75"/>
    <w:rsid w:val="00835614"/>
    <w:rsid w:val="008460B0"/>
    <w:rsid w:val="00846824"/>
    <w:rsid w:val="00851901"/>
    <w:rsid w:val="008542C2"/>
    <w:rsid w:val="00855842"/>
    <w:rsid w:val="008566CB"/>
    <w:rsid w:val="00857920"/>
    <w:rsid w:val="0086112C"/>
    <w:rsid w:val="0086742E"/>
    <w:rsid w:val="0086760F"/>
    <w:rsid w:val="008728E0"/>
    <w:rsid w:val="008757C6"/>
    <w:rsid w:val="00880E82"/>
    <w:rsid w:val="00882314"/>
    <w:rsid w:val="008841EB"/>
    <w:rsid w:val="00895D73"/>
    <w:rsid w:val="00896DC3"/>
    <w:rsid w:val="008A4EFB"/>
    <w:rsid w:val="008B5E8B"/>
    <w:rsid w:val="008C378E"/>
    <w:rsid w:val="008C38B5"/>
    <w:rsid w:val="008C5973"/>
    <w:rsid w:val="008C6E57"/>
    <w:rsid w:val="008C7702"/>
    <w:rsid w:val="008D24ED"/>
    <w:rsid w:val="008E2C7C"/>
    <w:rsid w:val="008E2F6C"/>
    <w:rsid w:val="008F0F36"/>
    <w:rsid w:val="008F0F84"/>
    <w:rsid w:val="008F1437"/>
    <w:rsid w:val="008F44AF"/>
    <w:rsid w:val="008F4699"/>
    <w:rsid w:val="008F632C"/>
    <w:rsid w:val="008F66D2"/>
    <w:rsid w:val="008F6F27"/>
    <w:rsid w:val="008F7A96"/>
    <w:rsid w:val="008F7B1F"/>
    <w:rsid w:val="00902100"/>
    <w:rsid w:val="00904DD8"/>
    <w:rsid w:val="00904F11"/>
    <w:rsid w:val="009070E8"/>
    <w:rsid w:val="00907E59"/>
    <w:rsid w:val="009106FA"/>
    <w:rsid w:val="009148D6"/>
    <w:rsid w:val="00916BDE"/>
    <w:rsid w:val="00922AC4"/>
    <w:rsid w:val="0092327D"/>
    <w:rsid w:val="009278AD"/>
    <w:rsid w:val="009305C4"/>
    <w:rsid w:val="009321E4"/>
    <w:rsid w:val="0093281A"/>
    <w:rsid w:val="009407CC"/>
    <w:rsid w:val="00943271"/>
    <w:rsid w:val="00944729"/>
    <w:rsid w:val="0094705D"/>
    <w:rsid w:val="00950162"/>
    <w:rsid w:val="00955A1A"/>
    <w:rsid w:val="00961C60"/>
    <w:rsid w:val="0096394A"/>
    <w:rsid w:val="00963CF4"/>
    <w:rsid w:val="00964D72"/>
    <w:rsid w:val="0096519D"/>
    <w:rsid w:val="00966A58"/>
    <w:rsid w:val="0096728F"/>
    <w:rsid w:val="0097116C"/>
    <w:rsid w:val="00975EDC"/>
    <w:rsid w:val="009811DE"/>
    <w:rsid w:val="00982C10"/>
    <w:rsid w:val="0098377F"/>
    <w:rsid w:val="009837A3"/>
    <w:rsid w:val="009877F0"/>
    <w:rsid w:val="00990BBE"/>
    <w:rsid w:val="009916B9"/>
    <w:rsid w:val="00991A9A"/>
    <w:rsid w:val="0099203B"/>
    <w:rsid w:val="00992AB5"/>
    <w:rsid w:val="009A1393"/>
    <w:rsid w:val="009A22AE"/>
    <w:rsid w:val="009A3363"/>
    <w:rsid w:val="009A4284"/>
    <w:rsid w:val="009B01A5"/>
    <w:rsid w:val="009B32CD"/>
    <w:rsid w:val="009B36EC"/>
    <w:rsid w:val="009B3725"/>
    <w:rsid w:val="009B3BFD"/>
    <w:rsid w:val="009B4679"/>
    <w:rsid w:val="009C07F3"/>
    <w:rsid w:val="009C532B"/>
    <w:rsid w:val="009C697D"/>
    <w:rsid w:val="009D0A30"/>
    <w:rsid w:val="009D0EC4"/>
    <w:rsid w:val="009D30C1"/>
    <w:rsid w:val="009D6989"/>
    <w:rsid w:val="009D7829"/>
    <w:rsid w:val="009E05F9"/>
    <w:rsid w:val="009E1A99"/>
    <w:rsid w:val="009E3337"/>
    <w:rsid w:val="009E72F2"/>
    <w:rsid w:val="009E7C04"/>
    <w:rsid w:val="009F5BCF"/>
    <w:rsid w:val="009F5E6F"/>
    <w:rsid w:val="009F7287"/>
    <w:rsid w:val="00A003C3"/>
    <w:rsid w:val="00A01981"/>
    <w:rsid w:val="00A06C86"/>
    <w:rsid w:val="00A07625"/>
    <w:rsid w:val="00A104FC"/>
    <w:rsid w:val="00A108A8"/>
    <w:rsid w:val="00A1253E"/>
    <w:rsid w:val="00A12B7B"/>
    <w:rsid w:val="00A14DC4"/>
    <w:rsid w:val="00A15EA2"/>
    <w:rsid w:val="00A1735A"/>
    <w:rsid w:val="00A20967"/>
    <w:rsid w:val="00A21E27"/>
    <w:rsid w:val="00A260F6"/>
    <w:rsid w:val="00A263FB"/>
    <w:rsid w:val="00A33D14"/>
    <w:rsid w:val="00A34DC1"/>
    <w:rsid w:val="00A36253"/>
    <w:rsid w:val="00A37D0A"/>
    <w:rsid w:val="00A40263"/>
    <w:rsid w:val="00A42716"/>
    <w:rsid w:val="00A437BA"/>
    <w:rsid w:val="00A451A2"/>
    <w:rsid w:val="00A476E8"/>
    <w:rsid w:val="00A47C9A"/>
    <w:rsid w:val="00A506C1"/>
    <w:rsid w:val="00A61DC4"/>
    <w:rsid w:val="00A70738"/>
    <w:rsid w:val="00A73BFF"/>
    <w:rsid w:val="00A74AFD"/>
    <w:rsid w:val="00A752EA"/>
    <w:rsid w:val="00A75767"/>
    <w:rsid w:val="00A76883"/>
    <w:rsid w:val="00A8126B"/>
    <w:rsid w:val="00A8156B"/>
    <w:rsid w:val="00A81F07"/>
    <w:rsid w:val="00A868FA"/>
    <w:rsid w:val="00A92F3D"/>
    <w:rsid w:val="00A953EE"/>
    <w:rsid w:val="00A95B06"/>
    <w:rsid w:val="00A95D01"/>
    <w:rsid w:val="00A961E9"/>
    <w:rsid w:val="00AA591D"/>
    <w:rsid w:val="00AA7673"/>
    <w:rsid w:val="00AB34FF"/>
    <w:rsid w:val="00AB5A6F"/>
    <w:rsid w:val="00AC3979"/>
    <w:rsid w:val="00AC4AE2"/>
    <w:rsid w:val="00AC5E9B"/>
    <w:rsid w:val="00AC6727"/>
    <w:rsid w:val="00AC7B0C"/>
    <w:rsid w:val="00AD08D5"/>
    <w:rsid w:val="00AD15C4"/>
    <w:rsid w:val="00AD196B"/>
    <w:rsid w:val="00AD32A7"/>
    <w:rsid w:val="00AD373D"/>
    <w:rsid w:val="00AD7991"/>
    <w:rsid w:val="00AE48DF"/>
    <w:rsid w:val="00AE5FED"/>
    <w:rsid w:val="00AF050A"/>
    <w:rsid w:val="00AF342A"/>
    <w:rsid w:val="00AF3602"/>
    <w:rsid w:val="00AF59B3"/>
    <w:rsid w:val="00B0250B"/>
    <w:rsid w:val="00B03567"/>
    <w:rsid w:val="00B06D82"/>
    <w:rsid w:val="00B103D2"/>
    <w:rsid w:val="00B11E2C"/>
    <w:rsid w:val="00B12F75"/>
    <w:rsid w:val="00B16E93"/>
    <w:rsid w:val="00B2531E"/>
    <w:rsid w:val="00B34036"/>
    <w:rsid w:val="00B363EB"/>
    <w:rsid w:val="00B375CF"/>
    <w:rsid w:val="00B46C8D"/>
    <w:rsid w:val="00B572E6"/>
    <w:rsid w:val="00B60055"/>
    <w:rsid w:val="00B66B2E"/>
    <w:rsid w:val="00B67859"/>
    <w:rsid w:val="00B720F6"/>
    <w:rsid w:val="00B7351B"/>
    <w:rsid w:val="00B9265C"/>
    <w:rsid w:val="00B94337"/>
    <w:rsid w:val="00BA01C3"/>
    <w:rsid w:val="00BA1895"/>
    <w:rsid w:val="00BA1ADD"/>
    <w:rsid w:val="00BA28FD"/>
    <w:rsid w:val="00BC18AA"/>
    <w:rsid w:val="00BC74B1"/>
    <w:rsid w:val="00BD327C"/>
    <w:rsid w:val="00BD4F7D"/>
    <w:rsid w:val="00BD5427"/>
    <w:rsid w:val="00BD584D"/>
    <w:rsid w:val="00BE268B"/>
    <w:rsid w:val="00BF0FF1"/>
    <w:rsid w:val="00BF1697"/>
    <w:rsid w:val="00BF53D8"/>
    <w:rsid w:val="00BF773A"/>
    <w:rsid w:val="00C0190E"/>
    <w:rsid w:val="00C03067"/>
    <w:rsid w:val="00C050DA"/>
    <w:rsid w:val="00C05603"/>
    <w:rsid w:val="00C06544"/>
    <w:rsid w:val="00C24704"/>
    <w:rsid w:val="00C26DD0"/>
    <w:rsid w:val="00C3172F"/>
    <w:rsid w:val="00C329A5"/>
    <w:rsid w:val="00C3513F"/>
    <w:rsid w:val="00C35BE4"/>
    <w:rsid w:val="00C40110"/>
    <w:rsid w:val="00C43213"/>
    <w:rsid w:val="00C453D1"/>
    <w:rsid w:val="00C45E14"/>
    <w:rsid w:val="00C5382F"/>
    <w:rsid w:val="00C549BA"/>
    <w:rsid w:val="00C611FD"/>
    <w:rsid w:val="00C6171E"/>
    <w:rsid w:val="00C710A7"/>
    <w:rsid w:val="00C71392"/>
    <w:rsid w:val="00C729D4"/>
    <w:rsid w:val="00C732F4"/>
    <w:rsid w:val="00C741D7"/>
    <w:rsid w:val="00C77599"/>
    <w:rsid w:val="00C83CC5"/>
    <w:rsid w:val="00C92DDF"/>
    <w:rsid w:val="00C9339D"/>
    <w:rsid w:val="00C96B56"/>
    <w:rsid w:val="00CA10B3"/>
    <w:rsid w:val="00CA1A65"/>
    <w:rsid w:val="00CA2765"/>
    <w:rsid w:val="00CA27CC"/>
    <w:rsid w:val="00CA4E6E"/>
    <w:rsid w:val="00CA6653"/>
    <w:rsid w:val="00CB4B68"/>
    <w:rsid w:val="00CB6B34"/>
    <w:rsid w:val="00CC1A99"/>
    <w:rsid w:val="00CC3749"/>
    <w:rsid w:val="00CC41F7"/>
    <w:rsid w:val="00CC6E97"/>
    <w:rsid w:val="00CD52AC"/>
    <w:rsid w:val="00CD6A6F"/>
    <w:rsid w:val="00CE03C5"/>
    <w:rsid w:val="00CE2207"/>
    <w:rsid w:val="00CE347A"/>
    <w:rsid w:val="00CE4798"/>
    <w:rsid w:val="00CE6E7E"/>
    <w:rsid w:val="00CF4424"/>
    <w:rsid w:val="00CF6762"/>
    <w:rsid w:val="00D02666"/>
    <w:rsid w:val="00D03CC5"/>
    <w:rsid w:val="00D047D4"/>
    <w:rsid w:val="00D048EC"/>
    <w:rsid w:val="00D05A24"/>
    <w:rsid w:val="00D067B2"/>
    <w:rsid w:val="00D11A50"/>
    <w:rsid w:val="00D129D3"/>
    <w:rsid w:val="00D12CD8"/>
    <w:rsid w:val="00D15234"/>
    <w:rsid w:val="00D20610"/>
    <w:rsid w:val="00D20C3E"/>
    <w:rsid w:val="00D216F4"/>
    <w:rsid w:val="00D21923"/>
    <w:rsid w:val="00D21B35"/>
    <w:rsid w:val="00D22EC8"/>
    <w:rsid w:val="00D22F00"/>
    <w:rsid w:val="00D25A53"/>
    <w:rsid w:val="00D25D07"/>
    <w:rsid w:val="00D27A8B"/>
    <w:rsid w:val="00D32F31"/>
    <w:rsid w:val="00D33BA3"/>
    <w:rsid w:val="00D34E37"/>
    <w:rsid w:val="00D43B52"/>
    <w:rsid w:val="00D43C33"/>
    <w:rsid w:val="00D45551"/>
    <w:rsid w:val="00D5095B"/>
    <w:rsid w:val="00D52504"/>
    <w:rsid w:val="00D53A87"/>
    <w:rsid w:val="00D5651D"/>
    <w:rsid w:val="00D66DF4"/>
    <w:rsid w:val="00D738B5"/>
    <w:rsid w:val="00D73C3A"/>
    <w:rsid w:val="00D73C4B"/>
    <w:rsid w:val="00D807BD"/>
    <w:rsid w:val="00D81E01"/>
    <w:rsid w:val="00D854FA"/>
    <w:rsid w:val="00D919C2"/>
    <w:rsid w:val="00D91B1C"/>
    <w:rsid w:val="00D942EC"/>
    <w:rsid w:val="00D95933"/>
    <w:rsid w:val="00D96407"/>
    <w:rsid w:val="00D972AE"/>
    <w:rsid w:val="00D975F6"/>
    <w:rsid w:val="00DA12AF"/>
    <w:rsid w:val="00DA2BB4"/>
    <w:rsid w:val="00DA70B9"/>
    <w:rsid w:val="00DA79F8"/>
    <w:rsid w:val="00DB5EA7"/>
    <w:rsid w:val="00DB7564"/>
    <w:rsid w:val="00DC2149"/>
    <w:rsid w:val="00DC314E"/>
    <w:rsid w:val="00DC4A8C"/>
    <w:rsid w:val="00DC767F"/>
    <w:rsid w:val="00DC7E9E"/>
    <w:rsid w:val="00DD518A"/>
    <w:rsid w:val="00DD6ABB"/>
    <w:rsid w:val="00DE3D1B"/>
    <w:rsid w:val="00DE6083"/>
    <w:rsid w:val="00DF085B"/>
    <w:rsid w:val="00DF1A57"/>
    <w:rsid w:val="00E00E25"/>
    <w:rsid w:val="00E01F58"/>
    <w:rsid w:val="00E02F2E"/>
    <w:rsid w:val="00E0662F"/>
    <w:rsid w:val="00E1286D"/>
    <w:rsid w:val="00E14045"/>
    <w:rsid w:val="00E14850"/>
    <w:rsid w:val="00E26438"/>
    <w:rsid w:val="00E268DE"/>
    <w:rsid w:val="00E31E9B"/>
    <w:rsid w:val="00E3399A"/>
    <w:rsid w:val="00E34ED9"/>
    <w:rsid w:val="00E35131"/>
    <w:rsid w:val="00E4492C"/>
    <w:rsid w:val="00E47CBB"/>
    <w:rsid w:val="00E50233"/>
    <w:rsid w:val="00E53877"/>
    <w:rsid w:val="00E61099"/>
    <w:rsid w:val="00E62D2A"/>
    <w:rsid w:val="00E630F4"/>
    <w:rsid w:val="00E6592E"/>
    <w:rsid w:val="00E67FB6"/>
    <w:rsid w:val="00E71E47"/>
    <w:rsid w:val="00E73C65"/>
    <w:rsid w:val="00E7474A"/>
    <w:rsid w:val="00E765CE"/>
    <w:rsid w:val="00E82D9D"/>
    <w:rsid w:val="00E83500"/>
    <w:rsid w:val="00E852E3"/>
    <w:rsid w:val="00E855C5"/>
    <w:rsid w:val="00E8719C"/>
    <w:rsid w:val="00E90680"/>
    <w:rsid w:val="00E926A1"/>
    <w:rsid w:val="00E951AC"/>
    <w:rsid w:val="00EA6A82"/>
    <w:rsid w:val="00EB24D5"/>
    <w:rsid w:val="00EB6949"/>
    <w:rsid w:val="00EC45EF"/>
    <w:rsid w:val="00EC61F0"/>
    <w:rsid w:val="00EC7AD4"/>
    <w:rsid w:val="00ED119A"/>
    <w:rsid w:val="00ED1FCF"/>
    <w:rsid w:val="00ED300D"/>
    <w:rsid w:val="00ED5A8D"/>
    <w:rsid w:val="00ED7AD3"/>
    <w:rsid w:val="00EE2E27"/>
    <w:rsid w:val="00EE5B62"/>
    <w:rsid w:val="00EE64E3"/>
    <w:rsid w:val="00EF332B"/>
    <w:rsid w:val="00EF6B7C"/>
    <w:rsid w:val="00F066DD"/>
    <w:rsid w:val="00F15B0A"/>
    <w:rsid w:val="00F16C6F"/>
    <w:rsid w:val="00F20069"/>
    <w:rsid w:val="00F209EA"/>
    <w:rsid w:val="00F2231D"/>
    <w:rsid w:val="00F24F1E"/>
    <w:rsid w:val="00F33367"/>
    <w:rsid w:val="00F33C07"/>
    <w:rsid w:val="00F34274"/>
    <w:rsid w:val="00F40E07"/>
    <w:rsid w:val="00F41603"/>
    <w:rsid w:val="00F4273D"/>
    <w:rsid w:val="00F443C5"/>
    <w:rsid w:val="00F47BCF"/>
    <w:rsid w:val="00F47D46"/>
    <w:rsid w:val="00F509A8"/>
    <w:rsid w:val="00F57573"/>
    <w:rsid w:val="00F6022E"/>
    <w:rsid w:val="00F60449"/>
    <w:rsid w:val="00F66528"/>
    <w:rsid w:val="00F70CA0"/>
    <w:rsid w:val="00F71E0B"/>
    <w:rsid w:val="00F733B8"/>
    <w:rsid w:val="00F73CCE"/>
    <w:rsid w:val="00F7680F"/>
    <w:rsid w:val="00F76FA7"/>
    <w:rsid w:val="00F82B3D"/>
    <w:rsid w:val="00F84F5A"/>
    <w:rsid w:val="00F85065"/>
    <w:rsid w:val="00F86193"/>
    <w:rsid w:val="00F9011F"/>
    <w:rsid w:val="00F90C20"/>
    <w:rsid w:val="00F92475"/>
    <w:rsid w:val="00F9308A"/>
    <w:rsid w:val="00F936EA"/>
    <w:rsid w:val="00F93D0E"/>
    <w:rsid w:val="00F95E8C"/>
    <w:rsid w:val="00F96144"/>
    <w:rsid w:val="00FA0B4B"/>
    <w:rsid w:val="00FA4D10"/>
    <w:rsid w:val="00FA6349"/>
    <w:rsid w:val="00FA7E95"/>
    <w:rsid w:val="00FB0923"/>
    <w:rsid w:val="00FB0CE9"/>
    <w:rsid w:val="00FB5E31"/>
    <w:rsid w:val="00FB6DA4"/>
    <w:rsid w:val="00FB79E9"/>
    <w:rsid w:val="00FC1EAC"/>
    <w:rsid w:val="00FC51DA"/>
    <w:rsid w:val="00FD05EE"/>
    <w:rsid w:val="00FD2983"/>
    <w:rsid w:val="00FD33A7"/>
    <w:rsid w:val="00FD4945"/>
    <w:rsid w:val="00FD55BA"/>
    <w:rsid w:val="00FD659A"/>
    <w:rsid w:val="00FD6C4D"/>
    <w:rsid w:val="00FD7BD8"/>
    <w:rsid w:val="00FE1278"/>
    <w:rsid w:val="00FE164A"/>
    <w:rsid w:val="00FE1D5D"/>
    <w:rsid w:val="00FF228F"/>
    <w:rsid w:val="00FF2512"/>
    <w:rsid w:val="00FF25F6"/>
    <w:rsid w:val="00FF381E"/>
    <w:rsid w:val="6C61F97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AD0B9250-2179-4985-9A39-D902455B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aliases w:val="Mummuga loetelu,List (bullet),List Paragraph1,References,numbered list,Listenabsatz1,Sąrašo pastraipa.Bullet,Bullet EY,Sąrašo pastraipa1,Numbering,ERP-List Paragraph,List Paragraph11,Sąrašo pastraipa,Bullet,List (services),List_Paragraph"/>
    <w:basedOn w:val="Normal"/>
    <w:link w:val="ListParagraphChar"/>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paragraph" w:customStyle="1" w:styleId="BoxBodyText">
    <w:name w:val="Box Body Text"/>
    <w:basedOn w:val="Normal"/>
    <w:qFormat/>
    <w:rsid w:val="00AD7991"/>
    <w:pPr>
      <w:spacing w:after="240"/>
      <w:ind w:firstLine="442"/>
      <w:jc w:val="left"/>
    </w:pPr>
    <w:rPr>
      <w:rFonts w:ascii="Arial" w:eastAsia="Droid Sans Fallback" w:hAnsi="Arial" w:cs="Arial"/>
      <w:color w:val="00000A"/>
      <w:sz w:val="18"/>
      <w:szCs w:val="24"/>
      <w:lang w:val="en-US" w:eastAsia="zh-CN" w:bidi="hi-IN"/>
    </w:rPr>
  </w:style>
  <w:style w:type="character" w:customStyle="1" w:styleId="ListParagraphChar">
    <w:name w:val="List Paragraph Char"/>
    <w:aliases w:val="Mummuga loetelu Char,List (bullet) Char,List Paragraph1 Char,References Char,numbered list Char,Listenabsatz1 Char,Sąrašo pastraipa.Bullet Char,Bullet EY Char,Sąrašo pastraipa1 Char,Numbering Char,ERP-List Paragraph Char,Bullet Char"/>
    <w:basedOn w:val="DefaultParagraphFont"/>
    <w:link w:val="ListParagraph"/>
    <w:uiPriority w:val="34"/>
    <w:locked/>
    <w:rsid w:val="00BA1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2978">
      <w:bodyDiv w:val="1"/>
      <w:marLeft w:val="0"/>
      <w:marRight w:val="0"/>
      <w:marTop w:val="0"/>
      <w:marBottom w:val="0"/>
      <w:divBdr>
        <w:top w:val="none" w:sz="0" w:space="0" w:color="auto"/>
        <w:left w:val="none" w:sz="0" w:space="0" w:color="auto"/>
        <w:bottom w:val="none" w:sz="0" w:space="0" w:color="auto"/>
        <w:right w:val="none" w:sz="0" w:space="0" w:color="auto"/>
      </w:divBdr>
    </w:div>
    <w:div w:id="292104878">
      <w:bodyDiv w:val="1"/>
      <w:marLeft w:val="0"/>
      <w:marRight w:val="0"/>
      <w:marTop w:val="0"/>
      <w:marBottom w:val="0"/>
      <w:divBdr>
        <w:top w:val="none" w:sz="0" w:space="0" w:color="auto"/>
        <w:left w:val="none" w:sz="0" w:space="0" w:color="auto"/>
        <w:bottom w:val="none" w:sz="0" w:space="0" w:color="auto"/>
        <w:right w:val="none" w:sz="0" w:space="0" w:color="auto"/>
      </w:divBdr>
    </w:div>
    <w:div w:id="324551320">
      <w:bodyDiv w:val="1"/>
      <w:marLeft w:val="0"/>
      <w:marRight w:val="0"/>
      <w:marTop w:val="0"/>
      <w:marBottom w:val="0"/>
      <w:divBdr>
        <w:top w:val="none" w:sz="0" w:space="0" w:color="auto"/>
        <w:left w:val="none" w:sz="0" w:space="0" w:color="auto"/>
        <w:bottom w:val="none" w:sz="0" w:space="0" w:color="auto"/>
        <w:right w:val="none" w:sz="0" w:space="0" w:color="auto"/>
      </w:divBdr>
    </w:div>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532500814">
      <w:bodyDiv w:val="1"/>
      <w:marLeft w:val="0"/>
      <w:marRight w:val="0"/>
      <w:marTop w:val="0"/>
      <w:marBottom w:val="0"/>
      <w:divBdr>
        <w:top w:val="none" w:sz="0" w:space="0" w:color="auto"/>
        <w:left w:val="none" w:sz="0" w:space="0" w:color="auto"/>
        <w:bottom w:val="none" w:sz="0" w:space="0" w:color="auto"/>
        <w:right w:val="none" w:sz="0" w:space="0" w:color="auto"/>
      </w:divBdr>
    </w:div>
    <w:div w:id="75925366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163085028">
      <w:bodyDiv w:val="1"/>
      <w:marLeft w:val="0"/>
      <w:marRight w:val="0"/>
      <w:marTop w:val="0"/>
      <w:marBottom w:val="0"/>
      <w:divBdr>
        <w:top w:val="none" w:sz="0" w:space="0" w:color="auto"/>
        <w:left w:val="none" w:sz="0" w:space="0" w:color="auto"/>
        <w:bottom w:val="none" w:sz="0" w:space="0" w:color="auto"/>
        <w:right w:val="none" w:sz="0" w:space="0" w:color="auto"/>
      </w:divBdr>
    </w:div>
    <w:div w:id="1174035636">
      <w:bodyDiv w:val="1"/>
      <w:marLeft w:val="0"/>
      <w:marRight w:val="0"/>
      <w:marTop w:val="0"/>
      <w:marBottom w:val="0"/>
      <w:divBdr>
        <w:top w:val="none" w:sz="0" w:space="0" w:color="auto"/>
        <w:left w:val="none" w:sz="0" w:space="0" w:color="auto"/>
        <w:bottom w:val="none" w:sz="0" w:space="0" w:color="auto"/>
        <w:right w:val="none" w:sz="0" w:space="0" w:color="auto"/>
      </w:divBdr>
    </w:div>
    <w:div w:id="1182015771">
      <w:bodyDiv w:val="1"/>
      <w:marLeft w:val="0"/>
      <w:marRight w:val="0"/>
      <w:marTop w:val="0"/>
      <w:marBottom w:val="0"/>
      <w:divBdr>
        <w:top w:val="none" w:sz="0" w:space="0" w:color="auto"/>
        <w:left w:val="none" w:sz="0" w:space="0" w:color="auto"/>
        <w:bottom w:val="none" w:sz="0" w:space="0" w:color="auto"/>
        <w:right w:val="none" w:sz="0" w:space="0" w:color="auto"/>
      </w:divBdr>
    </w:div>
    <w:div w:id="1247492996">
      <w:bodyDiv w:val="1"/>
      <w:marLeft w:val="0"/>
      <w:marRight w:val="0"/>
      <w:marTop w:val="0"/>
      <w:marBottom w:val="0"/>
      <w:divBdr>
        <w:top w:val="none" w:sz="0" w:space="0" w:color="auto"/>
        <w:left w:val="none" w:sz="0" w:space="0" w:color="auto"/>
        <w:bottom w:val="none" w:sz="0" w:space="0" w:color="auto"/>
        <w:right w:val="none" w:sz="0" w:space="0" w:color="auto"/>
      </w:divBdr>
    </w:div>
    <w:div w:id="1557233369">
      <w:bodyDiv w:val="1"/>
      <w:marLeft w:val="0"/>
      <w:marRight w:val="0"/>
      <w:marTop w:val="0"/>
      <w:marBottom w:val="0"/>
      <w:divBdr>
        <w:top w:val="none" w:sz="0" w:space="0" w:color="auto"/>
        <w:left w:val="none" w:sz="0" w:space="0" w:color="auto"/>
        <w:bottom w:val="none" w:sz="0" w:space="0" w:color="auto"/>
        <w:right w:val="none" w:sz="0" w:space="0" w:color="auto"/>
      </w:divBdr>
    </w:div>
    <w:div w:id="1716813221">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1995991446">
      <w:bodyDiv w:val="1"/>
      <w:marLeft w:val="0"/>
      <w:marRight w:val="0"/>
      <w:marTop w:val="0"/>
      <w:marBottom w:val="0"/>
      <w:divBdr>
        <w:top w:val="none" w:sz="0" w:space="0" w:color="auto"/>
        <w:left w:val="none" w:sz="0" w:space="0" w:color="auto"/>
        <w:bottom w:val="none" w:sz="0" w:space="0" w:color="auto"/>
        <w:right w:val="none" w:sz="0" w:space="0" w:color="auto"/>
      </w:divBdr>
    </w:div>
    <w:div w:id="201591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minuomavalitsus.fin.ee/e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5A165C"/>
    <w:rsid w:val="00677B98"/>
    <w:rsid w:val="00973F05"/>
    <w:rsid w:val="00A543D7"/>
    <w:rsid w:val="00B86912"/>
    <w:rsid w:val="00DE6F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tFieldPriority xmlns="http://www.oecd.org/eshare/projectsentre/CtFieldPriority/" xmlns:i="http://www.w3.org/2001/XMLSchema-instance">
  <PriorityFields xmlns:a="http://schemas.microsoft.com/2003/10/Serialization/Arrays"/>
</CtFieldPriority>
</file>

<file path=customXml/item2.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3.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5.xml><?xml version="1.0" encoding="utf-8"?>
<?mso-contentType ?>
<FormTemplates xmlns="http://schemas.microsoft.com/sharepoint/v3/contenttype/forms">
  <Display>OECDListFormCollapsible</Display>
  <Edit>OECDListFormCollapsible</Edit>
  <New>OECDListFormCollapsible</New>
</FormTemplates>
</file>

<file path=customXml/item6.xml><?xml version="1.0" encoding="utf-8"?>
<b:Sources xmlns:b="http://schemas.openxmlformats.org/officeDocument/2006/bibliography" xmlns="http://schemas.openxmlformats.org/officeDocument/2006/bibliography" SelectedStyle="\oecd-en.xsl" StyleName="OECD English" Version="20220221"/>
</file>

<file path=customXml/itemProps1.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2.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3.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2DEFB22-C7B2-4CCB-9DED-924399FF6FC3}">
  <ds:schemaRefs>
    <ds:schemaRef ds:uri="http://purl.org/dc/elements/1.1/"/>
    <ds:schemaRef ds:uri="http://schemas.microsoft.com/office/infopath/2007/PartnerControls"/>
    <ds:schemaRef ds:uri="http://purl.org/dc/terms/"/>
    <ds:schemaRef ds:uri="http://purl.org/dc/dcmitype/"/>
    <ds:schemaRef ds:uri="c9f238dd-bb73-4aef-a7a5-d644ad823e52"/>
    <ds:schemaRef ds:uri="http://www.w3.org/XML/1998/namespace"/>
    <ds:schemaRef ds:uri="http://schemas.openxmlformats.org/package/2006/metadata/core-properties"/>
    <ds:schemaRef ds:uri="http://schemas.microsoft.com/office/2006/documentManagement/types"/>
    <ds:schemaRef ds:uri="http://schemas.microsoft.com/sharepoint/v4"/>
    <ds:schemaRef ds:uri="ca82dde9-3436-4d3d-bddd-d31447390034"/>
    <ds:schemaRef ds:uri="bbc7a7a3-1361-4a32-9a19-e150eb4da2ba"/>
    <ds:schemaRef ds:uri="c0e75541-f54f-401c-9a34-cb7fded40982"/>
    <ds:schemaRef ds:uri="54c4cd27-f286-408f-9ce0-33c1e0f3ab39"/>
    <ds:schemaRef ds:uri="http://schemas.microsoft.com/office/2006/metadata/properties"/>
  </ds:schemaRefs>
</ds:datastoreItem>
</file>

<file path=customXml/itemProps5.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6.xml><?xml version="1.0" encoding="utf-8"?>
<ds:datastoreItem xmlns:ds="http://schemas.openxmlformats.org/officeDocument/2006/customXml" ds:itemID="{BB9DE784-FC45-4446-B744-BF9666358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32</TotalTime>
  <Pages>6</Pages>
  <Words>2896</Words>
  <Characters>17962</Characters>
  <Application>Microsoft Office Word</Application>
  <DocSecurity>0</DocSecurity>
  <Lines>332</Lines>
  <Paragraphs>110</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Country profile template: Estonia</vt:lpstr>
      <vt:lpstr>Country profile template: Estonia</vt:lpstr>
    </vt:vector>
  </TitlesOfParts>
  <Company>OECD</Company>
  <LinksUpToDate>false</LinksUpToDate>
  <CharactersWithSpaces>20748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Estonia</dc:title>
  <dc:subject/>
  <dc:creator>CLAVREUL Delphine</dc:creator>
  <cp:keywords>DOCUMENT CODE</cp:keywords>
  <dc:description/>
  <cp:lastModifiedBy>CLAVREUL Delphine, CFE/RDG</cp:lastModifiedBy>
  <cp:revision>7</cp:revision>
  <dcterms:created xsi:type="dcterms:W3CDTF">2023-04-12T16:30:00Z</dcterms:created>
  <dcterms:modified xsi:type="dcterms:W3CDTF">2023-09-24T13:07:00Z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