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391CE97" w:rsidR="00E73C65" w:rsidRDefault="00EC5AE4" w:rsidP="009C07F3">
      <w:pPr>
        <w:pStyle w:val="Title"/>
        <w:spacing w:after="960"/>
      </w:pPr>
      <w:r>
        <w:t>ICELAND</w:t>
      </w:r>
    </w:p>
    <w:p w14:paraId="18BD9336" w14:textId="483D0871" w:rsidR="00594B16" w:rsidRPr="00A47C9A" w:rsidRDefault="005317DE" w:rsidP="005317DE">
      <w:pPr>
        <w:pStyle w:val="Title2"/>
      </w:pPr>
      <w:r w:rsidRPr="00A47C9A">
        <w:t>Overview</w:t>
      </w:r>
    </w:p>
    <w:tbl>
      <w:tblPr>
        <w:tblStyle w:val="OECD"/>
        <w:tblW w:w="5353" w:type="pct"/>
        <w:tblLook w:val="0420" w:firstRow="1" w:lastRow="0" w:firstColumn="0" w:lastColumn="0" w:noHBand="0" w:noVBand="1"/>
      </w:tblPr>
      <w:tblGrid>
        <w:gridCol w:w="2694"/>
        <w:gridCol w:w="7260"/>
      </w:tblGrid>
      <w:tr w:rsidR="00594B16" w:rsidRPr="00D738B5" w14:paraId="0453A63B" w14:textId="77777777" w:rsidTr="007870E5">
        <w:trPr>
          <w:cnfStyle w:val="100000000000" w:firstRow="1" w:lastRow="0" w:firstColumn="0" w:lastColumn="0" w:oddVBand="0" w:evenVBand="0" w:oddHBand="0" w:evenHBand="0" w:firstRowFirstColumn="0" w:firstRowLastColumn="0" w:lastRowFirstColumn="0" w:lastRowLastColumn="0"/>
          <w:trHeight w:val="238"/>
        </w:trPr>
        <w:tc>
          <w:tcPr>
            <w:tcW w:w="1353"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647" w:type="pct"/>
          </w:tcPr>
          <w:p w14:paraId="190B1E47" w14:textId="756564A7" w:rsidR="00594B16" w:rsidRPr="00D738B5" w:rsidRDefault="00583780" w:rsidP="00AD4B7B">
            <w:pPr>
              <w:pStyle w:val="TableRow"/>
              <w:jc w:val="left"/>
              <w:rPr>
                <w:sz w:val="20"/>
                <w:lang w:val="en-GB"/>
              </w:rPr>
            </w:pPr>
            <w:r w:rsidRPr="00583780">
              <w:rPr>
                <w:rFonts w:cs="Arial"/>
                <w:sz w:val="20"/>
              </w:rPr>
              <w:t>376.248</w:t>
            </w:r>
            <w:r>
              <w:rPr>
                <w:rFonts w:cs="Arial"/>
                <w:sz w:val="20"/>
              </w:rPr>
              <w:t xml:space="preserve"> (</w:t>
            </w:r>
            <w:r w:rsidR="00AD4B7B">
              <w:rPr>
                <w:rFonts w:cs="Arial"/>
                <w:sz w:val="20"/>
              </w:rPr>
              <w:t>a</w:t>
            </w:r>
            <w:r w:rsidR="007563A4">
              <w:rPr>
                <w:rFonts w:cs="Arial"/>
                <w:sz w:val="20"/>
              </w:rPr>
              <w:t>s</w:t>
            </w:r>
            <w:r w:rsidR="00AD4B7B">
              <w:rPr>
                <w:rFonts w:cs="Arial"/>
                <w:sz w:val="20"/>
              </w:rPr>
              <w:t xml:space="preserve"> of January 1, 2022), </w:t>
            </w:r>
            <w:r w:rsidR="00F305C8" w:rsidRPr="00F305C8">
              <w:rPr>
                <w:rFonts w:cs="Arial"/>
                <w:sz w:val="20"/>
              </w:rPr>
              <w:t>103.000</w:t>
            </w:r>
            <w:r w:rsidR="00F305C8">
              <w:rPr>
                <w:rFonts w:cs="Arial"/>
                <w:sz w:val="20"/>
              </w:rPr>
              <w:t xml:space="preserve"> </w:t>
            </w:r>
            <w:r w:rsidR="00F305C8" w:rsidRPr="00F305C8">
              <w:rPr>
                <w:rFonts w:cs="Arial"/>
                <w:sz w:val="20"/>
              </w:rPr>
              <w:t>km2</w:t>
            </w:r>
          </w:p>
        </w:tc>
      </w:tr>
      <w:tr w:rsidR="00594B16" w:rsidRPr="00D738B5" w14:paraId="5F444A04" w14:textId="77777777" w:rsidTr="007870E5">
        <w:trPr>
          <w:trHeight w:val="238"/>
        </w:trPr>
        <w:tc>
          <w:tcPr>
            <w:tcW w:w="1353"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647" w:type="pct"/>
          </w:tcPr>
          <w:p w14:paraId="230B333A" w14:textId="3E5F5E42" w:rsidR="00B60055" w:rsidRPr="00D738B5" w:rsidRDefault="00F305C8" w:rsidP="00B60055">
            <w:pPr>
              <w:pStyle w:val="TableCell"/>
              <w:jc w:val="left"/>
              <w:rPr>
                <w:sz w:val="20"/>
                <w:lang w:val="en-GB"/>
              </w:rPr>
            </w:pPr>
            <w:r>
              <w:rPr>
                <w:rFonts w:cs="Arial"/>
                <w:sz w:val="20"/>
              </w:rPr>
              <w:t>Unitary country</w:t>
            </w:r>
            <w:r w:rsidR="00AA402F">
              <w:rPr>
                <w:rFonts w:cs="Arial"/>
                <w:sz w:val="20"/>
              </w:rPr>
              <w:t xml:space="preserve">. </w:t>
            </w:r>
          </w:p>
        </w:tc>
      </w:tr>
      <w:tr w:rsidR="00B103D2" w:rsidRPr="00D738B5" w14:paraId="6A1167E9" w14:textId="77777777" w:rsidTr="007870E5">
        <w:trPr>
          <w:trHeight w:val="238"/>
        </w:trPr>
        <w:tc>
          <w:tcPr>
            <w:tcW w:w="1353"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3525C67C" w14:textId="3E2EC957" w:rsidR="00141562" w:rsidRPr="00141562" w:rsidRDefault="00141562" w:rsidP="00141562">
            <w:pPr>
              <w:pStyle w:val="TableCell"/>
              <w:jc w:val="left"/>
              <w:rPr>
                <w:rFonts w:cs="Arial"/>
                <w:sz w:val="20"/>
              </w:rPr>
            </w:pPr>
            <w:r w:rsidRPr="00141562">
              <w:rPr>
                <w:rFonts w:cs="Arial"/>
                <w:sz w:val="20"/>
              </w:rPr>
              <w:t>Iceland has two administrative levels of government: the State and the municipalities</w:t>
            </w:r>
            <w:r>
              <w:rPr>
                <w:rFonts w:cs="Arial"/>
                <w:sz w:val="20"/>
              </w:rPr>
              <w:t xml:space="preserve"> (64)</w:t>
            </w:r>
            <w:r w:rsidRPr="00141562">
              <w:rPr>
                <w:rFonts w:cs="Arial"/>
                <w:sz w:val="20"/>
              </w:rPr>
              <w:t xml:space="preserve">. Article 78 of the Icelandic constitution refers to the municipalities. </w:t>
            </w:r>
          </w:p>
          <w:p w14:paraId="22BA8F1F" w14:textId="41D2C199" w:rsidR="00B103D2" w:rsidRPr="00D738B5" w:rsidRDefault="00141562" w:rsidP="00141562">
            <w:pPr>
              <w:pStyle w:val="TableCell"/>
              <w:jc w:val="left"/>
              <w:rPr>
                <w:sz w:val="20"/>
                <w:lang w:val="en-GB"/>
              </w:rPr>
            </w:pPr>
            <w:r w:rsidRPr="00141562">
              <w:rPr>
                <w:rFonts w:cs="Arial"/>
                <w:sz w:val="20"/>
              </w:rPr>
              <w:t>„The municipalities shall manage their affairs independently as laid down by law. The income sources of the municipalities, and the right of the municipalities to decide whether and how to use their sources of income, shall be regulated by law.</w:t>
            </w:r>
            <w:r>
              <w:rPr>
                <w:rFonts w:cs="Arial"/>
                <w:sz w:val="20"/>
              </w:rPr>
              <w:t>”</w:t>
            </w:r>
          </w:p>
        </w:tc>
      </w:tr>
      <w:tr w:rsidR="00B103D2" w:rsidRPr="00D738B5" w14:paraId="0C8C2A89" w14:textId="77777777" w:rsidTr="007870E5">
        <w:trPr>
          <w:trHeight w:val="238"/>
        </w:trPr>
        <w:tc>
          <w:tcPr>
            <w:tcW w:w="1353"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0CC21429" w14:textId="66E317B1" w:rsidR="00B103D2" w:rsidRPr="00D738B5" w:rsidRDefault="00680790" w:rsidP="00B103D2">
            <w:pPr>
              <w:pStyle w:val="TableCell"/>
              <w:jc w:val="left"/>
              <w:rPr>
                <w:sz w:val="20"/>
                <w:lang w:val="en-GB"/>
              </w:rPr>
            </w:pPr>
            <w:r w:rsidRPr="00680790">
              <w:rPr>
                <w:sz w:val="20"/>
                <w:lang w:val="en-GB"/>
              </w:rPr>
              <w:t>8 regio</w:t>
            </w:r>
            <w:r w:rsidR="00776C26">
              <w:rPr>
                <w:sz w:val="20"/>
                <w:lang w:val="en-GB"/>
              </w:rPr>
              <w:t>nal associations of local authorities</w:t>
            </w:r>
          </w:p>
        </w:tc>
      </w:tr>
      <w:tr w:rsidR="00B103D2" w:rsidRPr="00D738B5" w14:paraId="469B7188" w14:textId="77777777" w:rsidTr="007870E5">
        <w:trPr>
          <w:trHeight w:val="238"/>
        </w:trPr>
        <w:tc>
          <w:tcPr>
            <w:tcW w:w="1353"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223AD8CA" w14:textId="61AB7AD8" w:rsidR="00B103D2" w:rsidRPr="00D738B5" w:rsidRDefault="00680790" w:rsidP="00B103D2">
            <w:pPr>
              <w:pStyle w:val="TableCell"/>
              <w:jc w:val="left"/>
              <w:rPr>
                <w:sz w:val="20"/>
                <w:lang w:val="en-GB"/>
              </w:rPr>
            </w:pPr>
            <w:r>
              <w:rPr>
                <w:rFonts w:cs="Arial"/>
                <w:sz w:val="20"/>
              </w:rPr>
              <w:t>64</w:t>
            </w:r>
          </w:p>
        </w:tc>
      </w:tr>
      <w:tr w:rsidR="00594B16" w:rsidRPr="00D738B5" w14:paraId="052D3ED4" w14:textId="77777777" w:rsidTr="007870E5">
        <w:trPr>
          <w:trHeight w:val="238"/>
        </w:trPr>
        <w:tc>
          <w:tcPr>
            <w:tcW w:w="1353"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647" w:type="pct"/>
          </w:tcPr>
          <w:p w14:paraId="02E3FEF0" w14:textId="1DD566F4" w:rsidR="007E25A2" w:rsidRDefault="00757E08" w:rsidP="005317DE">
            <w:pPr>
              <w:pStyle w:val="TableCell"/>
              <w:jc w:val="left"/>
              <w:rPr>
                <w:rFonts w:cs="Arial"/>
                <w:sz w:val="20"/>
              </w:rPr>
            </w:pPr>
            <w:r>
              <w:rPr>
                <w:rFonts w:cs="Arial"/>
                <w:sz w:val="20"/>
              </w:rPr>
              <w:t>30</w:t>
            </w:r>
            <w:r w:rsidR="001D58DE" w:rsidRPr="001D58DE">
              <w:rPr>
                <w:rFonts w:cs="Arial"/>
                <w:sz w:val="20"/>
              </w:rPr>
              <w:t xml:space="preserve">% of total public expenditure </w:t>
            </w:r>
          </w:p>
          <w:p w14:paraId="5BB6B1BD" w14:textId="66D137F7" w:rsidR="007E25A2" w:rsidRPr="00757E08" w:rsidRDefault="00757E08" w:rsidP="00757E08">
            <w:pPr>
              <w:pStyle w:val="TableCell"/>
              <w:jc w:val="left"/>
              <w:rPr>
                <w:rFonts w:cs="Arial"/>
                <w:sz w:val="20"/>
              </w:rPr>
            </w:pPr>
            <w:r>
              <w:rPr>
                <w:rFonts w:cs="Arial"/>
                <w:sz w:val="20"/>
              </w:rPr>
              <w:t>29</w:t>
            </w:r>
            <w:r w:rsidR="001D58DE" w:rsidRPr="001D58DE">
              <w:rPr>
                <w:rFonts w:cs="Arial"/>
                <w:sz w:val="20"/>
              </w:rPr>
              <w:t>% of total public revenues</w:t>
            </w:r>
          </w:p>
        </w:tc>
      </w:tr>
      <w:tr w:rsidR="00594B16" w:rsidRPr="00D738B5" w14:paraId="00042320" w14:textId="77777777" w:rsidTr="007870E5">
        <w:trPr>
          <w:trHeight w:val="238"/>
        </w:trPr>
        <w:tc>
          <w:tcPr>
            <w:tcW w:w="1353"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647" w:type="pct"/>
          </w:tcPr>
          <w:p w14:paraId="3829CEBA" w14:textId="450D433D" w:rsidR="005E3CEA" w:rsidRPr="005E3CEA" w:rsidRDefault="005E3CEA" w:rsidP="005E3CEA">
            <w:pPr>
              <w:pStyle w:val="TableCell"/>
              <w:jc w:val="left"/>
              <w:rPr>
                <w:rFonts w:cs="Arial"/>
                <w:sz w:val="20"/>
              </w:rPr>
            </w:pPr>
            <w:r w:rsidRPr="005E3CEA">
              <w:rPr>
                <w:rFonts w:cs="Arial"/>
                <w:sz w:val="20"/>
              </w:rPr>
              <w:t xml:space="preserve">The following five key priority areas </w:t>
            </w:r>
            <w:r w:rsidR="00A40841">
              <w:rPr>
                <w:rFonts w:cs="Arial"/>
                <w:sz w:val="20"/>
              </w:rPr>
              <w:t xml:space="preserve">that are </w:t>
            </w:r>
            <w:r w:rsidRPr="005E3CEA">
              <w:rPr>
                <w:rFonts w:cs="Arial"/>
                <w:sz w:val="20"/>
              </w:rPr>
              <w:t>addressed</w:t>
            </w:r>
            <w:r w:rsidR="00EC7EDD">
              <w:rPr>
                <w:rFonts w:cs="Arial"/>
                <w:sz w:val="20"/>
              </w:rPr>
              <w:t xml:space="preserve"> </w:t>
            </w:r>
            <w:r w:rsidR="00A40841">
              <w:rPr>
                <w:rFonts w:cs="Arial"/>
                <w:sz w:val="20"/>
              </w:rPr>
              <w:t>in the p</w:t>
            </w:r>
            <w:r w:rsidR="00A40841" w:rsidRPr="00A40841">
              <w:rPr>
                <w:rFonts w:cs="Arial"/>
                <w:sz w:val="20"/>
              </w:rPr>
              <w:t>arliamentary resolution on a strategic regional plan for the period 2022–2036</w:t>
            </w:r>
            <w:r w:rsidR="00A40841">
              <w:rPr>
                <w:rFonts w:cs="Arial"/>
                <w:sz w:val="20"/>
              </w:rPr>
              <w:t xml:space="preserve"> </w:t>
            </w:r>
            <w:r w:rsidRPr="005E3CEA">
              <w:rPr>
                <w:rFonts w:cs="Arial"/>
                <w:sz w:val="20"/>
              </w:rPr>
              <w:t>to meet the impending challenges in the field of regional development:</w:t>
            </w:r>
          </w:p>
          <w:p w14:paraId="36EC86F1" w14:textId="701411DB" w:rsidR="005E3CEA" w:rsidRPr="005E3CEA" w:rsidRDefault="005E3CEA" w:rsidP="005E3CEA">
            <w:pPr>
              <w:pStyle w:val="TableCell"/>
              <w:jc w:val="left"/>
              <w:rPr>
                <w:rFonts w:cs="Arial"/>
                <w:sz w:val="20"/>
              </w:rPr>
            </w:pPr>
            <w:r w:rsidRPr="005E3CEA">
              <w:rPr>
                <w:rFonts w:cs="Arial"/>
                <w:sz w:val="20"/>
              </w:rPr>
              <w:t xml:space="preserve">1.      Demographic development and basic </w:t>
            </w:r>
            <w:r w:rsidR="00A40841" w:rsidRPr="005E3CEA">
              <w:rPr>
                <w:rFonts w:cs="Arial"/>
                <w:sz w:val="20"/>
              </w:rPr>
              <w:t>services.</w:t>
            </w:r>
          </w:p>
          <w:p w14:paraId="2B01AF6F" w14:textId="4CFDE642" w:rsidR="005E3CEA" w:rsidRPr="005E3CEA" w:rsidRDefault="005E3CEA" w:rsidP="005E3CEA">
            <w:pPr>
              <w:pStyle w:val="TableCell"/>
              <w:jc w:val="left"/>
              <w:rPr>
                <w:rFonts w:cs="Arial"/>
                <w:sz w:val="20"/>
              </w:rPr>
            </w:pPr>
            <w:r w:rsidRPr="005E3CEA">
              <w:rPr>
                <w:rFonts w:cs="Arial"/>
                <w:sz w:val="20"/>
              </w:rPr>
              <w:t xml:space="preserve">2.      Diverse economic </w:t>
            </w:r>
            <w:r w:rsidR="00A40841" w:rsidRPr="005E3CEA">
              <w:rPr>
                <w:rFonts w:cs="Arial"/>
                <w:sz w:val="20"/>
              </w:rPr>
              <w:t>activities.</w:t>
            </w:r>
          </w:p>
          <w:p w14:paraId="7AB3EDAB" w14:textId="43775ACD" w:rsidR="005E3CEA" w:rsidRPr="005E3CEA" w:rsidRDefault="005E3CEA" w:rsidP="005E3CEA">
            <w:pPr>
              <w:pStyle w:val="TableCell"/>
              <w:jc w:val="left"/>
              <w:rPr>
                <w:rFonts w:cs="Arial"/>
                <w:sz w:val="20"/>
              </w:rPr>
            </w:pPr>
            <w:r w:rsidRPr="005E3CEA">
              <w:rPr>
                <w:rFonts w:cs="Arial"/>
                <w:sz w:val="20"/>
              </w:rPr>
              <w:t xml:space="preserve">3.      </w:t>
            </w:r>
            <w:r w:rsidR="00A40841" w:rsidRPr="005E3CEA">
              <w:rPr>
                <w:rFonts w:cs="Arial"/>
                <w:sz w:val="20"/>
              </w:rPr>
              <w:t>Infrastructure.</w:t>
            </w:r>
          </w:p>
          <w:p w14:paraId="63B1A9BD" w14:textId="54E348BB" w:rsidR="005E3CEA" w:rsidRPr="005E3CEA" w:rsidRDefault="005E3CEA" w:rsidP="005E3CEA">
            <w:pPr>
              <w:pStyle w:val="TableCell"/>
              <w:jc w:val="left"/>
              <w:rPr>
                <w:rFonts w:cs="Arial"/>
                <w:sz w:val="20"/>
              </w:rPr>
            </w:pPr>
            <w:r w:rsidRPr="005E3CEA">
              <w:rPr>
                <w:rFonts w:cs="Arial"/>
                <w:sz w:val="20"/>
              </w:rPr>
              <w:t xml:space="preserve">4.      Environmental and climate change </w:t>
            </w:r>
            <w:r w:rsidR="00A40841" w:rsidRPr="005E3CEA">
              <w:rPr>
                <w:rFonts w:cs="Arial"/>
                <w:sz w:val="20"/>
              </w:rPr>
              <w:t>issues.</w:t>
            </w:r>
          </w:p>
          <w:p w14:paraId="31C991CD" w14:textId="2E6A1B1B" w:rsidR="005E3CEA" w:rsidRPr="005E3CEA" w:rsidRDefault="005E3CEA" w:rsidP="005E3CEA">
            <w:pPr>
              <w:pStyle w:val="TableCell"/>
              <w:jc w:val="left"/>
              <w:rPr>
                <w:rFonts w:cs="Arial"/>
                <w:sz w:val="20"/>
              </w:rPr>
            </w:pPr>
            <w:r w:rsidRPr="005E3CEA">
              <w:rPr>
                <w:rFonts w:cs="Arial"/>
                <w:sz w:val="20"/>
              </w:rPr>
              <w:t>5.      International competitiveness and sustainability of communities.</w:t>
            </w:r>
          </w:p>
          <w:p w14:paraId="1BAD7AD2" w14:textId="379EA73C" w:rsidR="00A15EA2" w:rsidRPr="005E3CEA" w:rsidRDefault="005E3CEA" w:rsidP="6DCC7E50">
            <w:pPr>
              <w:pStyle w:val="TableCell"/>
              <w:jc w:val="left"/>
              <w:rPr>
                <w:rFonts w:cs="Arial"/>
                <w:sz w:val="20"/>
              </w:rPr>
            </w:pPr>
            <w:r w:rsidRPr="005E3CEA">
              <w:rPr>
                <w:rFonts w:cs="Arial"/>
                <w:sz w:val="20"/>
              </w:rPr>
              <w:t>Strengthening the local government level and gender-equality perspective shall be incorporated while resolving these challenges.</w:t>
            </w:r>
          </w:p>
        </w:tc>
      </w:tr>
      <w:tr w:rsidR="00594B16" w:rsidRPr="00D738B5" w14:paraId="60D8C1E4" w14:textId="77777777" w:rsidTr="007870E5">
        <w:trPr>
          <w:trHeight w:val="238"/>
        </w:trPr>
        <w:tc>
          <w:tcPr>
            <w:tcW w:w="1353" w:type="pct"/>
          </w:tcPr>
          <w:p w14:paraId="39C429F7" w14:textId="72D388CD" w:rsidR="00594B16" w:rsidRPr="00D738B5" w:rsidRDefault="005317DE" w:rsidP="6DCC7E50">
            <w:pPr>
              <w:pStyle w:val="TableRow"/>
              <w:jc w:val="left"/>
              <w:rPr>
                <w:sz w:val="20"/>
                <w:lang w:val="en-GB"/>
              </w:rPr>
            </w:pPr>
            <w:r w:rsidRPr="6DCC7E50">
              <w:rPr>
                <w:sz w:val="20"/>
                <w:lang w:val="en-GB"/>
              </w:rPr>
              <w:t>Objectives of regional policy</w:t>
            </w:r>
          </w:p>
        </w:tc>
        <w:tc>
          <w:tcPr>
            <w:tcW w:w="3647" w:type="pct"/>
          </w:tcPr>
          <w:p w14:paraId="30E00119" w14:textId="77777777" w:rsidR="00CA13E9" w:rsidRPr="008B09EE" w:rsidRDefault="00CA13E9" w:rsidP="00CA13E9">
            <w:pPr>
              <w:pStyle w:val="TableCell"/>
              <w:spacing w:line="240" w:lineRule="exact"/>
              <w:jc w:val="left"/>
              <w:rPr>
                <w:rFonts w:cs="Arial"/>
                <w:sz w:val="20"/>
              </w:rPr>
            </w:pPr>
            <w:r w:rsidRPr="008B09EE">
              <w:rPr>
                <w:rFonts w:cs="Arial"/>
                <w:sz w:val="20"/>
              </w:rPr>
              <w:t>The government’s regional development objectives pursuant to the Act on Regional Planning and Initiatives are to:</w:t>
            </w:r>
          </w:p>
          <w:p w14:paraId="1C96E1FF" w14:textId="77777777" w:rsidR="00CA13E9" w:rsidRPr="008B09EE" w:rsidRDefault="00CA13E9" w:rsidP="00CA13E9">
            <w:pPr>
              <w:pStyle w:val="TableCell"/>
              <w:spacing w:line="240" w:lineRule="exact"/>
              <w:jc w:val="left"/>
              <w:rPr>
                <w:rFonts w:cs="Arial"/>
                <w:sz w:val="20"/>
              </w:rPr>
            </w:pPr>
            <w:r w:rsidRPr="008B09EE">
              <w:rPr>
                <w:rFonts w:cs="Arial"/>
                <w:sz w:val="20"/>
              </w:rPr>
              <w:t>A. Equalise access to services,</w:t>
            </w:r>
          </w:p>
          <w:p w14:paraId="6368A9CF" w14:textId="77777777" w:rsidR="00CA13E9" w:rsidRPr="008B09EE" w:rsidRDefault="00CA13E9" w:rsidP="00CA13E9">
            <w:pPr>
              <w:pStyle w:val="TableCell"/>
              <w:spacing w:line="240" w:lineRule="exact"/>
              <w:jc w:val="left"/>
              <w:rPr>
                <w:rFonts w:cs="Arial"/>
                <w:sz w:val="20"/>
              </w:rPr>
            </w:pPr>
            <w:r w:rsidRPr="008B09EE">
              <w:rPr>
                <w:rFonts w:cs="Arial"/>
                <w:sz w:val="20"/>
              </w:rPr>
              <w:t>B. Equalise employment opportunities,</w:t>
            </w:r>
          </w:p>
          <w:p w14:paraId="358AAA12" w14:textId="1ECB735F" w:rsidR="00594B16" w:rsidRPr="008D7254" w:rsidRDefault="00CA13E9" w:rsidP="6DCC7E50">
            <w:pPr>
              <w:pStyle w:val="TableCell"/>
              <w:spacing w:line="240" w:lineRule="exact"/>
              <w:jc w:val="left"/>
              <w:rPr>
                <w:rFonts w:cs="Arial"/>
                <w:sz w:val="20"/>
              </w:rPr>
            </w:pPr>
            <w:r w:rsidRPr="008B09EE">
              <w:rPr>
                <w:rFonts w:cs="Arial"/>
                <w:sz w:val="20"/>
              </w:rPr>
              <w:t>C. Promote sustainable development of communities throughout the country.</w:t>
            </w:r>
          </w:p>
        </w:tc>
      </w:tr>
      <w:tr w:rsidR="00594B16" w:rsidRPr="00D738B5" w14:paraId="0A562549" w14:textId="77777777" w:rsidTr="007870E5">
        <w:trPr>
          <w:trHeight w:val="238"/>
        </w:trPr>
        <w:tc>
          <w:tcPr>
            <w:tcW w:w="1353"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647" w:type="pct"/>
          </w:tcPr>
          <w:p w14:paraId="5F13190A" w14:textId="23D0D8D8" w:rsidR="007807EA" w:rsidRPr="00CE0699" w:rsidRDefault="00AA2AD0" w:rsidP="007807E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The parliament (</w:t>
            </w:r>
            <w:r w:rsidR="007807EA" w:rsidRPr="00CE0699">
              <w:rPr>
                <w:rFonts w:ascii="Arial Narrow" w:eastAsiaTheme="minorHAnsi" w:hAnsi="Arial Narrow" w:cs="Arial"/>
                <w:color w:val="000000" w:themeColor="text1"/>
                <w:sz w:val="20"/>
                <w:szCs w:val="20"/>
              </w:rPr>
              <w:t>Alþingi</w:t>
            </w:r>
            <w:r>
              <w:rPr>
                <w:rFonts w:ascii="Arial Narrow" w:eastAsiaTheme="minorHAnsi" w:hAnsi="Arial Narrow" w:cs="Arial"/>
                <w:color w:val="000000" w:themeColor="text1"/>
                <w:sz w:val="20"/>
                <w:szCs w:val="20"/>
              </w:rPr>
              <w:t>)</w:t>
            </w:r>
            <w:r w:rsidR="007807EA" w:rsidRPr="00CE0699">
              <w:rPr>
                <w:rFonts w:ascii="Arial Narrow" w:eastAsiaTheme="minorHAnsi" w:hAnsi="Arial Narrow" w:cs="Arial"/>
                <w:color w:val="000000" w:themeColor="text1"/>
                <w:sz w:val="20"/>
                <w:szCs w:val="20"/>
              </w:rPr>
              <w:t xml:space="preserve"> resolves to task the government with implementing the following 15-year regional development policy and five-year action plan </w:t>
            </w:r>
            <w:r w:rsidR="005E7938" w:rsidRPr="00CE0699">
              <w:rPr>
                <w:rFonts w:ascii="Arial Narrow" w:eastAsiaTheme="minorHAnsi" w:hAnsi="Arial Narrow" w:cs="Arial"/>
                <w:color w:val="000000" w:themeColor="text1"/>
                <w:sz w:val="20"/>
                <w:szCs w:val="20"/>
              </w:rPr>
              <w:t xml:space="preserve">(The Act on Strategic Regional Plan and Regional Plans of Action </w:t>
            </w:r>
            <w:hyperlink r:id="rId13" w:history="1">
              <w:r w:rsidR="005E7938" w:rsidRPr="00CE0699">
                <w:rPr>
                  <w:rFonts w:ascii="Arial Narrow" w:eastAsiaTheme="minorHAnsi" w:hAnsi="Arial Narrow" w:cs="Arial"/>
                  <w:color w:val="000000" w:themeColor="text1"/>
                  <w:sz w:val="20"/>
                  <w:szCs w:val="20"/>
                </w:rPr>
                <w:t>Act 69 of July 9 2015</w:t>
              </w:r>
            </w:hyperlink>
            <w:r w:rsidR="005E7938" w:rsidRPr="00CE0699">
              <w:rPr>
                <w:rFonts w:ascii="Arial Narrow" w:eastAsiaTheme="minorHAnsi" w:hAnsi="Arial Narrow" w:cs="Arial"/>
                <w:color w:val="000000" w:themeColor="text1"/>
                <w:sz w:val="20"/>
                <w:szCs w:val="20"/>
              </w:rPr>
              <w:t>)</w:t>
            </w:r>
            <w:r w:rsidR="00774A40" w:rsidRPr="00CE0699">
              <w:rPr>
                <w:rFonts w:ascii="Arial Narrow" w:eastAsiaTheme="minorHAnsi" w:hAnsi="Arial Narrow" w:cs="Arial"/>
                <w:color w:val="000000" w:themeColor="text1"/>
                <w:sz w:val="20"/>
                <w:szCs w:val="20"/>
              </w:rPr>
              <w:t xml:space="preserve"> </w:t>
            </w:r>
            <w:r w:rsidR="007807EA" w:rsidRPr="00CE0699">
              <w:rPr>
                <w:rFonts w:ascii="Arial Narrow" w:eastAsiaTheme="minorHAnsi" w:hAnsi="Arial Narrow" w:cs="Arial"/>
                <w:color w:val="000000" w:themeColor="text1"/>
                <w:sz w:val="20"/>
                <w:szCs w:val="20"/>
              </w:rPr>
              <w:t>and to take this implementation into account when drawing up the annual general budget and in the five-year fiscal plan.</w:t>
            </w:r>
          </w:p>
          <w:p w14:paraId="79FE6718" w14:textId="77777777" w:rsidR="007807EA" w:rsidRPr="00CE0699" w:rsidRDefault="007807EA"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
          <w:p w14:paraId="4AC13885" w14:textId="41DB47F0" w:rsidR="00750AAA" w:rsidRPr="00CE0699" w:rsidRDefault="00010BDF"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 xml:space="preserve">The </w:t>
            </w:r>
            <w:r w:rsidR="00A61647" w:rsidRPr="00CE0699">
              <w:rPr>
                <w:rFonts w:ascii="Arial Narrow" w:eastAsiaTheme="minorHAnsi" w:hAnsi="Arial Narrow" w:cs="Arial"/>
                <w:color w:val="000000" w:themeColor="text1"/>
                <w:sz w:val="20"/>
                <w:szCs w:val="20"/>
              </w:rPr>
              <w:t>Icelandic Regional Development Institute (</w:t>
            </w:r>
            <w:r w:rsidR="00A61647" w:rsidRPr="007870E5">
              <w:rPr>
                <w:rFonts w:ascii="Arial Narrow" w:eastAsiaTheme="minorHAnsi" w:hAnsi="Arial Narrow" w:cs="Arial"/>
                <w:i/>
                <w:iCs/>
                <w:color w:val="000000" w:themeColor="text1"/>
                <w:sz w:val="20"/>
                <w:szCs w:val="20"/>
              </w:rPr>
              <w:t>Byggðastofnun</w:t>
            </w:r>
            <w:r w:rsidR="00A61647" w:rsidRPr="00CE0699">
              <w:rPr>
                <w:rFonts w:ascii="Arial Narrow" w:eastAsiaTheme="minorHAnsi" w:hAnsi="Arial Narrow" w:cs="Arial"/>
                <w:color w:val="000000" w:themeColor="text1"/>
                <w:sz w:val="20"/>
                <w:szCs w:val="20"/>
              </w:rPr>
              <w:t>)</w:t>
            </w:r>
            <w:r w:rsidR="00750AAA" w:rsidRPr="00CE0699">
              <w:rPr>
                <w:rFonts w:ascii="Arial Narrow" w:eastAsiaTheme="minorHAnsi" w:hAnsi="Arial Narrow" w:cs="Arial"/>
                <w:color w:val="000000" w:themeColor="text1"/>
                <w:sz w:val="20"/>
                <w:szCs w:val="20"/>
              </w:rPr>
              <w:t xml:space="preserve"> was founded in 1985 and falls under</w:t>
            </w:r>
            <w:r w:rsidR="00A61647" w:rsidRPr="00CE0699">
              <w:rPr>
                <w:rFonts w:ascii="Arial Narrow" w:eastAsiaTheme="minorHAnsi" w:hAnsi="Arial Narrow" w:cs="Arial"/>
                <w:color w:val="000000" w:themeColor="text1"/>
                <w:sz w:val="20"/>
                <w:szCs w:val="20"/>
              </w:rPr>
              <w:t xml:space="preserve"> </w:t>
            </w:r>
            <w:hyperlink r:id="rId14" w:history="1">
              <w:r w:rsidR="00750AAA" w:rsidRPr="00CE0699">
                <w:rPr>
                  <w:rFonts w:ascii="Arial Narrow" w:eastAsiaTheme="minorHAnsi" w:hAnsi="Arial Narrow" w:cs="Arial"/>
                  <w:color w:val="000000" w:themeColor="text1"/>
                  <w:sz w:val="20"/>
                  <w:szCs w:val="20"/>
                </w:rPr>
                <w:t>Act. No 106 of December 27 1999</w:t>
              </w:r>
            </w:hyperlink>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and</w:t>
            </w:r>
            <w:r w:rsidR="00131F7F" w:rsidRPr="00CE0699">
              <w:rPr>
                <w:rFonts w:ascii="Arial Narrow" w:eastAsiaTheme="minorHAnsi" w:hAnsi="Arial Narrow" w:cs="Arial"/>
                <w:color w:val="000000" w:themeColor="text1"/>
                <w:sz w:val="20"/>
                <w:szCs w:val="20"/>
              </w:rPr>
              <w:t xml:space="preserve"> </w:t>
            </w:r>
            <w:hyperlink r:id="rId15" w:history="1">
              <w:r w:rsidR="00750AAA" w:rsidRPr="00CE0699">
                <w:rPr>
                  <w:rFonts w:ascii="Arial Narrow" w:eastAsiaTheme="minorHAnsi" w:hAnsi="Arial Narrow" w:cs="Arial"/>
                  <w:color w:val="000000" w:themeColor="text1"/>
                  <w:sz w:val="20"/>
                  <w:szCs w:val="20"/>
                </w:rPr>
                <w:t>Regulation No 347 of May 16 2000</w:t>
              </w:r>
            </w:hyperlink>
            <w:r w:rsidR="00750AAA" w:rsidRPr="00CE0699">
              <w:rPr>
                <w:rFonts w:ascii="Arial Narrow" w:eastAsiaTheme="minorHAnsi" w:hAnsi="Arial Narrow" w:cs="Arial"/>
                <w:color w:val="000000" w:themeColor="text1"/>
                <w:sz w:val="20"/>
                <w:szCs w:val="20"/>
              </w:rPr>
              <w:t xml:space="preserve">. It is an independent state-owned institute and </w:t>
            </w:r>
            <w:r w:rsidR="00131F7F" w:rsidRPr="00CE0699">
              <w:rPr>
                <w:rFonts w:ascii="Arial Narrow" w:eastAsiaTheme="minorHAnsi" w:hAnsi="Arial Narrow" w:cs="Arial"/>
                <w:color w:val="000000" w:themeColor="text1"/>
                <w:sz w:val="20"/>
                <w:szCs w:val="20"/>
              </w:rPr>
              <w:t>heres</w:t>
            </w:r>
            <w:r w:rsidR="00750AAA" w:rsidRPr="00CE0699">
              <w:rPr>
                <w:rFonts w:ascii="Arial Narrow" w:eastAsiaTheme="minorHAnsi" w:hAnsi="Arial Narrow" w:cs="Arial"/>
                <w:color w:val="000000" w:themeColor="text1"/>
                <w:sz w:val="20"/>
                <w:szCs w:val="20"/>
              </w:rPr>
              <w:t xml:space="preserve"> under the ultimate authority of the</w:t>
            </w:r>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Minister of Infrastructure. The function of Byggðastofnun is to promote rural settlement and economic activity, with special emphasis on the creation of equal opportunities for all inhabitants to employment and habitation.</w:t>
            </w:r>
            <w:r w:rsidR="00846576"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In accordance with its function Byggðastofnun prepares, organizes and funds projects and provides loans with the aim of bolstering regional settlement, boosting employment and encouraging innovation in business and industry.</w:t>
            </w:r>
          </w:p>
          <w:p w14:paraId="57CBA755" w14:textId="7DE5D803" w:rsidR="00642765" w:rsidRPr="00CE0699" w:rsidRDefault="00750AAA"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Byggðastofnun organizes and contributes to consultancy services in co-operation with economic development agencies, local authorities, and other interested parties.</w:t>
            </w:r>
          </w:p>
          <w:p w14:paraId="7D6F5EC8" w14:textId="65E1BC76" w:rsidR="00B9463C" w:rsidRPr="00CE0699" w:rsidRDefault="00B9463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 xml:space="preserve">Regional plans of action (RPA) are a joint project of national and local authorities. The Act on Strategic Regional Plan and Regional Plans of Action </w:t>
            </w:r>
            <w:hyperlink r:id="rId16" w:history="1">
              <w:r w:rsidR="007B505D" w:rsidRPr="00CE0699">
                <w:rPr>
                  <w:rFonts w:ascii="Arial Narrow" w:eastAsiaTheme="minorHAnsi" w:hAnsi="Arial Narrow" w:cs="Arial"/>
                  <w:color w:val="000000" w:themeColor="text1"/>
                  <w:sz w:val="20"/>
                  <w:szCs w:val="20"/>
                </w:rPr>
                <w:t>Act 69 of July 9 2015</w:t>
              </w:r>
            </w:hyperlink>
            <w:r w:rsidR="007B505D" w:rsidRPr="00CE0699">
              <w:rPr>
                <w:rFonts w:ascii="Arial Narrow" w:eastAsiaTheme="minorHAnsi" w:hAnsi="Arial Narrow" w:cs="Arial"/>
                <w:color w:val="000000" w:themeColor="text1"/>
                <w:sz w:val="20"/>
                <w:szCs w:val="20"/>
              </w:rPr>
              <w:t xml:space="preserve">(in Icelandic) </w:t>
            </w:r>
            <w:r w:rsidRPr="00CE0699">
              <w:rPr>
                <w:rFonts w:ascii="Arial Narrow" w:eastAsiaTheme="minorHAnsi" w:hAnsi="Arial Narrow" w:cs="Arial"/>
                <w:color w:val="000000" w:themeColor="text1"/>
                <w:sz w:val="20"/>
                <w:szCs w:val="20"/>
              </w:rPr>
              <w:lastRenderedPageBreak/>
              <w:t>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p w14:paraId="759CED50" w14:textId="210950D9" w:rsidR="00DF17EC" w:rsidRPr="00CE0699" w:rsidRDefault="00DF17E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The eight regional associations of local authorities are responsible for implementing the initiatives of regional plans of Actions through five-year contracts with the government. The country is divided into eight regions.</w:t>
            </w:r>
          </w:p>
          <w:p w14:paraId="09454358" w14:textId="2925EB8E" w:rsidR="00825AC5" w:rsidRPr="00CE0699" w:rsidRDefault="00737A52" w:rsidP="00E45B7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CE0699">
              <w:rPr>
                <w:rFonts w:ascii="Arial Narrow" w:eastAsiaTheme="minorHAnsi" w:hAnsi="Arial Narrow" w:cs="Arial"/>
                <w:color w:val="000000" w:themeColor="text1"/>
                <w:sz w:val="20"/>
                <w:szCs w:val="20"/>
              </w:rPr>
              <w:t xml:space="preserve"> </w:t>
            </w:r>
            <w:r w:rsidR="006C7E21" w:rsidRPr="00CE0699">
              <w:rPr>
                <w:rFonts w:ascii="Arial Narrow" w:eastAsiaTheme="minorHAnsi" w:hAnsi="Arial Narrow" w:cs="Arial"/>
                <w:color w:val="000000" w:themeColor="text1"/>
                <w:sz w:val="20"/>
                <w:szCs w:val="20"/>
              </w:rPr>
              <w:t>as</w:t>
            </w:r>
            <w:r w:rsidR="00610A6F" w:rsidRPr="00CE0699">
              <w:rPr>
                <w:rFonts w:ascii="Arial Narrow" w:eastAsiaTheme="minorHAnsi" w:hAnsi="Arial Narrow" w:cs="Arial"/>
                <w:color w:val="000000" w:themeColor="text1"/>
                <w:sz w:val="20"/>
                <w:szCs w:val="20"/>
              </w:rPr>
              <w:t xml:space="preserve"> defined in </w:t>
            </w:r>
            <w:r w:rsidR="00010BDF">
              <w:rPr>
                <w:rFonts w:ascii="Arial Narrow" w:eastAsiaTheme="minorHAnsi" w:hAnsi="Arial Narrow" w:cs="Arial"/>
                <w:color w:val="000000" w:themeColor="text1"/>
                <w:sz w:val="20"/>
                <w:szCs w:val="20"/>
              </w:rPr>
              <w:t xml:space="preserve">law </w:t>
            </w:r>
            <w:r w:rsidRPr="00CE0699">
              <w:rPr>
                <w:rFonts w:ascii="Arial Narrow" w:eastAsiaTheme="minorHAnsi" w:hAnsi="Arial Narrow" w:cs="Arial"/>
                <w:color w:val="000000" w:themeColor="text1"/>
                <w:sz w:val="20"/>
                <w:szCs w:val="20"/>
              </w:rPr>
              <w:t>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922AC4" w:rsidRPr="00D738B5" w14:paraId="60BF0C13" w14:textId="77777777" w:rsidTr="007870E5">
        <w:trPr>
          <w:trHeight w:val="238"/>
        </w:trPr>
        <w:tc>
          <w:tcPr>
            <w:tcW w:w="1353" w:type="pct"/>
          </w:tcPr>
          <w:p w14:paraId="581AEDCF" w14:textId="53DBFB2A" w:rsidR="00922AC4" w:rsidRPr="00D738B5" w:rsidRDefault="00922AC4" w:rsidP="005317DE">
            <w:pPr>
              <w:pStyle w:val="TableRow"/>
              <w:rPr>
                <w:sz w:val="20"/>
                <w:lang w:val="en-GB"/>
              </w:rPr>
            </w:pPr>
            <w:r w:rsidRPr="00D738B5">
              <w:rPr>
                <w:sz w:val="20"/>
                <w:lang w:val="en-GB"/>
              </w:rPr>
              <w:lastRenderedPageBreak/>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647" w:type="pct"/>
          </w:tcPr>
          <w:tbl>
            <w:tblPr>
              <w:tblW w:w="7036" w:type="dxa"/>
              <w:tblBorders>
                <w:bottom w:val="single" w:sz="6" w:space="0" w:color="DAD7CC"/>
              </w:tblBorders>
              <w:tblCellMar>
                <w:left w:w="0" w:type="dxa"/>
                <w:right w:w="0" w:type="dxa"/>
              </w:tblCellMar>
              <w:tblLook w:val="04A0" w:firstRow="1" w:lastRow="0" w:firstColumn="1" w:lastColumn="0" w:noHBand="0" w:noVBand="1"/>
            </w:tblPr>
            <w:tblGrid>
              <w:gridCol w:w="4538"/>
              <w:gridCol w:w="1250"/>
              <w:gridCol w:w="1248"/>
            </w:tblGrid>
            <w:tr w:rsidR="007D3ED4" w:rsidRPr="00785711" w14:paraId="3429925F"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EE0193F" w14:textId="28414684" w:rsidR="00B44497" w:rsidRPr="00785711" w:rsidRDefault="00B44497" w:rsidP="00B44497">
                  <w:pP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Breakdown of the 2022–2026 fiscal framework</w:t>
                  </w:r>
                  <w:r w:rsidR="00C03A61" w:rsidRPr="00785711">
                    <w:rPr>
                      <w:rFonts w:asciiTheme="majorHAnsi" w:hAnsiTheme="majorHAnsi" w:cs="Calibri"/>
                      <w:b/>
                      <w:bCs/>
                      <w:color w:val="000000"/>
                      <w:sz w:val="20"/>
                      <w:szCs w:val="20"/>
                    </w:rPr>
                    <w:t xml:space="preserve"> for regional development.</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63564E5"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2022</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96C8B51"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2023</w:t>
                  </w:r>
                </w:p>
              </w:tc>
            </w:tr>
            <w:tr w:rsidR="007D3ED4" w:rsidRPr="00785711" w14:paraId="150A4C12"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9E10839" w14:textId="77777777" w:rsidR="00B44497" w:rsidRPr="00785711" w:rsidRDefault="00B44497" w:rsidP="00B44497">
                  <w:pPr>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Regional development total</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9055804" w14:textId="77777777" w:rsidR="00B44497" w:rsidRPr="00785711" w:rsidRDefault="00B44497" w:rsidP="00B44497">
                  <w:pPr>
                    <w:jc w:val="right"/>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2078</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D0E34BF" w14:textId="3AA35E96" w:rsidR="00B44497" w:rsidRPr="00785711" w:rsidRDefault="00CE0699" w:rsidP="00B44497">
                  <w:pPr>
                    <w:jc w:val="right"/>
                    <w:rPr>
                      <w:rFonts w:asciiTheme="majorHAnsi" w:eastAsia="Times New Roman" w:hAnsiTheme="majorHAnsi" w:cs="Calibri"/>
                      <w:i/>
                      <w:iCs/>
                      <w:color w:val="000000"/>
                      <w:sz w:val="20"/>
                      <w:szCs w:val="20"/>
                      <w:highlight w:val="yellow"/>
                    </w:rPr>
                  </w:pPr>
                  <w:r w:rsidRPr="00CE0699">
                    <w:rPr>
                      <w:rFonts w:asciiTheme="majorHAnsi" w:hAnsiTheme="majorHAnsi" w:cs="Calibri"/>
                      <w:b/>
                      <w:i/>
                      <w:iCs/>
                      <w:color w:val="000000" w:themeColor="text1"/>
                      <w:sz w:val="20"/>
                      <w:szCs w:val="20"/>
                    </w:rPr>
                    <w:t>1969</w:t>
                  </w:r>
                </w:p>
              </w:tc>
            </w:tr>
            <w:tr w:rsidR="007D3ED4" w:rsidRPr="00785711" w14:paraId="3FAC198D"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715095C"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Strategic Regional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D14D874"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923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3C09F4C" w14:textId="484141CF" w:rsidR="00B44497" w:rsidRPr="00785711" w:rsidRDefault="765DF913"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875</w:t>
                  </w:r>
                </w:p>
              </w:tc>
            </w:tr>
            <w:tr w:rsidR="007D3ED4" w:rsidRPr="00785711" w14:paraId="12E1669B"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85D0246" w14:textId="5AD2BB11" w:rsidR="00B44497" w:rsidRPr="00BF0EA3" w:rsidRDefault="00B44497" w:rsidP="00C03A61">
                  <w:pPr>
                    <w:ind w:left="470"/>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Proportion</w:t>
                  </w:r>
                  <w:r w:rsidR="00BF0EA3">
                    <w:rPr>
                      <w:rFonts w:asciiTheme="majorHAnsi" w:hAnsiTheme="majorHAnsi" w:cs="Calibri"/>
                      <w:i/>
                      <w:color w:val="000000"/>
                      <w:sz w:val="16"/>
                      <w:szCs w:val="16"/>
                    </w:rPr>
                    <w:t xml:space="preserve"> of </w:t>
                  </w:r>
                  <w:r w:rsidRPr="00BF0EA3">
                    <w:rPr>
                      <w:rFonts w:asciiTheme="majorHAnsi" w:hAnsiTheme="majorHAnsi" w:cs="Calibri"/>
                      <w:i/>
                      <w:color w:val="000000"/>
                      <w:sz w:val="16"/>
                      <w:szCs w:val="16"/>
                    </w:rPr>
                    <w:t>allocated to the action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32D1F48"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647</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515DD8D"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661</w:t>
                  </w:r>
                </w:p>
              </w:tc>
            </w:tr>
            <w:tr w:rsidR="007D3ED4" w:rsidRPr="00785711" w14:paraId="2648E49C"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C2A0FDD"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Regional plans of action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4AF7D0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569</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B5C7D89" w14:textId="3B5FA822" w:rsidR="00B44497" w:rsidRPr="00785711" w:rsidRDefault="06EE6E02"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569</w:t>
                  </w:r>
                </w:p>
              </w:tc>
            </w:tr>
            <w:tr w:rsidR="007D3ED4" w:rsidRPr="00785711" w14:paraId="6F630980"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577079E"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The Regional Development Institute</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26C152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17749ACB"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211</w:t>
                  </w:r>
                </w:p>
              </w:tc>
            </w:tr>
            <w:tr w:rsidR="007D3ED4" w:rsidRPr="00785711" w14:paraId="4B53101E"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57076B3"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Employment consultants in regional Iceland</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6868CF8"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206</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2DAB4B2"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204</w:t>
                  </w:r>
                </w:p>
              </w:tc>
            </w:tr>
            <w:tr w:rsidR="00B9482B" w:rsidRPr="00785711" w14:paraId="781B2F6C" w14:textId="77777777" w:rsidTr="005C74A9">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6689ADF7" w14:textId="77777777" w:rsidR="00B9482B" w:rsidRPr="00785711" w:rsidRDefault="00B9482B" w:rsidP="005C74A9">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Transport cost equalization</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4AE3CF4C"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20946609"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r>
            <w:tr w:rsidR="007D3ED4" w:rsidRPr="00785711" w14:paraId="26B24C74"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4C9E27B0" w14:textId="36D4BFFA" w:rsidR="00B44497" w:rsidRPr="009007DC" w:rsidRDefault="009007DC" w:rsidP="009007DC">
                  <w:pPr>
                    <w:rPr>
                      <w:rFonts w:asciiTheme="majorHAnsi" w:eastAsia="Times New Roman" w:hAnsiTheme="majorHAnsi" w:cs="Calibri"/>
                      <w:b/>
                      <w:bCs/>
                      <w:color w:val="000000"/>
                      <w:sz w:val="20"/>
                      <w:szCs w:val="20"/>
                    </w:rPr>
                  </w:pPr>
                  <w:r w:rsidRPr="009007DC">
                    <w:rPr>
                      <w:rFonts w:asciiTheme="majorHAnsi" w:hAnsiTheme="majorHAnsi" w:cs="Calibri"/>
                      <w:b/>
                      <w:i/>
                      <w:iCs/>
                      <w:color w:val="000000"/>
                      <w:sz w:val="20"/>
                      <w:szCs w:val="20"/>
                    </w:rPr>
                    <w:t>Other equalization measures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A656E24" w14:textId="2D53242A"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55.600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503F47CC" w14:textId="25C981E8"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72.600</w:t>
                  </w:r>
                </w:p>
              </w:tc>
            </w:tr>
            <w:tr w:rsidR="009007DC" w:rsidRPr="00785711" w14:paraId="40FD5928"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350A80BF" w14:textId="77777777" w:rsidR="009007DC" w:rsidRPr="00785711" w:rsidRDefault="009007DC" w:rsidP="009007DC">
                  <w:pPr>
                    <w:ind w:left="470"/>
                    <w:rPr>
                      <w:rFonts w:asciiTheme="majorHAnsi" w:hAnsiTheme="majorHAnsi" w:cs="Calibri"/>
                      <w:color w:val="000000"/>
                      <w:sz w:val="20"/>
                      <w:szCs w:val="20"/>
                    </w:rPr>
                  </w:pPr>
                  <w:r w:rsidRPr="00785711">
                    <w:rPr>
                      <w:rFonts w:asciiTheme="majorHAnsi" w:eastAsia="Times New Roman" w:hAnsiTheme="majorHAnsi" w:cs="Times New Roman"/>
                      <w:sz w:val="20"/>
                      <w:szCs w:val="20"/>
                    </w:rPr>
                    <w:t>Local Authorities' Equalization Fund</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EF9EFDB" w14:textId="7BC7F41C" w:rsidR="009007DC" w:rsidRPr="00785711" w:rsidRDefault="009007DC" w:rsidP="009007DC">
                  <w:pPr>
                    <w:jc w:val="right"/>
                    <w:rPr>
                      <w:rFonts w:asciiTheme="majorHAnsi" w:hAnsiTheme="majorHAnsi" w:cs="Calibri"/>
                      <w:color w:val="000000"/>
                      <w:sz w:val="20"/>
                      <w:szCs w:val="20"/>
                    </w:rPr>
                  </w:pPr>
                  <w:r w:rsidRPr="00785711">
                    <w:rPr>
                      <w:rFonts w:asciiTheme="majorHAnsi" w:hAnsiTheme="majorHAnsi" w:cs="Calibri"/>
                      <w:color w:val="000000"/>
                      <w:sz w:val="20"/>
                      <w:szCs w:val="20"/>
                    </w:rPr>
                    <w:t>55</w:t>
                  </w:r>
                  <w:r w:rsidR="00145F5F">
                    <w:rPr>
                      <w:rFonts w:asciiTheme="majorHAnsi" w:hAnsiTheme="majorHAnsi" w:cs="Calibri"/>
                      <w:color w:val="000000"/>
                      <w:sz w:val="20"/>
                      <w:szCs w:val="20"/>
                    </w:rPr>
                    <w:t>.</w:t>
                  </w:r>
                  <w:r w:rsidRPr="00785711">
                    <w:rPr>
                      <w:rFonts w:asciiTheme="majorHAnsi" w:hAnsiTheme="majorHAnsi" w:cs="Calibri"/>
                      <w:color w:val="000000"/>
                      <w:sz w:val="20"/>
                      <w:szCs w:val="20"/>
                    </w:rPr>
                    <w:t>000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573A7E9" w14:textId="39D82C23" w:rsidR="009007DC" w:rsidRPr="00785711" w:rsidRDefault="00A65713" w:rsidP="009007DC">
                  <w:pPr>
                    <w:jc w:val="right"/>
                    <w:rPr>
                      <w:rFonts w:asciiTheme="majorHAnsi" w:hAnsiTheme="majorHAnsi" w:cs="Calibri"/>
                      <w:color w:val="000000"/>
                      <w:sz w:val="20"/>
                      <w:szCs w:val="20"/>
                    </w:rPr>
                  </w:pPr>
                  <w:r>
                    <w:rPr>
                      <w:rFonts w:asciiTheme="majorHAnsi" w:hAnsiTheme="majorHAnsi" w:cs="Calibri"/>
                      <w:color w:val="000000"/>
                      <w:sz w:val="20"/>
                      <w:szCs w:val="20"/>
                    </w:rPr>
                    <w:t>7</w:t>
                  </w:r>
                  <w:r w:rsidR="002F3546">
                    <w:rPr>
                      <w:rFonts w:asciiTheme="majorHAnsi" w:hAnsiTheme="majorHAnsi" w:cs="Calibri"/>
                      <w:color w:val="000000"/>
                      <w:sz w:val="20"/>
                      <w:szCs w:val="20"/>
                    </w:rPr>
                    <w:t>2</w:t>
                  </w:r>
                  <w:r>
                    <w:rPr>
                      <w:rFonts w:asciiTheme="majorHAnsi" w:hAnsiTheme="majorHAnsi" w:cs="Calibri"/>
                      <w:color w:val="000000"/>
                      <w:sz w:val="20"/>
                      <w:szCs w:val="20"/>
                    </w:rPr>
                    <w:t>.000</w:t>
                  </w:r>
                </w:p>
              </w:tc>
            </w:tr>
            <w:tr w:rsidR="009007DC" w:rsidRPr="00785711" w14:paraId="10C351DD"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211958C2" w14:textId="35968EE0" w:rsidR="009007DC" w:rsidRPr="00785711" w:rsidRDefault="009007DC" w:rsidP="009007DC">
                  <w:pPr>
                    <w:ind w:left="470"/>
                    <w:rPr>
                      <w:rFonts w:asciiTheme="majorHAnsi" w:eastAsia="Times New Roman" w:hAnsiTheme="majorHAnsi" w:cs="Times New Roman"/>
                      <w:sz w:val="20"/>
                      <w:szCs w:val="20"/>
                    </w:rPr>
                  </w:pPr>
                  <w:r w:rsidRPr="00785711">
                    <w:rPr>
                      <w:rFonts w:asciiTheme="majorHAnsi" w:eastAsia="Times New Roman" w:hAnsiTheme="majorHAnsi" w:cs="Times New Roman"/>
                      <w:sz w:val="20"/>
                      <w:szCs w:val="20"/>
                    </w:rPr>
                    <w:t xml:space="preserve">Loftbrú </w:t>
                  </w:r>
                  <w:r w:rsidR="009F4F86">
                    <w:rPr>
                      <w:rFonts w:asciiTheme="majorHAnsi" w:eastAsia="Times New Roman" w:hAnsiTheme="majorHAnsi" w:cs="Times New Roman"/>
                      <w:sz w:val="20"/>
                      <w:szCs w:val="20"/>
                    </w:rPr>
                    <w:t xml:space="preserve">- </w:t>
                  </w:r>
                  <w:r w:rsidR="009F4F86" w:rsidRPr="009F4F86">
                    <w:rPr>
                      <w:rFonts w:asciiTheme="majorHAnsi" w:eastAsia="Times New Roman" w:hAnsiTheme="majorHAnsi" w:cs="Times New Roman"/>
                      <w:sz w:val="20"/>
                      <w:szCs w:val="20"/>
                    </w:rPr>
                    <w:t>Lower airfares for residents in rural areas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46EDD32" w14:textId="304FBFB5"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C28B563" w14:textId="3F98EA5C"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r>
          </w:tbl>
          <w:p w14:paraId="3AA0C74C" w14:textId="77777777" w:rsidR="009007DC" w:rsidRDefault="009007DC" w:rsidP="009007DC">
            <w:pPr>
              <w:pStyle w:val="TableCell"/>
              <w:jc w:val="left"/>
              <w:rPr>
                <w:rFonts w:asciiTheme="majorHAnsi" w:eastAsia="Times New Roman" w:hAnsiTheme="majorHAnsi" w:cs="Times New Roman"/>
                <w:color w:val="auto"/>
                <w:sz w:val="20"/>
                <w:szCs w:val="24"/>
              </w:rPr>
            </w:pPr>
            <w:r>
              <w:rPr>
                <w:rFonts w:asciiTheme="majorHAnsi" w:eastAsia="Times New Roman" w:hAnsiTheme="majorHAnsi" w:cs="Times New Roman"/>
                <w:color w:val="auto"/>
                <w:sz w:val="20"/>
                <w:szCs w:val="24"/>
              </w:rPr>
              <w:t>*</w:t>
            </w:r>
            <w:r>
              <w:t xml:space="preserve"> </w:t>
            </w:r>
            <w:r w:rsidRPr="00266292">
              <w:rPr>
                <w:rFonts w:asciiTheme="majorHAnsi" w:eastAsia="Times New Roman" w:hAnsiTheme="majorHAnsi" w:cs="Times New Roman"/>
                <w:color w:val="auto"/>
                <w:sz w:val="20"/>
                <w:szCs w:val="24"/>
              </w:rPr>
              <w:t>Adjusted to 2022 fiscal plan price levels In ISK million</w:t>
            </w:r>
          </w:p>
          <w:p w14:paraId="1C2208F9" w14:textId="17377901" w:rsidR="00624205" w:rsidRPr="00624205" w:rsidRDefault="00624205" w:rsidP="004C5C33">
            <w:pPr>
              <w:pStyle w:val="TableCell"/>
              <w:jc w:val="left"/>
              <w:rPr>
                <w:rFonts w:asciiTheme="majorHAnsi" w:eastAsia="Times New Roman" w:hAnsiTheme="majorHAnsi" w:cs="Times New Roman"/>
                <w:color w:val="auto"/>
                <w:sz w:val="20"/>
                <w:szCs w:val="24"/>
              </w:rPr>
            </w:pPr>
          </w:p>
        </w:tc>
      </w:tr>
      <w:tr w:rsidR="00623BE2" w:rsidRPr="00D738B5" w14:paraId="75EA1188" w14:textId="77777777" w:rsidTr="007870E5">
        <w:trPr>
          <w:trHeight w:val="238"/>
        </w:trPr>
        <w:tc>
          <w:tcPr>
            <w:tcW w:w="1353"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647" w:type="pct"/>
          </w:tcPr>
          <w:p w14:paraId="27E0CB75" w14:textId="5FB2CDCF" w:rsidR="00825AC5" w:rsidRPr="009E7E94" w:rsidRDefault="00BA263C"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T</w:t>
            </w:r>
            <w:r w:rsidR="002E0599" w:rsidRPr="009E7E94">
              <w:rPr>
                <w:rFonts w:ascii="Arial Narrow" w:eastAsiaTheme="minorHAnsi" w:hAnsi="Arial Narrow" w:cs="Arial"/>
                <w:color w:val="000000" w:themeColor="text1"/>
                <w:sz w:val="20"/>
                <w:szCs w:val="20"/>
              </w:rPr>
              <w:t xml:space="preserve">he objective of the act </w:t>
            </w:r>
            <w:r w:rsidR="00785711" w:rsidRPr="009E7E94">
              <w:rPr>
                <w:rFonts w:ascii="Arial Narrow" w:eastAsiaTheme="minorHAnsi" w:hAnsi="Arial Narrow" w:cs="Arial"/>
                <w:color w:val="000000" w:themeColor="text1"/>
                <w:sz w:val="20"/>
                <w:szCs w:val="20"/>
              </w:rPr>
              <w:t>on Strategic Regional Plan and Regional Plans of Action Act 69 of July 9 2015</w:t>
            </w:r>
            <w:r w:rsidR="001F392F">
              <w:rPr>
                <w:rFonts w:ascii="Arial Narrow" w:eastAsiaTheme="minorHAnsi" w:hAnsi="Arial Narrow" w:cs="Arial"/>
                <w:color w:val="000000" w:themeColor="text1"/>
                <w:sz w:val="20"/>
                <w:szCs w:val="20"/>
              </w:rPr>
              <w: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continues to strengthen regional development and increase consultation between ministries in the field of regional affairs, within each part of the country and between levels of government, and to transfer to local authorities greater responsibility in the field of regional and community development. Regional </w:t>
            </w:r>
            <w:r w:rsidR="00785711" w:rsidRPr="009E7E94">
              <w:rPr>
                <w:rFonts w:ascii="Arial Narrow" w:eastAsiaTheme="minorHAnsi" w:hAnsi="Arial Narrow" w:cs="Arial"/>
                <w:color w:val="000000" w:themeColor="text1"/>
                <w:sz w:val="20"/>
                <w:szCs w:val="20"/>
              </w:rPr>
              <w:t xml:space="preserve">development matters </w:t>
            </w:r>
            <w:r w:rsidR="002E0599" w:rsidRPr="009E7E94">
              <w:rPr>
                <w:rFonts w:ascii="Arial Narrow" w:eastAsiaTheme="minorHAnsi" w:hAnsi="Arial Narrow" w:cs="Arial"/>
                <w:color w:val="000000" w:themeColor="text1"/>
                <w:sz w:val="20"/>
                <w:szCs w:val="20"/>
              </w:rPr>
              <w:t xml:space="preserve">are governed by the Ministry of Infrastructure, but inherently </w:t>
            </w:r>
            <w:r w:rsidR="00785711" w:rsidRPr="009E7E94">
              <w:rPr>
                <w:rFonts w:ascii="Arial Narrow" w:eastAsiaTheme="minorHAnsi" w:hAnsi="Arial Narrow" w:cs="Arial"/>
                <w:color w:val="000000" w:themeColor="text1"/>
                <w:sz w:val="20"/>
                <w:szCs w:val="20"/>
              </w:rPr>
              <w:t>involve</w:t>
            </w:r>
            <w:r w:rsidR="002E0599" w:rsidRPr="009E7E94">
              <w:rPr>
                <w:rFonts w:ascii="Arial Narrow" w:eastAsiaTheme="minorHAnsi" w:hAnsi="Arial Narrow" w:cs="Arial"/>
                <w:color w:val="000000" w:themeColor="text1"/>
                <w:sz w:val="20"/>
                <w:szCs w:val="20"/>
              </w:rPr>
              <w:t xml:space="preserve"> most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policy areas, thus </w:t>
            </w:r>
            <w:r w:rsidR="00785711" w:rsidRPr="009E7E94">
              <w:rPr>
                <w:rFonts w:ascii="Arial Narrow" w:eastAsiaTheme="minorHAnsi" w:hAnsi="Arial Narrow" w:cs="Arial"/>
                <w:color w:val="000000" w:themeColor="text1"/>
                <w:sz w:val="20"/>
                <w:szCs w:val="20"/>
              </w:rPr>
              <w:t>touching</w:t>
            </w:r>
            <w:r w:rsidR="002E0599" w:rsidRPr="009E7E94">
              <w:rPr>
                <w:rFonts w:ascii="Arial Narrow" w:eastAsiaTheme="minorHAnsi" w:hAnsi="Arial Narrow" w:cs="Arial"/>
                <w:color w:val="000000" w:themeColor="text1"/>
                <w:sz w:val="20"/>
                <w:szCs w:val="20"/>
              </w:rPr>
              <w:t xml:space="preserve"> all ministries.</w:t>
            </w:r>
          </w:p>
        </w:tc>
      </w:tr>
      <w:tr w:rsidR="00594B16" w:rsidRPr="00D738B5" w14:paraId="1190059F" w14:textId="77777777" w:rsidTr="007870E5">
        <w:trPr>
          <w:trHeight w:val="238"/>
        </w:trPr>
        <w:tc>
          <w:tcPr>
            <w:tcW w:w="1353"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647" w:type="pct"/>
          </w:tcPr>
          <w:p w14:paraId="49453169" w14:textId="3D02B8D9" w:rsidR="003D2EAC" w:rsidRPr="009E7E94" w:rsidRDefault="006A25E3"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A NUP has not</w:t>
            </w:r>
            <w:r w:rsidR="00404FAE" w:rsidRPr="009E7E94">
              <w:rPr>
                <w:rFonts w:ascii="Arial Narrow" w:eastAsiaTheme="minorHAnsi" w:hAnsi="Arial Narrow" w:cs="Arial"/>
                <w:color w:val="000000" w:themeColor="text1"/>
                <w:sz w:val="20"/>
                <w:szCs w:val="20"/>
              </w:rPr>
              <w:t xml:space="preserve"> been formed in Iceland to the current point. </w:t>
            </w:r>
            <w:r w:rsidR="000F799E" w:rsidRPr="009E7E94">
              <w:rPr>
                <w:rFonts w:ascii="Arial Narrow" w:eastAsiaTheme="minorHAnsi" w:hAnsi="Arial Narrow" w:cs="Arial"/>
                <w:color w:val="000000" w:themeColor="text1"/>
                <w:sz w:val="20"/>
                <w:szCs w:val="20"/>
              </w:rPr>
              <w:t>One of the action in current regional development plan for the period 2022–2036</w:t>
            </w:r>
            <w:r w:rsidR="00511E1D" w:rsidRPr="009E7E94">
              <w:rPr>
                <w:rFonts w:ascii="Arial Narrow" w:eastAsiaTheme="minorHAnsi" w:hAnsi="Arial Narrow" w:cs="Arial"/>
                <w:color w:val="000000" w:themeColor="text1"/>
                <w:sz w:val="20"/>
                <w:szCs w:val="20"/>
              </w:rPr>
              <w:t xml:space="preserve">, </w:t>
            </w:r>
            <w:r w:rsidR="00F05529" w:rsidRPr="009E7E94">
              <w:rPr>
                <w:rFonts w:ascii="Arial Narrow" w:eastAsiaTheme="minorHAnsi" w:hAnsi="Arial Narrow" w:cs="Arial"/>
                <w:color w:val="000000" w:themeColor="text1"/>
                <w:sz w:val="20"/>
                <w:szCs w:val="20"/>
              </w:rPr>
              <w:t xml:space="preserve">is the </w:t>
            </w:r>
            <w:r w:rsidR="00C72F17" w:rsidRPr="009E7E94">
              <w:rPr>
                <w:rFonts w:ascii="Arial Narrow" w:eastAsiaTheme="minorHAnsi" w:hAnsi="Arial Narrow" w:cs="Arial"/>
                <w:color w:val="000000" w:themeColor="text1"/>
                <w:sz w:val="20"/>
                <w:szCs w:val="20"/>
              </w:rPr>
              <w:t>National Urban policy (</w:t>
            </w:r>
            <w:r w:rsidR="000F799E" w:rsidRPr="009E7E94">
              <w:rPr>
                <w:rFonts w:ascii="Arial Narrow" w:eastAsiaTheme="minorHAnsi" w:hAnsi="Arial Narrow" w:cs="Arial"/>
                <w:color w:val="000000" w:themeColor="text1"/>
                <w:sz w:val="20"/>
                <w:szCs w:val="20"/>
              </w:rPr>
              <w:t>C.4</w:t>
            </w:r>
            <w:r w:rsidR="00C72F17" w:rsidRPr="009E7E94">
              <w:rPr>
                <w:rFonts w:ascii="Arial Narrow" w:eastAsiaTheme="minorHAnsi" w:hAnsi="Arial Narrow" w:cs="Arial"/>
                <w:color w:val="000000" w:themeColor="text1"/>
                <w:sz w:val="20"/>
                <w:szCs w:val="20"/>
              </w:rPr>
              <w:t>)</w:t>
            </w:r>
            <w:r w:rsidR="00511E1D" w:rsidRPr="009E7E94">
              <w:rPr>
                <w:rFonts w:ascii="Arial Narrow" w:eastAsiaTheme="minorHAnsi" w:hAnsi="Arial Narrow" w:cs="Arial"/>
                <w:color w:val="000000" w:themeColor="text1"/>
                <w:sz w:val="20"/>
                <w:szCs w:val="20"/>
              </w:rPr>
              <w:t xml:space="preserve">, </w:t>
            </w:r>
            <w:r w:rsidR="000F799E" w:rsidRPr="009E7E94">
              <w:rPr>
                <w:rFonts w:ascii="Arial Narrow" w:eastAsiaTheme="minorHAnsi" w:hAnsi="Arial Narrow" w:cs="Arial"/>
                <w:color w:val="000000" w:themeColor="text1"/>
                <w:sz w:val="20"/>
                <w:szCs w:val="20"/>
              </w:rPr>
              <w:t>The objective of the action is to strengthen the largest urban areas, Reykjavík and Akureyri, and strengthen their competitiveness and role in regional development. Policies will be formulated that, on the one hand, define the role of Reykjavik as the capital</w:t>
            </w:r>
            <w:r w:rsidR="006B6C1A" w:rsidRPr="009E7E94">
              <w:rPr>
                <w:rFonts w:ascii="Arial Narrow" w:eastAsiaTheme="minorHAnsi" w:hAnsi="Arial Narrow" w:cs="Arial"/>
                <w:color w:val="000000" w:themeColor="text1"/>
                <w:sz w:val="20"/>
                <w:szCs w:val="20"/>
              </w:rPr>
              <w:t xml:space="preserve"> city</w:t>
            </w:r>
            <w:r w:rsidR="000F799E" w:rsidRPr="009E7E94">
              <w:rPr>
                <w:rFonts w:ascii="Arial Narrow" w:eastAsiaTheme="minorHAnsi" w:hAnsi="Arial Narrow" w:cs="Arial"/>
                <w:color w:val="000000" w:themeColor="text1"/>
                <w:sz w:val="20"/>
                <w:szCs w:val="20"/>
              </w:rPr>
              <w:t xml:space="preserve"> and contribute to increased international competitiveness of the capital </w:t>
            </w:r>
            <w:r w:rsidR="006B6C1A" w:rsidRPr="009E7E94">
              <w:rPr>
                <w:rFonts w:ascii="Arial Narrow" w:eastAsiaTheme="minorHAnsi" w:hAnsi="Arial Narrow" w:cs="Arial"/>
                <w:color w:val="000000" w:themeColor="text1"/>
                <w:sz w:val="20"/>
                <w:szCs w:val="20"/>
              </w:rPr>
              <w:t>region</w:t>
            </w:r>
            <w:r w:rsidR="000F799E" w:rsidRPr="009E7E94">
              <w:rPr>
                <w:rFonts w:ascii="Arial Narrow" w:eastAsiaTheme="minorHAnsi" w:hAnsi="Arial Narrow" w:cs="Arial"/>
                <w:color w:val="000000" w:themeColor="text1"/>
                <w:sz w:val="20"/>
                <w:szCs w:val="20"/>
              </w:rPr>
              <w:t xml:space="preserve"> and, on the other hand, the role and development of Akureyri as a regional city that can offer greater diversity in services, culture and </w:t>
            </w:r>
            <w:r w:rsidR="00A25B35" w:rsidRPr="009E7E94">
              <w:rPr>
                <w:rFonts w:ascii="Arial Narrow" w:eastAsiaTheme="minorHAnsi" w:hAnsi="Arial Narrow" w:cs="Arial"/>
                <w:color w:val="000000" w:themeColor="text1"/>
                <w:sz w:val="20"/>
                <w:szCs w:val="20"/>
              </w:rPr>
              <w:t>job</w:t>
            </w:r>
            <w:r w:rsidR="000F799E" w:rsidRPr="009E7E94">
              <w:rPr>
                <w:rFonts w:ascii="Arial Narrow" w:eastAsiaTheme="minorHAnsi" w:hAnsi="Arial Narrow" w:cs="Arial"/>
                <w:color w:val="000000" w:themeColor="text1"/>
                <w:sz w:val="20"/>
                <w:szCs w:val="20"/>
              </w:rPr>
              <w:t xml:space="preserve"> opportunities. </w:t>
            </w:r>
            <w:r w:rsidR="008D3080" w:rsidRPr="009E7E94">
              <w:rPr>
                <w:rFonts w:ascii="Arial Narrow" w:eastAsiaTheme="minorHAnsi" w:hAnsi="Arial Narrow" w:cs="Arial"/>
                <w:color w:val="000000" w:themeColor="text1"/>
                <w:sz w:val="20"/>
                <w:szCs w:val="20"/>
              </w:rPr>
              <w:t>This effort shall be based on the OECD principles on the development and content of national urban policy, as applicable.</w:t>
            </w:r>
          </w:p>
        </w:tc>
      </w:tr>
      <w:tr w:rsidR="00594B16" w:rsidRPr="00D738B5" w14:paraId="4395EB33" w14:textId="77777777" w:rsidTr="007870E5">
        <w:trPr>
          <w:trHeight w:val="238"/>
        </w:trPr>
        <w:tc>
          <w:tcPr>
            <w:tcW w:w="1353"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647" w:type="pct"/>
          </w:tcPr>
          <w:p w14:paraId="3E1E1754" w14:textId="0797F947" w:rsidR="003D2EAC" w:rsidRPr="00D738B5" w:rsidRDefault="000C5E22" w:rsidP="6DCC7E50">
            <w:pPr>
              <w:pStyle w:val="TableCell"/>
              <w:spacing w:line="240" w:lineRule="exact"/>
              <w:jc w:val="left"/>
              <w:rPr>
                <w:rFonts w:cs="Arial"/>
                <w:sz w:val="20"/>
              </w:rPr>
            </w:pPr>
            <w:r w:rsidRPr="000C5E22">
              <w:rPr>
                <w:rFonts w:cs="Arial"/>
                <w:sz w:val="20"/>
              </w:rPr>
              <w:t xml:space="preserve">Parliamentary resolution on </w:t>
            </w:r>
            <w:r w:rsidR="00010BDF">
              <w:rPr>
                <w:rFonts w:cs="Arial"/>
                <w:sz w:val="20"/>
              </w:rPr>
              <w:t>S</w:t>
            </w:r>
            <w:r w:rsidRPr="000C5E22">
              <w:rPr>
                <w:rFonts w:cs="Arial"/>
                <w:sz w:val="20"/>
              </w:rPr>
              <w:t xml:space="preserve">trategic </w:t>
            </w:r>
            <w:r w:rsidR="00010BDF">
              <w:rPr>
                <w:rFonts w:cs="Arial"/>
                <w:sz w:val="20"/>
              </w:rPr>
              <w:t>R</w:t>
            </w:r>
            <w:r w:rsidRPr="000C5E22">
              <w:rPr>
                <w:rFonts w:cs="Arial"/>
                <w:sz w:val="20"/>
              </w:rPr>
              <w:t xml:space="preserve">egional </w:t>
            </w:r>
            <w:r w:rsidR="00010BDF">
              <w:rPr>
                <w:rFonts w:cs="Arial"/>
                <w:sz w:val="20"/>
              </w:rPr>
              <w:t>P</w:t>
            </w:r>
            <w:r w:rsidRPr="000C5E22">
              <w:rPr>
                <w:rFonts w:cs="Arial"/>
                <w:sz w:val="20"/>
              </w:rPr>
              <w:t>lan</w:t>
            </w:r>
            <w:r w:rsidR="00010BDF">
              <w:rPr>
                <w:rFonts w:cs="Arial"/>
                <w:sz w:val="20"/>
              </w:rPr>
              <w:t xml:space="preserve"> (SRP)</w:t>
            </w:r>
            <w:r w:rsidRPr="000C5E22">
              <w:rPr>
                <w:rFonts w:cs="Arial"/>
                <w:sz w:val="20"/>
              </w:rPr>
              <w:t xml:space="preserve"> for the period 2022–2036</w:t>
            </w:r>
          </w:p>
        </w:tc>
      </w:tr>
      <w:tr w:rsidR="00594B16" w:rsidRPr="00D738B5" w14:paraId="5C17105F" w14:textId="77777777" w:rsidTr="007870E5">
        <w:trPr>
          <w:trHeight w:val="238"/>
        </w:trPr>
        <w:tc>
          <w:tcPr>
            <w:tcW w:w="1353" w:type="pct"/>
          </w:tcPr>
          <w:p w14:paraId="696CD113" w14:textId="14C0AF3C" w:rsidR="00594B16" w:rsidRPr="00D738B5" w:rsidRDefault="005317DE" w:rsidP="005317DE">
            <w:pPr>
              <w:pStyle w:val="TableRow"/>
              <w:jc w:val="left"/>
              <w:rPr>
                <w:sz w:val="20"/>
                <w:lang w:val="en-GB"/>
              </w:rPr>
            </w:pPr>
            <w:r w:rsidRPr="00D738B5">
              <w:rPr>
                <w:sz w:val="20"/>
                <w:lang w:val="en-GB"/>
              </w:rPr>
              <w:lastRenderedPageBreak/>
              <w:t>Major regional policy tools</w:t>
            </w:r>
            <w:r w:rsidR="00623BE2" w:rsidRPr="00D738B5">
              <w:rPr>
                <w:sz w:val="20"/>
                <w:lang w:val="en-GB"/>
              </w:rPr>
              <w:t xml:space="preserve"> (e.g., funds, plans, policy initiatives, institutional agreements, etc.)</w:t>
            </w:r>
          </w:p>
        </w:tc>
        <w:tc>
          <w:tcPr>
            <w:tcW w:w="3647" w:type="pct"/>
          </w:tcPr>
          <w:p w14:paraId="77226259" w14:textId="34665C29" w:rsidR="00CD700A" w:rsidRPr="00CD700A" w:rsidRDefault="00AA2AD0" w:rsidP="00CD700A">
            <w:pPr>
              <w:pStyle w:val="TableCell"/>
              <w:jc w:val="left"/>
              <w:rPr>
                <w:rFonts w:cs="Arial"/>
                <w:sz w:val="20"/>
              </w:rPr>
            </w:pPr>
            <w:r>
              <w:rPr>
                <w:rFonts w:cs="Arial"/>
                <w:sz w:val="20"/>
              </w:rPr>
              <w:t>The parliament (Alþingi)</w:t>
            </w:r>
            <w:r w:rsidRPr="00CD700A">
              <w:rPr>
                <w:rFonts w:cs="Arial"/>
                <w:sz w:val="20"/>
              </w:rPr>
              <w:t xml:space="preserve"> </w:t>
            </w:r>
            <w:r w:rsidR="00CD700A" w:rsidRPr="00CD700A">
              <w:rPr>
                <w:rFonts w:cs="Arial"/>
                <w:sz w:val="20"/>
              </w:rPr>
              <w:t xml:space="preserve">resolves that work shall be carried out in accordance with </w:t>
            </w:r>
            <w:r w:rsidR="00010BDF">
              <w:rPr>
                <w:rFonts w:cs="Arial"/>
                <w:sz w:val="20"/>
              </w:rPr>
              <w:t>a</w:t>
            </w:r>
            <w:r w:rsidR="00CD700A" w:rsidRPr="00CD700A">
              <w:rPr>
                <w:rFonts w:cs="Arial"/>
                <w:sz w:val="20"/>
              </w:rPr>
              <w:t xml:space="preserve"> </w:t>
            </w:r>
            <w:r w:rsidR="001F392F">
              <w:rPr>
                <w:rFonts w:cs="Arial"/>
                <w:sz w:val="20"/>
              </w:rPr>
              <w:t>five-year</w:t>
            </w:r>
            <w:r w:rsidR="00C16120">
              <w:rPr>
                <w:rFonts w:cs="Arial"/>
                <w:sz w:val="20"/>
              </w:rPr>
              <w:t xml:space="preserve"> </w:t>
            </w:r>
            <w:r w:rsidR="00CD700A" w:rsidRPr="00CD700A">
              <w:rPr>
                <w:rFonts w:cs="Arial"/>
                <w:sz w:val="20"/>
              </w:rPr>
              <w:t>action plan</w:t>
            </w:r>
            <w:r w:rsidR="00E06242">
              <w:rPr>
                <w:rFonts w:cs="Arial"/>
                <w:sz w:val="20"/>
              </w:rPr>
              <w:t xml:space="preserve"> with 44 actions</w:t>
            </w:r>
            <w:r w:rsidR="00CD700A" w:rsidRPr="00CD700A">
              <w:rPr>
                <w:rFonts w:cs="Arial"/>
                <w:sz w:val="20"/>
              </w:rPr>
              <w:t xml:space="preserve"> to ensure progress towards the objectives set out in the regional </w:t>
            </w:r>
            <w:r w:rsidR="00C16120">
              <w:rPr>
                <w:rFonts w:cs="Arial"/>
                <w:sz w:val="20"/>
              </w:rPr>
              <w:t xml:space="preserve">development </w:t>
            </w:r>
            <w:r w:rsidR="00CD700A" w:rsidRPr="00CD700A">
              <w:rPr>
                <w:rFonts w:cs="Arial"/>
                <w:sz w:val="20"/>
              </w:rPr>
              <w:t>plan</w:t>
            </w:r>
            <w:r w:rsidR="00C16120">
              <w:rPr>
                <w:rFonts w:cs="Arial"/>
                <w:sz w:val="20"/>
              </w:rPr>
              <w:t xml:space="preserve"> 2022-2036</w:t>
            </w:r>
            <w:r w:rsidR="00CD700A" w:rsidRPr="00CD700A">
              <w:rPr>
                <w:rFonts w:cs="Arial"/>
                <w:sz w:val="20"/>
              </w:rPr>
              <w:t>.</w:t>
            </w:r>
          </w:p>
          <w:p w14:paraId="7E6E2246" w14:textId="670BD7D5" w:rsidR="00CD700A" w:rsidRDefault="00CD700A" w:rsidP="00CD700A">
            <w:pPr>
              <w:pStyle w:val="TableCell"/>
              <w:jc w:val="left"/>
              <w:rPr>
                <w:rFonts w:cs="Arial"/>
                <w:sz w:val="20"/>
              </w:rPr>
            </w:pPr>
            <w:r w:rsidRPr="00CD700A">
              <w:rPr>
                <w:rFonts w:cs="Arial"/>
                <w:sz w:val="20"/>
              </w:rPr>
              <w:t>Individual ministries shall finance actions as applicable. Funds allocated under the regional development plan shall be used for financing individual actions, either co-financing along with the responsible and implementing parties or fully, as dictated by the budget allocations.</w:t>
            </w:r>
          </w:p>
          <w:p w14:paraId="0E9DC608" w14:textId="0BB68A9C" w:rsidR="0072334F" w:rsidRPr="00D738B5" w:rsidRDefault="0072334F" w:rsidP="6DCC7E50">
            <w:pPr>
              <w:pStyle w:val="TableCell"/>
              <w:jc w:val="left"/>
              <w:rPr>
                <w:sz w:val="20"/>
                <w:lang w:val="en-GB"/>
              </w:rPr>
            </w:pPr>
            <w:r w:rsidRPr="004E2351">
              <w:rPr>
                <w:sz w:val="20"/>
                <w:lang w:val="en"/>
              </w:rPr>
              <w:t xml:space="preserve">Institute of Regional Development organizes and works on consultancy with rural industries in collaboration with business development associations, </w:t>
            </w:r>
            <w:r w:rsidR="00EC67C8" w:rsidRPr="004E2351">
              <w:rPr>
                <w:sz w:val="20"/>
                <w:lang w:val="en"/>
              </w:rPr>
              <w:t>municipalities,</w:t>
            </w:r>
            <w:r w:rsidRPr="004E2351">
              <w:rPr>
                <w:sz w:val="20"/>
                <w:lang w:val="en"/>
              </w:rPr>
              <w:t xml:space="preserve"> and others</w:t>
            </w:r>
            <w:r w:rsidR="003B6F21">
              <w:rPr>
                <w:sz w:val="20"/>
                <w:lang w:val="en"/>
              </w:rPr>
              <w:t>.</w:t>
            </w:r>
          </w:p>
        </w:tc>
      </w:tr>
      <w:tr w:rsidR="00594B16" w:rsidRPr="00D738B5" w14:paraId="7B9EFA1F" w14:textId="77777777" w:rsidTr="007870E5">
        <w:trPr>
          <w:trHeight w:val="238"/>
        </w:trPr>
        <w:tc>
          <w:tcPr>
            <w:tcW w:w="1353"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647" w:type="pct"/>
          </w:tcPr>
          <w:p w14:paraId="3F295078" w14:textId="6BE38370" w:rsidR="00A15EA2" w:rsidRPr="00D738B5" w:rsidRDefault="005E1277" w:rsidP="009E7E94">
            <w:pPr>
              <w:pStyle w:val="NormalWeb"/>
              <w:shd w:val="clear" w:color="auto" w:fill="FFFFFF"/>
              <w:spacing w:before="0" w:beforeAutospacing="0" w:after="0" w:afterAutospacing="0"/>
              <w:jc w:val="both"/>
              <w:textAlignment w:val="baseline"/>
              <w:rPr>
                <w:sz w:val="20"/>
                <w:lang w:val="en-GB"/>
              </w:rPr>
            </w:pPr>
            <w:r w:rsidRPr="009E7E94">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9E7E94">
              <w:rPr>
                <w:rFonts w:ascii="Arial Narrow" w:eastAsiaTheme="minorHAnsi" w:hAnsi="Arial Narrow" w:cs="Arial"/>
                <w:color w:val="000000" w:themeColor="text1"/>
                <w:sz w:val="20"/>
                <w:szCs w:val="20"/>
              </w:rPr>
              <w:t xml:space="preserve"> 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594B16" w:rsidRPr="00D738B5" w14:paraId="303C11FB" w14:textId="77777777" w:rsidTr="007870E5">
        <w:trPr>
          <w:trHeight w:val="238"/>
        </w:trPr>
        <w:tc>
          <w:tcPr>
            <w:tcW w:w="1353"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647" w:type="pct"/>
          </w:tcPr>
          <w:p w14:paraId="007E839B" w14:textId="0EDC139B" w:rsidR="00594B16" w:rsidRPr="00D738B5" w:rsidRDefault="00A46E7D" w:rsidP="00A15EA2">
            <w:pPr>
              <w:pStyle w:val="TableCell"/>
              <w:jc w:val="left"/>
              <w:rPr>
                <w:sz w:val="20"/>
                <w:lang w:val="en-GB"/>
              </w:rPr>
            </w:pPr>
            <w:r w:rsidRPr="00A46E7D">
              <w:rPr>
                <w:rFonts w:cs="Arial"/>
                <w:sz w:val="20"/>
              </w:rPr>
              <w:t>Regional plans of action (RPA) are an innovation in public administration and a joint project of national and local authorities. The Act on Strategic Regional Plan and Regional Plans of Action from 2015 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tc>
      </w:tr>
      <w:tr w:rsidR="00594B16" w:rsidRPr="00D738B5" w14:paraId="4E9E0EAF" w14:textId="77777777" w:rsidTr="007870E5">
        <w:trPr>
          <w:trHeight w:val="238"/>
        </w:trPr>
        <w:tc>
          <w:tcPr>
            <w:tcW w:w="1353"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647" w:type="pct"/>
          </w:tcPr>
          <w:p w14:paraId="3A5975E5" w14:textId="77777777" w:rsidR="00874D4F" w:rsidRDefault="00D16607" w:rsidP="005317DE">
            <w:pPr>
              <w:pStyle w:val="TableCell"/>
              <w:jc w:val="left"/>
              <w:rPr>
                <w:rFonts w:cs="Arial"/>
                <w:sz w:val="20"/>
              </w:rPr>
            </w:pPr>
            <w:r w:rsidRPr="00DF4D84">
              <w:rPr>
                <w:rFonts w:cs="Arial"/>
                <w:sz w:val="20"/>
              </w:rPr>
              <w:t>Each region has a consultation forum that is directly involved in formulating and carrying out the initiative. Such forums include representatives from:</w:t>
            </w:r>
          </w:p>
          <w:p w14:paraId="7B316D9C" w14:textId="77777777" w:rsidR="00874D4F" w:rsidRDefault="00D16607" w:rsidP="00010BDF">
            <w:pPr>
              <w:pStyle w:val="TableCell"/>
              <w:numPr>
                <w:ilvl w:val="0"/>
                <w:numId w:val="10"/>
              </w:numPr>
              <w:jc w:val="left"/>
              <w:rPr>
                <w:rFonts w:cs="Arial"/>
                <w:sz w:val="20"/>
              </w:rPr>
            </w:pPr>
            <w:r w:rsidRPr="00DF4D84">
              <w:rPr>
                <w:rFonts w:cs="Arial"/>
                <w:sz w:val="20"/>
              </w:rPr>
              <w:t>Municipalities Public institutions in the region</w:t>
            </w:r>
          </w:p>
          <w:p w14:paraId="2D3798CC" w14:textId="55EA4F9C" w:rsidR="00874D4F" w:rsidRDefault="00D16607" w:rsidP="00010BDF">
            <w:pPr>
              <w:pStyle w:val="TableCell"/>
              <w:numPr>
                <w:ilvl w:val="0"/>
                <w:numId w:val="10"/>
              </w:numPr>
              <w:jc w:val="left"/>
              <w:rPr>
                <w:rFonts w:cs="Arial"/>
                <w:sz w:val="20"/>
              </w:rPr>
            </w:pPr>
            <w:r w:rsidRPr="00DF4D84">
              <w:rPr>
                <w:rFonts w:cs="Arial"/>
                <w:sz w:val="20"/>
              </w:rPr>
              <w:t xml:space="preserve">The business </w:t>
            </w:r>
            <w:r w:rsidR="00AA2AD0" w:rsidRPr="00DF4D84">
              <w:rPr>
                <w:rFonts w:cs="Arial"/>
                <w:sz w:val="20"/>
              </w:rPr>
              <w:t>sector</w:t>
            </w:r>
          </w:p>
          <w:p w14:paraId="2862291F" w14:textId="77777777" w:rsidR="00874D4F" w:rsidRDefault="00D16607" w:rsidP="00010BDF">
            <w:pPr>
              <w:pStyle w:val="TableCell"/>
              <w:numPr>
                <w:ilvl w:val="0"/>
                <w:numId w:val="10"/>
              </w:numPr>
              <w:jc w:val="left"/>
              <w:rPr>
                <w:rFonts w:cs="Arial"/>
                <w:sz w:val="20"/>
              </w:rPr>
            </w:pPr>
            <w:r w:rsidRPr="00DF4D84">
              <w:rPr>
                <w:rFonts w:cs="Arial"/>
                <w:sz w:val="20"/>
              </w:rPr>
              <w:t>The cultural sector</w:t>
            </w:r>
          </w:p>
          <w:p w14:paraId="4A8FC393" w14:textId="77777777" w:rsidR="00874D4F" w:rsidRDefault="00D16607" w:rsidP="00010BDF">
            <w:pPr>
              <w:pStyle w:val="TableCell"/>
              <w:numPr>
                <w:ilvl w:val="0"/>
                <w:numId w:val="10"/>
              </w:numPr>
              <w:jc w:val="left"/>
              <w:rPr>
                <w:rFonts w:cs="Arial"/>
                <w:sz w:val="20"/>
              </w:rPr>
            </w:pPr>
            <w:r w:rsidRPr="00DF4D84">
              <w:rPr>
                <w:rFonts w:cs="Arial"/>
                <w:sz w:val="20"/>
              </w:rPr>
              <w:t>The academic community</w:t>
            </w:r>
          </w:p>
          <w:p w14:paraId="5D25B57E" w14:textId="74F038EB" w:rsidR="00A15EA2" w:rsidRPr="00D738B5" w:rsidRDefault="00D16607" w:rsidP="00010BDF">
            <w:pPr>
              <w:pStyle w:val="TableCell"/>
              <w:numPr>
                <w:ilvl w:val="0"/>
                <w:numId w:val="10"/>
              </w:numPr>
              <w:jc w:val="left"/>
              <w:rPr>
                <w:sz w:val="20"/>
                <w:lang w:val="en-GB"/>
              </w:rPr>
            </w:pPr>
            <w:r w:rsidRPr="00DF4D84">
              <w:rPr>
                <w:rFonts w:cs="Arial"/>
                <w:sz w:val="20"/>
              </w:rPr>
              <w:t xml:space="preserve">Non-governmental </w:t>
            </w:r>
            <w:r w:rsidR="00010BDF" w:rsidRPr="00DF4D84">
              <w:rPr>
                <w:rFonts w:cs="Arial"/>
                <w:sz w:val="20"/>
              </w:rPr>
              <w:t>organizations</w:t>
            </w:r>
          </w:p>
        </w:tc>
      </w:tr>
      <w:tr w:rsidR="00594B16" w:rsidRPr="00D738B5" w14:paraId="56477370" w14:textId="77777777" w:rsidTr="007870E5">
        <w:trPr>
          <w:trHeight w:val="238"/>
        </w:trPr>
        <w:tc>
          <w:tcPr>
            <w:tcW w:w="1353"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647" w:type="pct"/>
          </w:tcPr>
          <w:p w14:paraId="7C9CC2BC" w14:textId="4782DDB0" w:rsidR="00010BDF" w:rsidRPr="0034235F" w:rsidRDefault="00010BDF" w:rsidP="6DCC7E50">
            <w:pPr>
              <w:pStyle w:val="TableCell"/>
              <w:jc w:val="left"/>
              <w:rPr>
                <w:rFonts w:cs="Arial"/>
                <w:sz w:val="20"/>
              </w:rPr>
            </w:pPr>
            <w:r w:rsidRPr="0034235F">
              <w:rPr>
                <w:rFonts w:cs="Arial"/>
                <w:sz w:val="20"/>
              </w:rPr>
              <w:t>The SRP has three metrics to evaluate each of its three main objectives:</w:t>
            </w:r>
          </w:p>
          <w:p w14:paraId="4B70C393" w14:textId="5D364DEB" w:rsidR="00010BDF" w:rsidRPr="0034235F" w:rsidRDefault="00010BDF" w:rsidP="00010BDF">
            <w:pPr>
              <w:pStyle w:val="TableCell"/>
              <w:jc w:val="left"/>
              <w:rPr>
                <w:rFonts w:cs="Arial"/>
                <w:sz w:val="20"/>
              </w:rPr>
            </w:pPr>
            <w:r w:rsidRPr="0034235F">
              <w:rPr>
                <w:rFonts w:cs="Arial"/>
                <w:sz w:val="20"/>
              </w:rPr>
              <w:t>A. Equalize access to services,</w:t>
            </w:r>
          </w:p>
          <w:p w14:paraId="51A1B48F" w14:textId="77777777" w:rsidR="00010BDF" w:rsidRPr="005E2258" w:rsidRDefault="00010BDF" w:rsidP="00010BDF">
            <w:pPr>
              <w:pStyle w:val="TableCell"/>
              <w:jc w:val="left"/>
              <w:rPr>
                <w:rFonts w:cs="Arial"/>
                <w:sz w:val="20"/>
              </w:rPr>
            </w:pPr>
            <w:r w:rsidRPr="005E2258">
              <w:rPr>
                <w:rFonts w:cs="Arial"/>
                <w:sz w:val="20"/>
              </w:rPr>
              <w:t xml:space="preserve">     1.      Discrepancies in household heating costs.</w:t>
            </w:r>
          </w:p>
          <w:p w14:paraId="4398B0BC" w14:textId="074E877B" w:rsidR="00010BDF" w:rsidRPr="005E2258" w:rsidRDefault="00010BDF" w:rsidP="00010BDF">
            <w:pPr>
              <w:pStyle w:val="TableCell"/>
              <w:jc w:val="left"/>
              <w:rPr>
                <w:rFonts w:cs="Arial"/>
                <w:sz w:val="20"/>
              </w:rPr>
            </w:pPr>
            <w:r w:rsidRPr="005E2258">
              <w:rPr>
                <w:rFonts w:cs="Arial"/>
                <w:sz w:val="20"/>
              </w:rPr>
              <w:t xml:space="preserve">     2.      Percentage of those living within 30 kilometers of healthcare centers, preschools, primary schools, secondary schools, and general grocery shops.</w:t>
            </w:r>
          </w:p>
          <w:p w14:paraId="62070735" w14:textId="53C0ED85" w:rsidR="00010BDF" w:rsidRPr="005E2258" w:rsidRDefault="00010BDF" w:rsidP="00010BDF">
            <w:pPr>
              <w:pStyle w:val="TableCell"/>
              <w:jc w:val="left"/>
              <w:rPr>
                <w:rFonts w:cs="Arial"/>
                <w:sz w:val="20"/>
              </w:rPr>
            </w:pPr>
            <w:r w:rsidRPr="005E2258">
              <w:rPr>
                <w:rFonts w:cs="Arial"/>
                <w:sz w:val="20"/>
              </w:rPr>
              <w:t xml:space="preserve">     3.      Proportional school attendance at the secondary school and university levels, in the age groups of 16–24 years and 24 years and older, respectively.</w:t>
            </w:r>
          </w:p>
          <w:p w14:paraId="15C941EF" w14:textId="03C14F92" w:rsidR="00010BDF" w:rsidRPr="005E2258" w:rsidRDefault="00010BDF" w:rsidP="00010BDF">
            <w:pPr>
              <w:pStyle w:val="TableCell"/>
              <w:jc w:val="left"/>
              <w:rPr>
                <w:rFonts w:cs="Arial"/>
                <w:sz w:val="20"/>
              </w:rPr>
            </w:pPr>
            <w:r w:rsidRPr="005E2258">
              <w:rPr>
                <w:rFonts w:cs="Arial"/>
                <w:sz w:val="20"/>
              </w:rPr>
              <w:t>B. Equalize employment opportunities,</w:t>
            </w:r>
          </w:p>
          <w:p w14:paraId="01ABDA2F" w14:textId="05047230" w:rsidR="00010BDF" w:rsidRPr="005E2258" w:rsidRDefault="00010BDF" w:rsidP="00010BDF">
            <w:pPr>
              <w:pStyle w:val="TableCell"/>
              <w:jc w:val="left"/>
              <w:rPr>
                <w:rFonts w:cs="Arial"/>
                <w:sz w:val="20"/>
              </w:rPr>
            </w:pPr>
            <w:r w:rsidRPr="005E2258">
              <w:rPr>
                <w:rFonts w:cs="Arial"/>
                <w:sz w:val="20"/>
              </w:rPr>
              <w:t xml:space="preserve">     1.      Participation in employment and average employment incomes.</w:t>
            </w:r>
          </w:p>
          <w:p w14:paraId="38DDEAB5" w14:textId="77777777" w:rsidR="00010BDF" w:rsidRPr="005E2258" w:rsidRDefault="00010BDF" w:rsidP="00010BDF">
            <w:pPr>
              <w:pStyle w:val="TableCell"/>
              <w:jc w:val="left"/>
              <w:rPr>
                <w:rFonts w:cs="Arial"/>
                <w:sz w:val="20"/>
              </w:rPr>
            </w:pPr>
            <w:r w:rsidRPr="005E2258">
              <w:rPr>
                <w:rFonts w:cs="Arial"/>
                <w:sz w:val="20"/>
              </w:rPr>
              <w:t xml:space="preserve">     2.      Ratio of government jobs to population/total number of full-time equivalents.</w:t>
            </w:r>
          </w:p>
          <w:p w14:paraId="16682E96" w14:textId="0A767FF8" w:rsidR="00010BDF" w:rsidRPr="005E2258" w:rsidRDefault="00010BDF" w:rsidP="00010BDF">
            <w:pPr>
              <w:pStyle w:val="TableCell"/>
              <w:jc w:val="left"/>
              <w:rPr>
                <w:rFonts w:cs="Arial"/>
                <w:sz w:val="20"/>
              </w:rPr>
            </w:pPr>
            <w:r w:rsidRPr="005E2258">
              <w:rPr>
                <w:rFonts w:cs="Arial"/>
                <w:sz w:val="20"/>
              </w:rPr>
              <w:t xml:space="preserve">     3.      Educational level (25–64 years)</w:t>
            </w:r>
          </w:p>
          <w:p w14:paraId="38DA1ED6" w14:textId="48163421" w:rsidR="00010BDF" w:rsidRPr="005E2258" w:rsidRDefault="00010BDF" w:rsidP="00010BDF">
            <w:pPr>
              <w:pStyle w:val="TableCell"/>
              <w:jc w:val="left"/>
              <w:rPr>
                <w:rFonts w:cs="Arial"/>
                <w:sz w:val="20"/>
              </w:rPr>
            </w:pPr>
            <w:r w:rsidRPr="005E2258">
              <w:rPr>
                <w:rFonts w:cs="Arial"/>
                <w:sz w:val="20"/>
              </w:rPr>
              <w:t>C. Promote sustainable development of communities throughout the country</w:t>
            </w:r>
            <w:r w:rsidR="003A3BEB" w:rsidRPr="005E2258">
              <w:rPr>
                <w:rFonts w:cs="Arial"/>
                <w:sz w:val="20"/>
              </w:rPr>
              <w:t>.</w:t>
            </w:r>
          </w:p>
          <w:p w14:paraId="43BD1B58" w14:textId="77777777" w:rsidR="00010BDF" w:rsidRPr="005E2258" w:rsidRDefault="00010BDF" w:rsidP="00010BDF">
            <w:pPr>
              <w:pStyle w:val="TableCell"/>
              <w:jc w:val="left"/>
              <w:rPr>
                <w:rFonts w:cs="Arial"/>
                <w:sz w:val="20"/>
              </w:rPr>
            </w:pPr>
            <w:r w:rsidRPr="005E2258">
              <w:rPr>
                <w:rFonts w:cs="Arial"/>
                <w:sz w:val="20"/>
              </w:rPr>
              <w:t xml:space="preserve">     1.      Dependency ratio.</w:t>
            </w:r>
          </w:p>
          <w:p w14:paraId="48CEC4BA" w14:textId="2D16CB5D" w:rsidR="00010BDF" w:rsidRPr="005E2258" w:rsidRDefault="00010BDF" w:rsidP="00010BDF">
            <w:pPr>
              <w:pStyle w:val="TableCell"/>
              <w:jc w:val="left"/>
              <w:rPr>
                <w:rFonts w:cs="Arial"/>
                <w:sz w:val="20"/>
              </w:rPr>
            </w:pPr>
            <w:r w:rsidRPr="005E2258">
              <w:rPr>
                <w:rFonts w:cs="Arial"/>
                <w:sz w:val="20"/>
              </w:rPr>
              <w:t xml:space="preserve">     2.      Demographic vulnerabilities.</w:t>
            </w:r>
          </w:p>
          <w:p w14:paraId="578913ED" w14:textId="3C0E87ED" w:rsidR="00010BDF" w:rsidRPr="005E2258" w:rsidRDefault="00010BDF" w:rsidP="00010BDF">
            <w:pPr>
              <w:pStyle w:val="TableCell"/>
              <w:jc w:val="left"/>
              <w:rPr>
                <w:rFonts w:cs="Arial"/>
                <w:sz w:val="20"/>
              </w:rPr>
            </w:pPr>
            <w:r w:rsidRPr="005E2258">
              <w:rPr>
                <w:rFonts w:cs="Arial"/>
                <w:sz w:val="20"/>
              </w:rPr>
              <w:t xml:space="preserve">     3.      Municipal climate policies: cf. the metrics provided by the Icelandic climate action plan.</w:t>
            </w:r>
          </w:p>
          <w:p w14:paraId="2CE3646C" w14:textId="0EF465E1" w:rsidR="00010BDF" w:rsidRPr="0034235F" w:rsidRDefault="00010BDF" w:rsidP="00010BDF">
            <w:pPr>
              <w:pStyle w:val="TableCell"/>
              <w:jc w:val="left"/>
              <w:rPr>
                <w:rFonts w:cs="Arial"/>
                <w:sz w:val="20"/>
              </w:rPr>
            </w:pPr>
          </w:p>
          <w:p w14:paraId="1E131CFF" w14:textId="11F52A60" w:rsidR="00A8673D" w:rsidRPr="007B2404" w:rsidRDefault="00010BDF" w:rsidP="00010BDF">
            <w:pPr>
              <w:pStyle w:val="TableCell"/>
              <w:jc w:val="left"/>
              <w:rPr>
                <w:rFonts w:cs="Arial"/>
                <w:sz w:val="20"/>
              </w:rPr>
            </w:pPr>
            <w:r w:rsidRPr="0034235F">
              <w:rPr>
                <w:rFonts w:cs="Arial"/>
                <w:sz w:val="20"/>
              </w:rPr>
              <w:t xml:space="preserve">Most of these metrics can be monitored on a dashboard that is under development on the homepage of the </w:t>
            </w:r>
            <w:r w:rsidR="00A00DBA" w:rsidRPr="0034235F">
              <w:rPr>
                <w:rFonts w:cs="Arial"/>
                <w:sz w:val="20"/>
              </w:rPr>
              <w:t>Icelandic</w:t>
            </w:r>
            <w:r w:rsidR="003A3BEB" w:rsidRPr="0034235F">
              <w:rPr>
                <w:rFonts w:cs="Arial"/>
                <w:sz w:val="20"/>
              </w:rPr>
              <w:t xml:space="preserve"> </w:t>
            </w:r>
            <w:r w:rsidRPr="0034235F">
              <w:rPr>
                <w:rFonts w:cs="Arial"/>
                <w:sz w:val="20"/>
              </w:rPr>
              <w:t xml:space="preserve">Regional Development Institute. </w:t>
            </w:r>
          </w:p>
        </w:tc>
      </w:tr>
      <w:tr w:rsidR="00594B16" w:rsidRPr="00D738B5" w14:paraId="6E08705C" w14:textId="77777777" w:rsidTr="007870E5">
        <w:trPr>
          <w:trHeight w:val="238"/>
        </w:trPr>
        <w:tc>
          <w:tcPr>
            <w:tcW w:w="1353" w:type="pct"/>
          </w:tcPr>
          <w:p w14:paraId="0E24760B" w14:textId="625EF3FA" w:rsidR="00594B16" w:rsidRPr="00D738B5" w:rsidRDefault="005317DE" w:rsidP="6DCC7E50">
            <w:pPr>
              <w:pStyle w:val="TableRow"/>
              <w:jc w:val="left"/>
              <w:rPr>
                <w:sz w:val="20"/>
                <w:lang w:val="en-GB"/>
              </w:rPr>
            </w:pPr>
            <w:bookmarkStart w:id="0" w:name="_Hlk121751249"/>
            <w:r w:rsidRPr="6DCC7E50">
              <w:rPr>
                <w:sz w:val="20"/>
                <w:lang w:val="en-GB"/>
              </w:rPr>
              <w:t>Future orientations of regional policy</w:t>
            </w:r>
          </w:p>
        </w:tc>
        <w:tc>
          <w:tcPr>
            <w:tcW w:w="3647" w:type="pct"/>
          </w:tcPr>
          <w:p w14:paraId="11C38F65" w14:textId="0368DE60" w:rsidR="008E06F9" w:rsidRDefault="008E06F9" w:rsidP="008E06F9">
            <w:pPr>
              <w:pStyle w:val="TableCell"/>
              <w:spacing w:line="240" w:lineRule="exact"/>
              <w:jc w:val="left"/>
              <w:rPr>
                <w:rFonts w:cs="Arial"/>
                <w:sz w:val="20"/>
              </w:rPr>
            </w:pPr>
            <w:r w:rsidRPr="008B03FA">
              <w:rPr>
                <w:rFonts w:cs="Arial"/>
                <w:sz w:val="20"/>
              </w:rPr>
              <w:t xml:space="preserve">Flourishing communities and robust population </w:t>
            </w:r>
            <w:r w:rsidR="00010BDF" w:rsidRPr="008B03FA">
              <w:rPr>
                <w:rFonts w:cs="Arial"/>
                <w:sz w:val="20"/>
              </w:rPr>
              <w:t>centers</w:t>
            </w:r>
            <w:r w:rsidRPr="008B03FA">
              <w:rPr>
                <w:rFonts w:cs="Arial"/>
                <w:sz w:val="20"/>
              </w:rPr>
              <w:t xml:space="preserve"> should be found in all parts of the country, in which improved living standards and freedom of residence are promoted, through equal access to basic services, housing and diverse employment opportunities. </w:t>
            </w:r>
          </w:p>
          <w:p w14:paraId="607040AA" w14:textId="77777777" w:rsidR="006F0E71" w:rsidRDefault="008E06F9" w:rsidP="00010BDF">
            <w:pPr>
              <w:pStyle w:val="TableCell"/>
              <w:numPr>
                <w:ilvl w:val="0"/>
                <w:numId w:val="11"/>
              </w:numPr>
              <w:jc w:val="left"/>
              <w:rPr>
                <w:rFonts w:cs="Arial"/>
                <w:sz w:val="20"/>
              </w:rPr>
            </w:pPr>
            <w:r w:rsidRPr="008B03FA">
              <w:rPr>
                <w:rFonts w:cs="Arial"/>
                <w:sz w:val="20"/>
              </w:rPr>
              <w:t xml:space="preserve">Basic services should be provided to inhabitants in their immediate community as far as possible. </w:t>
            </w:r>
          </w:p>
          <w:p w14:paraId="112D2655" w14:textId="5FE1D141" w:rsidR="00844C64" w:rsidRDefault="008E06F9" w:rsidP="00010BDF">
            <w:pPr>
              <w:pStyle w:val="TableCell"/>
              <w:numPr>
                <w:ilvl w:val="0"/>
                <w:numId w:val="11"/>
              </w:numPr>
              <w:jc w:val="left"/>
              <w:rPr>
                <w:rFonts w:cs="Arial"/>
                <w:sz w:val="20"/>
              </w:rPr>
            </w:pPr>
            <w:r w:rsidRPr="008B03FA">
              <w:rPr>
                <w:rFonts w:cs="Arial"/>
                <w:sz w:val="20"/>
              </w:rPr>
              <w:t xml:space="preserve">The Reykjavík metropolitan area shall be a </w:t>
            </w:r>
            <w:r w:rsidR="00F908D0" w:rsidRPr="008B03FA">
              <w:rPr>
                <w:rFonts w:cs="Arial"/>
                <w:sz w:val="20"/>
              </w:rPr>
              <w:t>center</w:t>
            </w:r>
            <w:r w:rsidRPr="008B03FA">
              <w:rPr>
                <w:rFonts w:cs="Arial"/>
                <w:sz w:val="20"/>
              </w:rPr>
              <w:t xml:space="preserve"> of public administration and central services to which all people in the country have good access</w:t>
            </w:r>
            <w:r>
              <w:rPr>
                <w:rFonts w:cs="Arial"/>
                <w:sz w:val="20"/>
              </w:rPr>
              <w:t xml:space="preserve"> to</w:t>
            </w:r>
            <w:r w:rsidRPr="008B03FA">
              <w:rPr>
                <w:rFonts w:cs="Arial"/>
                <w:sz w:val="20"/>
              </w:rPr>
              <w:t>.</w:t>
            </w:r>
          </w:p>
          <w:p w14:paraId="27D13C1F" w14:textId="6E09C4C0" w:rsidR="008853BA" w:rsidRPr="006F0E71" w:rsidRDefault="005F15D0" w:rsidP="00010BDF">
            <w:pPr>
              <w:pStyle w:val="TableCell"/>
              <w:numPr>
                <w:ilvl w:val="0"/>
                <w:numId w:val="11"/>
              </w:numPr>
              <w:jc w:val="left"/>
              <w:rPr>
                <w:rFonts w:cs="Arial"/>
                <w:sz w:val="20"/>
              </w:rPr>
            </w:pPr>
            <w:r w:rsidRPr="005F15D0">
              <w:rPr>
                <w:rFonts w:cs="Arial"/>
                <w:sz w:val="20"/>
              </w:rPr>
              <w:t xml:space="preserve">Regional affairs shall be integrated with other functions as applicable. Public sector strategy and planning shall be guided by climate change issues and sustainable development and impacts on the development of individual communities and habitation should be examined and assessed. </w:t>
            </w:r>
          </w:p>
        </w:tc>
      </w:tr>
    </w:tbl>
    <w:bookmarkEnd w:id="0"/>
    <w:p w14:paraId="3AA8CF31" w14:textId="78888300" w:rsidR="009070E8" w:rsidRDefault="009070E8" w:rsidP="009070E8">
      <w:pPr>
        <w:pStyle w:val="Title2"/>
      </w:pPr>
      <w:r w:rsidRPr="00A47C9A">
        <w:lastRenderedPageBreak/>
        <w:t>Recent policy developments</w:t>
      </w:r>
    </w:p>
    <w:p w14:paraId="6C1B2A0B" w14:textId="77777777" w:rsidR="007870E5" w:rsidRPr="007870E5" w:rsidRDefault="007870E5" w:rsidP="007870E5">
      <w:pPr>
        <w:pStyle w:val="Para0"/>
      </w:pPr>
      <w:r w:rsidRPr="007870E5">
        <w:t xml:space="preserve">The Strategic Regional Plan (SRP) of Iceland 2022-2036 is an integrated social and economic development plan that provides a framework for regional support. Its main goals are to address depopulation in individual regions; address the lack of economic and industrial diversity; support technological changes and the development and adaption of individual industries; outline necessary adaption measures to counter the impacts of climate change; ensure smooth communications and access to services and respond to increasing competition for people and companies. </w:t>
      </w:r>
    </w:p>
    <w:p w14:paraId="5EAEDD50" w14:textId="77777777" w:rsidR="007870E5" w:rsidRPr="007870E5" w:rsidRDefault="007870E5" w:rsidP="007870E5">
      <w:pPr>
        <w:pStyle w:val="Para0"/>
      </w:pPr>
      <w:r w:rsidRPr="007870E5">
        <w:t>The following points are examples of challenges and opportunities that are addressed in a novel or more decisive way than in previous SRP’s</w:t>
      </w:r>
    </w:p>
    <w:p w14:paraId="756D1E06" w14:textId="2BCA8A18" w:rsidR="007870E5" w:rsidRPr="007870E5" w:rsidRDefault="007870E5" w:rsidP="007870E5">
      <w:pPr>
        <w:pStyle w:val="Para0"/>
        <w:numPr>
          <w:ilvl w:val="0"/>
          <w:numId w:val="14"/>
        </w:numPr>
      </w:pPr>
      <w:r w:rsidRPr="007870E5">
        <w:t>Existing knowledge on the effects of climate change, risk assessments and impacts on biological diversity are to be considered in all policy making, planning and decisions concerning the development of communities, land use and planning on land, sea and in coastal areas. In this regard a special action in the SRP has the objective … “to formulate a comprehensive approach to the adaptation of municipalities to the effects impacts of climate change.” This is in line with the emphasis of the Nordic Council of Ministers</w:t>
      </w:r>
    </w:p>
    <w:p w14:paraId="7625D5D2" w14:textId="5BD4B7A2" w:rsidR="007870E5" w:rsidRPr="007870E5" w:rsidRDefault="007870E5" w:rsidP="007870E5">
      <w:pPr>
        <w:pStyle w:val="Para0"/>
        <w:numPr>
          <w:ilvl w:val="0"/>
          <w:numId w:val="14"/>
        </w:numPr>
      </w:pPr>
      <w:r w:rsidRPr="007870E5">
        <w:t xml:space="preserve">Following a steep increase in number of immigrants an emphasis is on facilitating social diversity and demographic factors, such as gender, age and origin and the opportunities inherent in the human resources of each rural community are to be fully utilised. In that regard a special action will be implemented with the objective to increase awareness of the importance of equality and diversity within local governments by supporting their efforts to reflect the diversity of human society so that their decision making serves the needs and benefits the entire population while being in compliance with their gender equality plans.  </w:t>
      </w:r>
    </w:p>
    <w:p w14:paraId="2488CD0E" w14:textId="0A95A908" w:rsidR="007870E5" w:rsidRPr="007870E5" w:rsidRDefault="007870E5" w:rsidP="007870E5">
      <w:pPr>
        <w:pStyle w:val="Para0"/>
        <w:numPr>
          <w:ilvl w:val="0"/>
          <w:numId w:val="14"/>
        </w:numPr>
      </w:pPr>
      <w:r w:rsidRPr="007870E5">
        <w:t xml:space="preserve">In effort to boost the international competitiveness of the country for investments and human capital along with equalizing the access to jobs and services for the whole population a special focus is on the urban – rural linkage. For that purpose, a designated action is on the SRP with the aim to define the role of the two largest urban areas in the overall regional development of the country. The work will be executed in the OECD NUP framework as applicable. </w:t>
      </w:r>
    </w:p>
    <w:p w14:paraId="2F2F5DFD" w14:textId="236FE2B3" w:rsidR="007870E5" w:rsidRDefault="007870E5" w:rsidP="007870E5">
      <w:pPr>
        <w:pStyle w:val="Para0"/>
        <w:numPr>
          <w:ilvl w:val="0"/>
          <w:numId w:val="14"/>
        </w:numPr>
      </w:pPr>
      <w:r w:rsidRPr="007870E5">
        <w:t>The contemporary digital revolution has already weakened the ties between subsistence and residence in many occupations and that opens opportunities for more freedom of residence which is the aim of one the 44 actions of the SRP by increasing the number of location independent jobs to increase the variety of jobs in rural areas. The prospects of communities may thus increasingly be determined by factors such as natural amenities, spatial planning, the provision of services to children and the elderly, cultural and recreational opportunities, and beyond anything else a good and enjoyable social life.</w:t>
      </w:r>
    </w:p>
    <w:p w14:paraId="645F6083" w14:textId="77777777" w:rsidR="007870E5" w:rsidRPr="007870E5" w:rsidRDefault="007870E5" w:rsidP="007870E5">
      <w:pPr>
        <w:pStyle w:val="Para0"/>
        <w:ind w:left="360"/>
        <w:jc w:val="center"/>
        <w:rPr>
          <w:b/>
          <w:bCs/>
          <w:i/>
          <w:iCs/>
        </w:rPr>
      </w:pPr>
      <w:r w:rsidRPr="007870E5">
        <w:rPr>
          <w:b/>
          <w:bCs/>
          <w:i/>
          <w:iCs/>
        </w:rPr>
        <w:t>Labour income per capita by regions</w:t>
      </w:r>
    </w:p>
    <w:p w14:paraId="47358CD3" w14:textId="56B93723" w:rsidR="007870E5" w:rsidRDefault="007870E5" w:rsidP="007870E5">
      <w:pPr>
        <w:pStyle w:val="Para0"/>
      </w:pPr>
      <w:r w:rsidRPr="007870E5">
        <w:rPr>
          <w:noProof/>
        </w:rPr>
        <w:lastRenderedPageBreak/>
        <w:drawing>
          <wp:inline distT="0" distB="0" distL="0" distR="0" wp14:anchorId="4D540EA2" wp14:editId="2CC23951">
            <wp:extent cx="5410200" cy="3601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2549" cy="3602978"/>
                    </a:xfrm>
                    <a:prstGeom prst="rect">
                      <a:avLst/>
                    </a:prstGeom>
                    <a:noFill/>
                  </pic:spPr>
                </pic:pic>
              </a:graphicData>
            </a:graphic>
          </wp:inline>
        </w:drawing>
      </w:r>
    </w:p>
    <w:p w14:paraId="2DC1F797" w14:textId="77777777" w:rsidR="007870E5" w:rsidRDefault="007870E5" w:rsidP="007870E5">
      <w:pPr>
        <w:pStyle w:val="Para0"/>
        <w:ind w:left="360"/>
        <w:jc w:val="center"/>
        <w:rPr>
          <w:b/>
          <w:bCs/>
          <w:i/>
          <w:iCs/>
        </w:rPr>
      </w:pPr>
    </w:p>
    <w:p w14:paraId="1A851967" w14:textId="31B5FD44" w:rsidR="007870E5" w:rsidRPr="007870E5" w:rsidRDefault="007870E5" w:rsidP="007870E5">
      <w:pPr>
        <w:pStyle w:val="Para0"/>
        <w:ind w:left="360"/>
        <w:jc w:val="center"/>
        <w:rPr>
          <w:b/>
          <w:bCs/>
          <w:i/>
          <w:iCs/>
        </w:rPr>
      </w:pPr>
      <w:r w:rsidRPr="007870E5">
        <w:rPr>
          <w:b/>
          <w:bCs/>
          <w:i/>
          <w:iCs/>
        </w:rPr>
        <w:t>Share of industries in total taxable wages by regions</w:t>
      </w:r>
    </w:p>
    <w:p w14:paraId="79503983" w14:textId="77777777" w:rsidR="007870E5" w:rsidRPr="007870E5" w:rsidRDefault="007870E5" w:rsidP="007870E5">
      <w:pPr>
        <w:pStyle w:val="Para0"/>
      </w:pPr>
      <w:r w:rsidRPr="007870E5">
        <w:rPr>
          <w:noProof/>
        </w:rPr>
        <w:drawing>
          <wp:inline distT="0" distB="0" distL="0" distR="0" wp14:anchorId="321D9173" wp14:editId="3361A505">
            <wp:extent cx="5863301" cy="3952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3465" cy="3952985"/>
                    </a:xfrm>
                    <a:prstGeom prst="rect">
                      <a:avLst/>
                    </a:prstGeom>
                    <a:noFill/>
                  </pic:spPr>
                </pic:pic>
              </a:graphicData>
            </a:graphic>
          </wp:inline>
        </w:drawing>
      </w:r>
    </w:p>
    <w:sectPr w:rsidR="007870E5" w:rsidRPr="007870E5" w:rsidSect="003C4738">
      <w:headerReference w:type="even" r:id="rId19"/>
      <w:headerReference w:type="default" r:id="rId20"/>
      <w:footerReference w:type="even" r:id="rId21"/>
      <w:footerReference w:type="default" r:id="rId22"/>
      <w:headerReference w:type="first" r:id="rId23"/>
      <w:footerReference w:type="first" r:id="rId24"/>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0D5B" w14:textId="77777777" w:rsidR="00AF7EDD" w:rsidRDefault="00AF7EDD" w:rsidP="00CC3749"/>
  </w:endnote>
  <w:endnote w:type="continuationSeparator" w:id="0">
    <w:p w14:paraId="682E247F" w14:textId="77777777" w:rsidR="00AF7EDD" w:rsidRPr="00CF4424" w:rsidRDefault="00AF7EDD" w:rsidP="00CF4424">
      <w:pPr>
        <w:pStyle w:val="Footer"/>
        <w:jc w:val="both"/>
      </w:pPr>
    </w:p>
  </w:endnote>
  <w:endnote w:type="continuationNotice" w:id="1">
    <w:p w14:paraId="6B8517C6" w14:textId="77777777" w:rsidR="00AF7EDD" w:rsidRDefault="00AF7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7FD8" w14:textId="77777777" w:rsidR="00AF7EDD" w:rsidRDefault="00AF7EDD" w:rsidP="00CC3749">
      <w:r>
        <w:separator/>
      </w:r>
    </w:p>
  </w:footnote>
  <w:footnote w:type="continuationSeparator" w:id="0">
    <w:p w14:paraId="2189D34F" w14:textId="77777777" w:rsidR="00AF7EDD" w:rsidRDefault="00AF7EDD" w:rsidP="00CC3749">
      <w:r>
        <w:continuationSeparator/>
      </w:r>
    </w:p>
  </w:footnote>
  <w:footnote w:type="continuationNotice" w:id="1">
    <w:p w14:paraId="1B911059" w14:textId="77777777" w:rsidR="00AF7EDD" w:rsidRDefault="00AF7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4A0EE1"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4A0EE1"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4A0EE1">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A5604"/>
    <w:multiLevelType w:val="hybridMultilevel"/>
    <w:tmpl w:val="3C9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356481"/>
    <w:multiLevelType w:val="hybridMultilevel"/>
    <w:tmpl w:val="F06E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33038"/>
    <w:multiLevelType w:val="hybridMultilevel"/>
    <w:tmpl w:val="119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4E6259F1"/>
    <w:multiLevelType w:val="hybridMultilevel"/>
    <w:tmpl w:val="B9626C5E"/>
    <w:lvl w:ilvl="0" w:tplc="1198551E">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BAD1D08"/>
    <w:multiLevelType w:val="hybridMultilevel"/>
    <w:tmpl w:val="E1925F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0267">
    <w:abstractNumId w:val="4"/>
  </w:num>
  <w:num w:numId="2" w16cid:durableId="1885365792">
    <w:abstractNumId w:val="5"/>
  </w:num>
  <w:num w:numId="3" w16cid:durableId="1620069449">
    <w:abstractNumId w:val="2"/>
  </w:num>
  <w:num w:numId="4" w16cid:durableId="1109934581">
    <w:abstractNumId w:val="8"/>
  </w:num>
  <w:num w:numId="5" w16cid:durableId="958100250">
    <w:abstractNumId w:val="1"/>
  </w:num>
  <w:num w:numId="6" w16cid:durableId="1961910771">
    <w:abstractNumId w:val="11"/>
  </w:num>
  <w:num w:numId="7" w16cid:durableId="1249342156">
    <w:abstractNumId w:val="9"/>
  </w:num>
  <w:num w:numId="8" w16cid:durableId="51469891">
    <w:abstractNumId w:val="0"/>
  </w:num>
  <w:num w:numId="9" w16cid:durableId="1740204414">
    <w:abstractNumId w:val="13"/>
  </w:num>
  <w:num w:numId="10" w16cid:durableId="85227263">
    <w:abstractNumId w:val="7"/>
  </w:num>
  <w:num w:numId="11" w16cid:durableId="412777681">
    <w:abstractNumId w:val="6"/>
  </w:num>
  <w:num w:numId="12" w16cid:durableId="2012679078">
    <w:abstractNumId w:val="3"/>
  </w:num>
  <w:num w:numId="13" w16cid:durableId="1308582608">
    <w:abstractNumId w:val="10"/>
  </w:num>
  <w:num w:numId="14" w16cid:durableId="21375300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0DF"/>
    <w:rsid w:val="000037D9"/>
    <w:rsid w:val="00003A01"/>
    <w:rsid w:val="00004DAB"/>
    <w:rsid w:val="000064D6"/>
    <w:rsid w:val="00010BDF"/>
    <w:rsid w:val="00017230"/>
    <w:rsid w:val="00024178"/>
    <w:rsid w:val="00027D14"/>
    <w:rsid w:val="00030E8C"/>
    <w:rsid w:val="00031D53"/>
    <w:rsid w:val="000338B2"/>
    <w:rsid w:val="00033E50"/>
    <w:rsid w:val="0004402D"/>
    <w:rsid w:val="00044517"/>
    <w:rsid w:val="000447A5"/>
    <w:rsid w:val="000454E8"/>
    <w:rsid w:val="00046DAE"/>
    <w:rsid w:val="0005102C"/>
    <w:rsid w:val="00052575"/>
    <w:rsid w:val="00052588"/>
    <w:rsid w:val="00052AF9"/>
    <w:rsid w:val="000542B8"/>
    <w:rsid w:val="00055124"/>
    <w:rsid w:val="00055536"/>
    <w:rsid w:val="00060464"/>
    <w:rsid w:val="00064C7A"/>
    <w:rsid w:val="0007759B"/>
    <w:rsid w:val="00083BCB"/>
    <w:rsid w:val="00085197"/>
    <w:rsid w:val="000878F7"/>
    <w:rsid w:val="0009725B"/>
    <w:rsid w:val="000A5133"/>
    <w:rsid w:val="000A655C"/>
    <w:rsid w:val="000A69AD"/>
    <w:rsid w:val="000B03E2"/>
    <w:rsid w:val="000B43D0"/>
    <w:rsid w:val="000B74AE"/>
    <w:rsid w:val="000B7665"/>
    <w:rsid w:val="000B7B86"/>
    <w:rsid w:val="000C00F5"/>
    <w:rsid w:val="000C0FE0"/>
    <w:rsid w:val="000C1D34"/>
    <w:rsid w:val="000C1DF4"/>
    <w:rsid w:val="000C5E22"/>
    <w:rsid w:val="000C7342"/>
    <w:rsid w:val="000C7AA4"/>
    <w:rsid w:val="000D1C3F"/>
    <w:rsid w:val="000D34F9"/>
    <w:rsid w:val="000D4550"/>
    <w:rsid w:val="000D470D"/>
    <w:rsid w:val="000D65EB"/>
    <w:rsid w:val="000E0C31"/>
    <w:rsid w:val="000E0DC7"/>
    <w:rsid w:val="000E2815"/>
    <w:rsid w:val="000E49CE"/>
    <w:rsid w:val="000E5F57"/>
    <w:rsid w:val="000F040F"/>
    <w:rsid w:val="000F2925"/>
    <w:rsid w:val="000F34DB"/>
    <w:rsid w:val="000F65AB"/>
    <w:rsid w:val="000F6863"/>
    <w:rsid w:val="000F68AF"/>
    <w:rsid w:val="000F799E"/>
    <w:rsid w:val="00101323"/>
    <w:rsid w:val="00105AFD"/>
    <w:rsid w:val="00111592"/>
    <w:rsid w:val="00111A19"/>
    <w:rsid w:val="001142BA"/>
    <w:rsid w:val="0011701E"/>
    <w:rsid w:val="0011730B"/>
    <w:rsid w:val="00130B1E"/>
    <w:rsid w:val="001313D9"/>
    <w:rsid w:val="00131F7F"/>
    <w:rsid w:val="00132E78"/>
    <w:rsid w:val="00141562"/>
    <w:rsid w:val="00145F5F"/>
    <w:rsid w:val="00146063"/>
    <w:rsid w:val="0015065F"/>
    <w:rsid w:val="00150FAB"/>
    <w:rsid w:val="0015185C"/>
    <w:rsid w:val="00151AE5"/>
    <w:rsid w:val="0015227C"/>
    <w:rsid w:val="001535B9"/>
    <w:rsid w:val="001538D5"/>
    <w:rsid w:val="00156D22"/>
    <w:rsid w:val="00157A58"/>
    <w:rsid w:val="00160B10"/>
    <w:rsid w:val="00160D78"/>
    <w:rsid w:val="00162751"/>
    <w:rsid w:val="001641D6"/>
    <w:rsid w:val="0016509B"/>
    <w:rsid w:val="00170C55"/>
    <w:rsid w:val="00173418"/>
    <w:rsid w:val="00173CC5"/>
    <w:rsid w:val="00183469"/>
    <w:rsid w:val="00192BE9"/>
    <w:rsid w:val="001931F5"/>
    <w:rsid w:val="001933C5"/>
    <w:rsid w:val="00193617"/>
    <w:rsid w:val="00196642"/>
    <w:rsid w:val="001B2144"/>
    <w:rsid w:val="001B2FAD"/>
    <w:rsid w:val="001B40B7"/>
    <w:rsid w:val="001B4E01"/>
    <w:rsid w:val="001C0B13"/>
    <w:rsid w:val="001C1F73"/>
    <w:rsid w:val="001C4E4F"/>
    <w:rsid w:val="001C617B"/>
    <w:rsid w:val="001D3952"/>
    <w:rsid w:val="001D3AE4"/>
    <w:rsid w:val="001D58DE"/>
    <w:rsid w:val="001E1F22"/>
    <w:rsid w:val="001E6BC0"/>
    <w:rsid w:val="001F11B3"/>
    <w:rsid w:val="001F18A8"/>
    <w:rsid w:val="001F392F"/>
    <w:rsid w:val="001F3AFF"/>
    <w:rsid w:val="001F63FD"/>
    <w:rsid w:val="001F6920"/>
    <w:rsid w:val="001F76B3"/>
    <w:rsid w:val="00201266"/>
    <w:rsid w:val="00202409"/>
    <w:rsid w:val="00203113"/>
    <w:rsid w:val="00203CC1"/>
    <w:rsid w:val="00206D52"/>
    <w:rsid w:val="00210A5D"/>
    <w:rsid w:val="00211809"/>
    <w:rsid w:val="00224AC3"/>
    <w:rsid w:val="0022556E"/>
    <w:rsid w:val="00232616"/>
    <w:rsid w:val="00237A1B"/>
    <w:rsid w:val="00237F95"/>
    <w:rsid w:val="002471C8"/>
    <w:rsid w:val="00251629"/>
    <w:rsid w:val="0025481A"/>
    <w:rsid w:val="0025617D"/>
    <w:rsid w:val="002565E1"/>
    <w:rsid w:val="0026340F"/>
    <w:rsid w:val="00263627"/>
    <w:rsid w:val="00266292"/>
    <w:rsid w:val="00266673"/>
    <w:rsid w:val="00271061"/>
    <w:rsid w:val="0027449D"/>
    <w:rsid w:val="00275477"/>
    <w:rsid w:val="00280D51"/>
    <w:rsid w:val="002818F4"/>
    <w:rsid w:val="002852B0"/>
    <w:rsid w:val="00287ED5"/>
    <w:rsid w:val="00296CE1"/>
    <w:rsid w:val="002A1FFD"/>
    <w:rsid w:val="002A2091"/>
    <w:rsid w:val="002A226D"/>
    <w:rsid w:val="002A305F"/>
    <w:rsid w:val="002A5FB3"/>
    <w:rsid w:val="002A6B56"/>
    <w:rsid w:val="002A70C2"/>
    <w:rsid w:val="002B353F"/>
    <w:rsid w:val="002B53F6"/>
    <w:rsid w:val="002C1DD6"/>
    <w:rsid w:val="002D624E"/>
    <w:rsid w:val="002E0230"/>
    <w:rsid w:val="002E0599"/>
    <w:rsid w:val="002E08EA"/>
    <w:rsid w:val="002E0F68"/>
    <w:rsid w:val="002E4009"/>
    <w:rsid w:val="002F20C0"/>
    <w:rsid w:val="002F3546"/>
    <w:rsid w:val="002F3A06"/>
    <w:rsid w:val="002F605B"/>
    <w:rsid w:val="00303173"/>
    <w:rsid w:val="00305C43"/>
    <w:rsid w:val="00306BB7"/>
    <w:rsid w:val="00310601"/>
    <w:rsid w:val="003165AC"/>
    <w:rsid w:val="003176D9"/>
    <w:rsid w:val="003203BD"/>
    <w:rsid w:val="00322CB9"/>
    <w:rsid w:val="00323108"/>
    <w:rsid w:val="0032330D"/>
    <w:rsid w:val="00323FCB"/>
    <w:rsid w:val="00324483"/>
    <w:rsid w:val="00326CAE"/>
    <w:rsid w:val="003276FA"/>
    <w:rsid w:val="00333261"/>
    <w:rsid w:val="00336190"/>
    <w:rsid w:val="00337396"/>
    <w:rsid w:val="0034235F"/>
    <w:rsid w:val="00347AA2"/>
    <w:rsid w:val="00350662"/>
    <w:rsid w:val="00350963"/>
    <w:rsid w:val="00350CCC"/>
    <w:rsid w:val="0035293B"/>
    <w:rsid w:val="00354DF9"/>
    <w:rsid w:val="003570CA"/>
    <w:rsid w:val="003578FC"/>
    <w:rsid w:val="00357F57"/>
    <w:rsid w:val="00357F63"/>
    <w:rsid w:val="00366BED"/>
    <w:rsid w:val="00372918"/>
    <w:rsid w:val="00373CB1"/>
    <w:rsid w:val="00375A7C"/>
    <w:rsid w:val="00376570"/>
    <w:rsid w:val="00381AB2"/>
    <w:rsid w:val="00386F03"/>
    <w:rsid w:val="00393EC4"/>
    <w:rsid w:val="003957E7"/>
    <w:rsid w:val="00397461"/>
    <w:rsid w:val="003A3A69"/>
    <w:rsid w:val="003A3BEB"/>
    <w:rsid w:val="003A40FD"/>
    <w:rsid w:val="003A4FCA"/>
    <w:rsid w:val="003A5935"/>
    <w:rsid w:val="003A72FB"/>
    <w:rsid w:val="003B0FCE"/>
    <w:rsid w:val="003B2EF0"/>
    <w:rsid w:val="003B312C"/>
    <w:rsid w:val="003B42F8"/>
    <w:rsid w:val="003B6F21"/>
    <w:rsid w:val="003C4738"/>
    <w:rsid w:val="003C6E42"/>
    <w:rsid w:val="003D0071"/>
    <w:rsid w:val="003D0145"/>
    <w:rsid w:val="003D0718"/>
    <w:rsid w:val="003D0D81"/>
    <w:rsid w:val="003D283F"/>
    <w:rsid w:val="003D2EAC"/>
    <w:rsid w:val="003D309C"/>
    <w:rsid w:val="003D6AF2"/>
    <w:rsid w:val="003E0362"/>
    <w:rsid w:val="003E2E5C"/>
    <w:rsid w:val="003E5BE5"/>
    <w:rsid w:val="003E6393"/>
    <w:rsid w:val="003E7235"/>
    <w:rsid w:val="003F3341"/>
    <w:rsid w:val="003F3E9F"/>
    <w:rsid w:val="00401A76"/>
    <w:rsid w:val="004036CB"/>
    <w:rsid w:val="00403A1F"/>
    <w:rsid w:val="00404A52"/>
    <w:rsid w:val="00404FAE"/>
    <w:rsid w:val="00407712"/>
    <w:rsid w:val="004120ED"/>
    <w:rsid w:val="00417A6C"/>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A5B"/>
    <w:rsid w:val="00464ED3"/>
    <w:rsid w:val="004661B2"/>
    <w:rsid w:val="00467C30"/>
    <w:rsid w:val="0048557D"/>
    <w:rsid w:val="00485A2E"/>
    <w:rsid w:val="00493060"/>
    <w:rsid w:val="004A00A8"/>
    <w:rsid w:val="004A0EE1"/>
    <w:rsid w:val="004A117A"/>
    <w:rsid w:val="004A169B"/>
    <w:rsid w:val="004A1A3F"/>
    <w:rsid w:val="004A1A7B"/>
    <w:rsid w:val="004A2929"/>
    <w:rsid w:val="004A42ED"/>
    <w:rsid w:val="004A6F9B"/>
    <w:rsid w:val="004B163D"/>
    <w:rsid w:val="004B3675"/>
    <w:rsid w:val="004B53F0"/>
    <w:rsid w:val="004B7B10"/>
    <w:rsid w:val="004C01A6"/>
    <w:rsid w:val="004C0F00"/>
    <w:rsid w:val="004C102F"/>
    <w:rsid w:val="004C1ECB"/>
    <w:rsid w:val="004C4893"/>
    <w:rsid w:val="004C5C33"/>
    <w:rsid w:val="004D1C39"/>
    <w:rsid w:val="004E100F"/>
    <w:rsid w:val="004E2351"/>
    <w:rsid w:val="004E3712"/>
    <w:rsid w:val="004E4993"/>
    <w:rsid w:val="004E4E2E"/>
    <w:rsid w:val="004F0BCD"/>
    <w:rsid w:val="004F1D9C"/>
    <w:rsid w:val="004F43FF"/>
    <w:rsid w:val="004F644E"/>
    <w:rsid w:val="004F6BF2"/>
    <w:rsid w:val="004F6CB7"/>
    <w:rsid w:val="005011D9"/>
    <w:rsid w:val="00502163"/>
    <w:rsid w:val="00502342"/>
    <w:rsid w:val="005059C6"/>
    <w:rsid w:val="00510B9C"/>
    <w:rsid w:val="00510E93"/>
    <w:rsid w:val="00511263"/>
    <w:rsid w:val="00511E1D"/>
    <w:rsid w:val="00511FA2"/>
    <w:rsid w:val="00523806"/>
    <w:rsid w:val="00524708"/>
    <w:rsid w:val="00524825"/>
    <w:rsid w:val="0052749E"/>
    <w:rsid w:val="005317DE"/>
    <w:rsid w:val="00532FB1"/>
    <w:rsid w:val="00535F2B"/>
    <w:rsid w:val="005360A8"/>
    <w:rsid w:val="005361EC"/>
    <w:rsid w:val="005367A2"/>
    <w:rsid w:val="00543135"/>
    <w:rsid w:val="00544C5A"/>
    <w:rsid w:val="0054512C"/>
    <w:rsid w:val="00551054"/>
    <w:rsid w:val="005527A6"/>
    <w:rsid w:val="0056288C"/>
    <w:rsid w:val="0056606B"/>
    <w:rsid w:val="00567146"/>
    <w:rsid w:val="00575855"/>
    <w:rsid w:val="00576984"/>
    <w:rsid w:val="00582D40"/>
    <w:rsid w:val="00583780"/>
    <w:rsid w:val="00590221"/>
    <w:rsid w:val="00593D13"/>
    <w:rsid w:val="00594B16"/>
    <w:rsid w:val="005A0735"/>
    <w:rsid w:val="005A0A55"/>
    <w:rsid w:val="005A116C"/>
    <w:rsid w:val="005A41B4"/>
    <w:rsid w:val="005A4A42"/>
    <w:rsid w:val="005A6B81"/>
    <w:rsid w:val="005B5705"/>
    <w:rsid w:val="005B734D"/>
    <w:rsid w:val="005B7CA2"/>
    <w:rsid w:val="005C01A1"/>
    <w:rsid w:val="005D25FC"/>
    <w:rsid w:val="005D376B"/>
    <w:rsid w:val="005D450E"/>
    <w:rsid w:val="005D5F8F"/>
    <w:rsid w:val="005D7D42"/>
    <w:rsid w:val="005E1277"/>
    <w:rsid w:val="005E2258"/>
    <w:rsid w:val="005E3782"/>
    <w:rsid w:val="005E3CEA"/>
    <w:rsid w:val="005E7938"/>
    <w:rsid w:val="005F15D0"/>
    <w:rsid w:val="005F4867"/>
    <w:rsid w:val="00603681"/>
    <w:rsid w:val="00605E45"/>
    <w:rsid w:val="00606AD7"/>
    <w:rsid w:val="00610A6F"/>
    <w:rsid w:val="0061216A"/>
    <w:rsid w:val="006128C8"/>
    <w:rsid w:val="00616527"/>
    <w:rsid w:val="006218BD"/>
    <w:rsid w:val="00622E0C"/>
    <w:rsid w:val="00623BE2"/>
    <w:rsid w:val="00624205"/>
    <w:rsid w:val="00625626"/>
    <w:rsid w:val="0062763F"/>
    <w:rsid w:val="006304BF"/>
    <w:rsid w:val="00631483"/>
    <w:rsid w:val="00635AEE"/>
    <w:rsid w:val="00640529"/>
    <w:rsid w:val="00640F8F"/>
    <w:rsid w:val="006422A8"/>
    <w:rsid w:val="00642765"/>
    <w:rsid w:val="00644510"/>
    <w:rsid w:val="00644FCE"/>
    <w:rsid w:val="00651DED"/>
    <w:rsid w:val="006542E3"/>
    <w:rsid w:val="00663A50"/>
    <w:rsid w:val="00665FC9"/>
    <w:rsid w:val="00680162"/>
    <w:rsid w:val="00680790"/>
    <w:rsid w:val="0068361F"/>
    <w:rsid w:val="006932DD"/>
    <w:rsid w:val="00693AF1"/>
    <w:rsid w:val="006954F3"/>
    <w:rsid w:val="006A0528"/>
    <w:rsid w:val="006A1139"/>
    <w:rsid w:val="006A25E3"/>
    <w:rsid w:val="006A2B40"/>
    <w:rsid w:val="006B38E2"/>
    <w:rsid w:val="006B4BAA"/>
    <w:rsid w:val="006B6C1A"/>
    <w:rsid w:val="006B7345"/>
    <w:rsid w:val="006B73BA"/>
    <w:rsid w:val="006B7A61"/>
    <w:rsid w:val="006C0820"/>
    <w:rsid w:val="006C35CC"/>
    <w:rsid w:val="006C5EC7"/>
    <w:rsid w:val="006C7B61"/>
    <w:rsid w:val="006C7E21"/>
    <w:rsid w:val="006D1C15"/>
    <w:rsid w:val="006D2B23"/>
    <w:rsid w:val="006D42AC"/>
    <w:rsid w:val="006E25CC"/>
    <w:rsid w:val="006E50BA"/>
    <w:rsid w:val="006E5AA5"/>
    <w:rsid w:val="006F0A20"/>
    <w:rsid w:val="006F0E71"/>
    <w:rsid w:val="0070033F"/>
    <w:rsid w:val="00707D01"/>
    <w:rsid w:val="00710E8C"/>
    <w:rsid w:val="00711F1B"/>
    <w:rsid w:val="00712B15"/>
    <w:rsid w:val="007135D0"/>
    <w:rsid w:val="00717159"/>
    <w:rsid w:val="0072116A"/>
    <w:rsid w:val="00722339"/>
    <w:rsid w:val="0072334F"/>
    <w:rsid w:val="00724820"/>
    <w:rsid w:val="0072513F"/>
    <w:rsid w:val="00725614"/>
    <w:rsid w:val="007303AA"/>
    <w:rsid w:val="007306FA"/>
    <w:rsid w:val="00731836"/>
    <w:rsid w:val="007323ED"/>
    <w:rsid w:val="00733ED1"/>
    <w:rsid w:val="00734135"/>
    <w:rsid w:val="007350EA"/>
    <w:rsid w:val="00735C39"/>
    <w:rsid w:val="00737A52"/>
    <w:rsid w:val="00743058"/>
    <w:rsid w:val="00743381"/>
    <w:rsid w:val="00750AAA"/>
    <w:rsid w:val="00751153"/>
    <w:rsid w:val="00751307"/>
    <w:rsid w:val="00753095"/>
    <w:rsid w:val="0075331E"/>
    <w:rsid w:val="00753EEE"/>
    <w:rsid w:val="00754C15"/>
    <w:rsid w:val="007563A4"/>
    <w:rsid w:val="00757D43"/>
    <w:rsid w:val="00757E08"/>
    <w:rsid w:val="007622EA"/>
    <w:rsid w:val="00762B89"/>
    <w:rsid w:val="00766D26"/>
    <w:rsid w:val="007712AC"/>
    <w:rsid w:val="00771361"/>
    <w:rsid w:val="007728EB"/>
    <w:rsid w:val="00774A40"/>
    <w:rsid w:val="0077601A"/>
    <w:rsid w:val="00776C26"/>
    <w:rsid w:val="007807EA"/>
    <w:rsid w:val="007823FE"/>
    <w:rsid w:val="007836B4"/>
    <w:rsid w:val="00785711"/>
    <w:rsid w:val="0078581F"/>
    <w:rsid w:val="00785A1E"/>
    <w:rsid w:val="007870E5"/>
    <w:rsid w:val="00793D20"/>
    <w:rsid w:val="00796525"/>
    <w:rsid w:val="007A5CE9"/>
    <w:rsid w:val="007A6AAA"/>
    <w:rsid w:val="007A76BA"/>
    <w:rsid w:val="007B1A88"/>
    <w:rsid w:val="007B2404"/>
    <w:rsid w:val="007B31F6"/>
    <w:rsid w:val="007B32B0"/>
    <w:rsid w:val="007B3B28"/>
    <w:rsid w:val="007B505D"/>
    <w:rsid w:val="007B64FE"/>
    <w:rsid w:val="007C3545"/>
    <w:rsid w:val="007C3714"/>
    <w:rsid w:val="007C5CAD"/>
    <w:rsid w:val="007C6866"/>
    <w:rsid w:val="007D09AE"/>
    <w:rsid w:val="007D21CF"/>
    <w:rsid w:val="007D3ED4"/>
    <w:rsid w:val="007D7784"/>
    <w:rsid w:val="007E25A2"/>
    <w:rsid w:val="007E78A7"/>
    <w:rsid w:val="007F41F9"/>
    <w:rsid w:val="007F562D"/>
    <w:rsid w:val="007F5F6A"/>
    <w:rsid w:val="00802FCD"/>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4C64"/>
    <w:rsid w:val="008460B0"/>
    <w:rsid w:val="00846576"/>
    <w:rsid w:val="00846824"/>
    <w:rsid w:val="008542C2"/>
    <w:rsid w:val="00855842"/>
    <w:rsid w:val="008566CB"/>
    <w:rsid w:val="00857920"/>
    <w:rsid w:val="00861390"/>
    <w:rsid w:val="0086742E"/>
    <w:rsid w:val="00871678"/>
    <w:rsid w:val="008728E0"/>
    <w:rsid w:val="00874D4F"/>
    <w:rsid w:val="008757C6"/>
    <w:rsid w:val="00880E82"/>
    <w:rsid w:val="00881FEF"/>
    <w:rsid w:val="00882314"/>
    <w:rsid w:val="008841EB"/>
    <w:rsid w:val="008853BA"/>
    <w:rsid w:val="00895D73"/>
    <w:rsid w:val="00896DC3"/>
    <w:rsid w:val="008A1251"/>
    <w:rsid w:val="008B03FA"/>
    <w:rsid w:val="008B09EE"/>
    <w:rsid w:val="008B5E8B"/>
    <w:rsid w:val="008C135A"/>
    <w:rsid w:val="008C38B5"/>
    <w:rsid w:val="008C5973"/>
    <w:rsid w:val="008C7702"/>
    <w:rsid w:val="008D0883"/>
    <w:rsid w:val="008D3080"/>
    <w:rsid w:val="008D7254"/>
    <w:rsid w:val="008E06F9"/>
    <w:rsid w:val="008E2C7C"/>
    <w:rsid w:val="008E2F6C"/>
    <w:rsid w:val="008F0F36"/>
    <w:rsid w:val="008F0F84"/>
    <w:rsid w:val="008F1437"/>
    <w:rsid w:val="008F36DF"/>
    <w:rsid w:val="008F44AF"/>
    <w:rsid w:val="008F632C"/>
    <w:rsid w:val="008F66D2"/>
    <w:rsid w:val="008F6F27"/>
    <w:rsid w:val="008F7A96"/>
    <w:rsid w:val="008F7B1F"/>
    <w:rsid w:val="009007D5"/>
    <w:rsid w:val="009007DC"/>
    <w:rsid w:val="00904F11"/>
    <w:rsid w:val="009056D9"/>
    <w:rsid w:val="009070E8"/>
    <w:rsid w:val="00907E59"/>
    <w:rsid w:val="009106FA"/>
    <w:rsid w:val="009114A8"/>
    <w:rsid w:val="009148D6"/>
    <w:rsid w:val="00916BDE"/>
    <w:rsid w:val="00922AC4"/>
    <w:rsid w:val="0092327D"/>
    <w:rsid w:val="009278AD"/>
    <w:rsid w:val="009305C4"/>
    <w:rsid w:val="009321E4"/>
    <w:rsid w:val="0093281A"/>
    <w:rsid w:val="00943271"/>
    <w:rsid w:val="0094456A"/>
    <w:rsid w:val="00945A1F"/>
    <w:rsid w:val="00945C59"/>
    <w:rsid w:val="0094705D"/>
    <w:rsid w:val="00961C60"/>
    <w:rsid w:val="0096394A"/>
    <w:rsid w:val="0096519D"/>
    <w:rsid w:val="00966A58"/>
    <w:rsid w:val="0096728F"/>
    <w:rsid w:val="0097116C"/>
    <w:rsid w:val="009811DE"/>
    <w:rsid w:val="00982C10"/>
    <w:rsid w:val="0098377F"/>
    <w:rsid w:val="009837A3"/>
    <w:rsid w:val="00986CFC"/>
    <w:rsid w:val="009877F0"/>
    <w:rsid w:val="00991A9A"/>
    <w:rsid w:val="0099203B"/>
    <w:rsid w:val="00992AB5"/>
    <w:rsid w:val="009A22AE"/>
    <w:rsid w:val="009A3363"/>
    <w:rsid w:val="009A4284"/>
    <w:rsid w:val="009B32CD"/>
    <w:rsid w:val="009B36EC"/>
    <w:rsid w:val="009B3725"/>
    <w:rsid w:val="009B4679"/>
    <w:rsid w:val="009C07F3"/>
    <w:rsid w:val="009C532B"/>
    <w:rsid w:val="009C66B2"/>
    <w:rsid w:val="009C697D"/>
    <w:rsid w:val="009D0A30"/>
    <w:rsid w:val="009D0EC4"/>
    <w:rsid w:val="009D30C1"/>
    <w:rsid w:val="009D6989"/>
    <w:rsid w:val="009D7829"/>
    <w:rsid w:val="009E05F9"/>
    <w:rsid w:val="009E1A99"/>
    <w:rsid w:val="009E3337"/>
    <w:rsid w:val="009E72F2"/>
    <w:rsid w:val="009E7C04"/>
    <w:rsid w:val="009E7E94"/>
    <w:rsid w:val="009F4F86"/>
    <w:rsid w:val="009F7287"/>
    <w:rsid w:val="00A003C3"/>
    <w:rsid w:val="00A00DBA"/>
    <w:rsid w:val="00A01981"/>
    <w:rsid w:val="00A0222A"/>
    <w:rsid w:val="00A06C86"/>
    <w:rsid w:val="00A07625"/>
    <w:rsid w:val="00A076FA"/>
    <w:rsid w:val="00A104FC"/>
    <w:rsid w:val="00A108A8"/>
    <w:rsid w:val="00A1253E"/>
    <w:rsid w:val="00A12B7B"/>
    <w:rsid w:val="00A14DC4"/>
    <w:rsid w:val="00A1583A"/>
    <w:rsid w:val="00A15EA2"/>
    <w:rsid w:val="00A1735A"/>
    <w:rsid w:val="00A20967"/>
    <w:rsid w:val="00A21E27"/>
    <w:rsid w:val="00A25B35"/>
    <w:rsid w:val="00A25BD4"/>
    <w:rsid w:val="00A33D14"/>
    <w:rsid w:val="00A34DC1"/>
    <w:rsid w:val="00A37D0A"/>
    <w:rsid w:val="00A40263"/>
    <w:rsid w:val="00A40841"/>
    <w:rsid w:val="00A40ED3"/>
    <w:rsid w:val="00A4133C"/>
    <w:rsid w:val="00A42716"/>
    <w:rsid w:val="00A437BA"/>
    <w:rsid w:val="00A451A2"/>
    <w:rsid w:val="00A46E7D"/>
    <w:rsid w:val="00A47C9A"/>
    <w:rsid w:val="00A506C1"/>
    <w:rsid w:val="00A57591"/>
    <w:rsid w:val="00A600BB"/>
    <w:rsid w:val="00A61647"/>
    <w:rsid w:val="00A61DC4"/>
    <w:rsid w:val="00A621A5"/>
    <w:rsid w:val="00A64D8A"/>
    <w:rsid w:val="00A65713"/>
    <w:rsid w:val="00A7057E"/>
    <w:rsid w:val="00A712FD"/>
    <w:rsid w:val="00A73BFF"/>
    <w:rsid w:val="00A74AFD"/>
    <w:rsid w:val="00A752EA"/>
    <w:rsid w:val="00A76883"/>
    <w:rsid w:val="00A8126B"/>
    <w:rsid w:val="00A8156B"/>
    <w:rsid w:val="00A81DD4"/>
    <w:rsid w:val="00A81F07"/>
    <w:rsid w:val="00A8673D"/>
    <w:rsid w:val="00A91611"/>
    <w:rsid w:val="00A9200C"/>
    <w:rsid w:val="00A92F3D"/>
    <w:rsid w:val="00A95B06"/>
    <w:rsid w:val="00A961E9"/>
    <w:rsid w:val="00AA2AD0"/>
    <w:rsid w:val="00AA402F"/>
    <w:rsid w:val="00AA591D"/>
    <w:rsid w:val="00AA7673"/>
    <w:rsid w:val="00AB34FF"/>
    <w:rsid w:val="00AB5A6F"/>
    <w:rsid w:val="00AC4AE2"/>
    <w:rsid w:val="00AC5E9B"/>
    <w:rsid w:val="00AC6727"/>
    <w:rsid w:val="00AC7B0C"/>
    <w:rsid w:val="00AD08D5"/>
    <w:rsid w:val="00AD15C4"/>
    <w:rsid w:val="00AD196B"/>
    <w:rsid w:val="00AD32A7"/>
    <w:rsid w:val="00AD373D"/>
    <w:rsid w:val="00AD4B7B"/>
    <w:rsid w:val="00AE23A5"/>
    <w:rsid w:val="00AE48DF"/>
    <w:rsid w:val="00AE5FED"/>
    <w:rsid w:val="00AF050A"/>
    <w:rsid w:val="00AF342A"/>
    <w:rsid w:val="00AF460F"/>
    <w:rsid w:val="00AF59B3"/>
    <w:rsid w:val="00AF7EDD"/>
    <w:rsid w:val="00B0250B"/>
    <w:rsid w:val="00B03567"/>
    <w:rsid w:val="00B06D82"/>
    <w:rsid w:val="00B103D2"/>
    <w:rsid w:val="00B11352"/>
    <w:rsid w:val="00B11E2C"/>
    <w:rsid w:val="00B12F75"/>
    <w:rsid w:val="00B16E93"/>
    <w:rsid w:val="00B215BE"/>
    <w:rsid w:val="00B2531E"/>
    <w:rsid w:val="00B307B0"/>
    <w:rsid w:val="00B34036"/>
    <w:rsid w:val="00B363EB"/>
    <w:rsid w:val="00B375CF"/>
    <w:rsid w:val="00B44497"/>
    <w:rsid w:val="00B46C8D"/>
    <w:rsid w:val="00B572E6"/>
    <w:rsid w:val="00B60055"/>
    <w:rsid w:val="00B66B2E"/>
    <w:rsid w:val="00B67859"/>
    <w:rsid w:val="00B720F6"/>
    <w:rsid w:val="00B7351B"/>
    <w:rsid w:val="00B75667"/>
    <w:rsid w:val="00B837D1"/>
    <w:rsid w:val="00B90F06"/>
    <w:rsid w:val="00B9463C"/>
    <w:rsid w:val="00B9482B"/>
    <w:rsid w:val="00BA01C3"/>
    <w:rsid w:val="00BA1ADD"/>
    <w:rsid w:val="00BA263C"/>
    <w:rsid w:val="00BA28FD"/>
    <w:rsid w:val="00BC1706"/>
    <w:rsid w:val="00BC1FF4"/>
    <w:rsid w:val="00BC74B1"/>
    <w:rsid w:val="00BD2054"/>
    <w:rsid w:val="00BD4F7D"/>
    <w:rsid w:val="00BD584D"/>
    <w:rsid w:val="00BE268B"/>
    <w:rsid w:val="00BE6E9E"/>
    <w:rsid w:val="00BF0EA3"/>
    <w:rsid w:val="00BF0FF1"/>
    <w:rsid w:val="00BF1697"/>
    <w:rsid w:val="00BF2265"/>
    <w:rsid w:val="00BF53D8"/>
    <w:rsid w:val="00BF773A"/>
    <w:rsid w:val="00C0190E"/>
    <w:rsid w:val="00C03067"/>
    <w:rsid w:val="00C03A61"/>
    <w:rsid w:val="00C06544"/>
    <w:rsid w:val="00C16120"/>
    <w:rsid w:val="00C24704"/>
    <w:rsid w:val="00C26DD0"/>
    <w:rsid w:val="00C30662"/>
    <w:rsid w:val="00C3172F"/>
    <w:rsid w:val="00C3513F"/>
    <w:rsid w:val="00C35BE4"/>
    <w:rsid w:val="00C40110"/>
    <w:rsid w:val="00C43213"/>
    <w:rsid w:val="00C45E14"/>
    <w:rsid w:val="00C5382F"/>
    <w:rsid w:val="00C549BA"/>
    <w:rsid w:val="00C611FD"/>
    <w:rsid w:val="00C6171E"/>
    <w:rsid w:val="00C710A7"/>
    <w:rsid w:val="00C71392"/>
    <w:rsid w:val="00C72F17"/>
    <w:rsid w:val="00C732F4"/>
    <w:rsid w:val="00C74A1F"/>
    <w:rsid w:val="00C77599"/>
    <w:rsid w:val="00C77D9B"/>
    <w:rsid w:val="00C77F8C"/>
    <w:rsid w:val="00C83CC5"/>
    <w:rsid w:val="00C92DDF"/>
    <w:rsid w:val="00C9339D"/>
    <w:rsid w:val="00C96B56"/>
    <w:rsid w:val="00CA10B3"/>
    <w:rsid w:val="00CA13E9"/>
    <w:rsid w:val="00CA1A65"/>
    <w:rsid w:val="00CA2765"/>
    <w:rsid w:val="00CA27CC"/>
    <w:rsid w:val="00CA5B98"/>
    <w:rsid w:val="00CA6653"/>
    <w:rsid w:val="00CB4B68"/>
    <w:rsid w:val="00CB6B34"/>
    <w:rsid w:val="00CC1A99"/>
    <w:rsid w:val="00CC3749"/>
    <w:rsid w:val="00CC41F7"/>
    <w:rsid w:val="00CD6A6F"/>
    <w:rsid w:val="00CD700A"/>
    <w:rsid w:val="00CE0699"/>
    <w:rsid w:val="00CE2207"/>
    <w:rsid w:val="00CE347A"/>
    <w:rsid w:val="00CE4798"/>
    <w:rsid w:val="00CE6E7E"/>
    <w:rsid w:val="00CF4424"/>
    <w:rsid w:val="00CF6762"/>
    <w:rsid w:val="00CF7612"/>
    <w:rsid w:val="00D02666"/>
    <w:rsid w:val="00D03CC5"/>
    <w:rsid w:val="00D047D4"/>
    <w:rsid w:val="00D048EC"/>
    <w:rsid w:val="00D05A24"/>
    <w:rsid w:val="00D11A50"/>
    <w:rsid w:val="00D13758"/>
    <w:rsid w:val="00D15234"/>
    <w:rsid w:val="00D16607"/>
    <w:rsid w:val="00D20610"/>
    <w:rsid w:val="00D20C3E"/>
    <w:rsid w:val="00D216F4"/>
    <w:rsid w:val="00D21923"/>
    <w:rsid w:val="00D21B35"/>
    <w:rsid w:val="00D22EC8"/>
    <w:rsid w:val="00D24199"/>
    <w:rsid w:val="00D25A53"/>
    <w:rsid w:val="00D25D07"/>
    <w:rsid w:val="00D27A8B"/>
    <w:rsid w:val="00D303DF"/>
    <w:rsid w:val="00D3068B"/>
    <w:rsid w:val="00D33BA3"/>
    <w:rsid w:val="00D34E37"/>
    <w:rsid w:val="00D43B52"/>
    <w:rsid w:val="00D45551"/>
    <w:rsid w:val="00D45D45"/>
    <w:rsid w:val="00D5095B"/>
    <w:rsid w:val="00D52504"/>
    <w:rsid w:val="00D5275C"/>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7EC"/>
    <w:rsid w:val="00DF1A57"/>
    <w:rsid w:val="00DF4D84"/>
    <w:rsid w:val="00E00E25"/>
    <w:rsid w:val="00E02F2E"/>
    <w:rsid w:val="00E06242"/>
    <w:rsid w:val="00E0662F"/>
    <w:rsid w:val="00E1286D"/>
    <w:rsid w:val="00E14045"/>
    <w:rsid w:val="00E14850"/>
    <w:rsid w:val="00E26438"/>
    <w:rsid w:val="00E3399A"/>
    <w:rsid w:val="00E34ED9"/>
    <w:rsid w:val="00E35131"/>
    <w:rsid w:val="00E37B66"/>
    <w:rsid w:val="00E4492C"/>
    <w:rsid w:val="00E45B7A"/>
    <w:rsid w:val="00E47CBB"/>
    <w:rsid w:val="00E50233"/>
    <w:rsid w:val="00E52F27"/>
    <w:rsid w:val="00E53877"/>
    <w:rsid w:val="00E60AD9"/>
    <w:rsid w:val="00E61099"/>
    <w:rsid w:val="00E62D2A"/>
    <w:rsid w:val="00E630F4"/>
    <w:rsid w:val="00E6592E"/>
    <w:rsid w:val="00E67FB6"/>
    <w:rsid w:val="00E71E47"/>
    <w:rsid w:val="00E726D3"/>
    <w:rsid w:val="00E73C65"/>
    <w:rsid w:val="00E7474A"/>
    <w:rsid w:val="00E765CE"/>
    <w:rsid w:val="00E82D9D"/>
    <w:rsid w:val="00E83500"/>
    <w:rsid w:val="00E852E3"/>
    <w:rsid w:val="00E855C5"/>
    <w:rsid w:val="00E8719C"/>
    <w:rsid w:val="00E90680"/>
    <w:rsid w:val="00E926A1"/>
    <w:rsid w:val="00E951AC"/>
    <w:rsid w:val="00EA6A82"/>
    <w:rsid w:val="00EB24D5"/>
    <w:rsid w:val="00EB4940"/>
    <w:rsid w:val="00EB53A1"/>
    <w:rsid w:val="00EB6949"/>
    <w:rsid w:val="00EC45EF"/>
    <w:rsid w:val="00EC5AE4"/>
    <w:rsid w:val="00EC61F0"/>
    <w:rsid w:val="00EC67C8"/>
    <w:rsid w:val="00EC7EDD"/>
    <w:rsid w:val="00ED119A"/>
    <w:rsid w:val="00ED1FCF"/>
    <w:rsid w:val="00ED300D"/>
    <w:rsid w:val="00ED73A5"/>
    <w:rsid w:val="00ED7AD3"/>
    <w:rsid w:val="00EE2E27"/>
    <w:rsid w:val="00EE5B62"/>
    <w:rsid w:val="00EE64E3"/>
    <w:rsid w:val="00EF12D6"/>
    <w:rsid w:val="00EF332B"/>
    <w:rsid w:val="00EF4D0A"/>
    <w:rsid w:val="00EF6B7C"/>
    <w:rsid w:val="00F05529"/>
    <w:rsid w:val="00F066DD"/>
    <w:rsid w:val="00F15B0A"/>
    <w:rsid w:val="00F16C6F"/>
    <w:rsid w:val="00F20069"/>
    <w:rsid w:val="00F2231D"/>
    <w:rsid w:val="00F24F1E"/>
    <w:rsid w:val="00F305C8"/>
    <w:rsid w:val="00F33C07"/>
    <w:rsid w:val="00F34274"/>
    <w:rsid w:val="00F40E07"/>
    <w:rsid w:val="00F4273D"/>
    <w:rsid w:val="00F443C5"/>
    <w:rsid w:val="00F47BCF"/>
    <w:rsid w:val="00F47D46"/>
    <w:rsid w:val="00F509A8"/>
    <w:rsid w:val="00F6022E"/>
    <w:rsid w:val="00F60449"/>
    <w:rsid w:val="00F66528"/>
    <w:rsid w:val="00F71E0B"/>
    <w:rsid w:val="00F7297E"/>
    <w:rsid w:val="00F733B8"/>
    <w:rsid w:val="00F7680F"/>
    <w:rsid w:val="00F76FA7"/>
    <w:rsid w:val="00F82B3D"/>
    <w:rsid w:val="00F84F5A"/>
    <w:rsid w:val="00F85065"/>
    <w:rsid w:val="00F86193"/>
    <w:rsid w:val="00F9011F"/>
    <w:rsid w:val="00F908D0"/>
    <w:rsid w:val="00F90C20"/>
    <w:rsid w:val="00F92475"/>
    <w:rsid w:val="00F9308A"/>
    <w:rsid w:val="00F936EA"/>
    <w:rsid w:val="00F93D0E"/>
    <w:rsid w:val="00F95E8C"/>
    <w:rsid w:val="00FA4D10"/>
    <w:rsid w:val="00FA6349"/>
    <w:rsid w:val="00FA7E95"/>
    <w:rsid w:val="00FB0923"/>
    <w:rsid w:val="00FB0CE9"/>
    <w:rsid w:val="00FB23CB"/>
    <w:rsid w:val="00FB5E31"/>
    <w:rsid w:val="00FB6DA4"/>
    <w:rsid w:val="00FC51DA"/>
    <w:rsid w:val="00FC685E"/>
    <w:rsid w:val="00FD2983"/>
    <w:rsid w:val="00FD33A7"/>
    <w:rsid w:val="00FD4945"/>
    <w:rsid w:val="00FD55BA"/>
    <w:rsid w:val="00FD659A"/>
    <w:rsid w:val="00FD6638"/>
    <w:rsid w:val="00FD6C4D"/>
    <w:rsid w:val="00FD7BD8"/>
    <w:rsid w:val="00FE1278"/>
    <w:rsid w:val="00FE164A"/>
    <w:rsid w:val="00FE1D5D"/>
    <w:rsid w:val="00FF228F"/>
    <w:rsid w:val="00FF2512"/>
    <w:rsid w:val="00FF25F6"/>
    <w:rsid w:val="00FF381E"/>
    <w:rsid w:val="06589B5F"/>
    <w:rsid w:val="06EE6E02"/>
    <w:rsid w:val="07EAAE35"/>
    <w:rsid w:val="0849461B"/>
    <w:rsid w:val="0920D766"/>
    <w:rsid w:val="0B637BAD"/>
    <w:rsid w:val="0E641598"/>
    <w:rsid w:val="1062EE33"/>
    <w:rsid w:val="119BB65A"/>
    <w:rsid w:val="11CAE096"/>
    <w:rsid w:val="1555ADD6"/>
    <w:rsid w:val="18A34FC7"/>
    <w:rsid w:val="19D94722"/>
    <w:rsid w:val="1A5192BC"/>
    <w:rsid w:val="1AA16078"/>
    <w:rsid w:val="1BF4E234"/>
    <w:rsid w:val="1DCD8F1D"/>
    <w:rsid w:val="1E866E33"/>
    <w:rsid w:val="22D2059F"/>
    <w:rsid w:val="245EB575"/>
    <w:rsid w:val="250F46E6"/>
    <w:rsid w:val="254A9228"/>
    <w:rsid w:val="266DDDE6"/>
    <w:rsid w:val="27B0F5D4"/>
    <w:rsid w:val="2846E7A8"/>
    <w:rsid w:val="29389530"/>
    <w:rsid w:val="2A04D3A8"/>
    <w:rsid w:val="2BE7E7DB"/>
    <w:rsid w:val="2D60CC1B"/>
    <w:rsid w:val="2EEF2B10"/>
    <w:rsid w:val="2F05F339"/>
    <w:rsid w:val="2FD7441D"/>
    <w:rsid w:val="2FE5BD68"/>
    <w:rsid w:val="323221DE"/>
    <w:rsid w:val="36016707"/>
    <w:rsid w:val="36A761C0"/>
    <w:rsid w:val="3719F147"/>
    <w:rsid w:val="3934C278"/>
    <w:rsid w:val="3AD37669"/>
    <w:rsid w:val="3B43358F"/>
    <w:rsid w:val="3E4650FC"/>
    <w:rsid w:val="3FA6E78C"/>
    <w:rsid w:val="411A588A"/>
    <w:rsid w:val="425636CE"/>
    <w:rsid w:val="4353BDD1"/>
    <w:rsid w:val="444351D8"/>
    <w:rsid w:val="44A9995E"/>
    <w:rsid w:val="44DED0EF"/>
    <w:rsid w:val="4B7A089F"/>
    <w:rsid w:val="4BB1FDD3"/>
    <w:rsid w:val="4C095E89"/>
    <w:rsid w:val="4F871A9A"/>
    <w:rsid w:val="53B16834"/>
    <w:rsid w:val="54700A9C"/>
    <w:rsid w:val="549944C7"/>
    <w:rsid w:val="54BABC60"/>
    <w:rsid w:val="56069B3B"/>
    <w:rsid w:val="5884AB82"/>
    <w:rsid w:val="59541B84"/>
    <w:rsid w:val="5A20A9B8"/>
    <w:rsid w:val="5BF5DC5C"/>
    <w:rsid w:val="5F4C3627"/>
    <w:rsid w:val="6150B8D3"/>
    <w:rsid w:val="6284B6AF"/>
    <w:rsid w:val="6732431B"/>
    <w:rsid w:val="6945FC3A"/>
    <w:rsid w:val="6A465B46"/>
    <w:rsid w:val="6BE22BA7"/>
    <w:rsid w:val="6C61F97F"/>
    <w:rsid w:val="6DCC7E50"/>
    <w:rsid w:val="6EE5B08D"/>
    <w:rsid w:val="7068C2F1"/>
    <w:rsid w:val="70CBDB06"/>
    <w:rsid w:val="72377C8C"/>
    <w:rsid w:val="7308E9BB"/>
    <w:rsid w:val="73CDFA43"/>
    <w:rsid w:val="758623CC"/>
    <w:rsid w:val="765DF913"/>
    <w:rsid w:val="7A01A8EB"/>
    <w:rsid w:val="7A3E0515"/>
    <w:rsid w:val="7B9281A2"/>
    <w:rsid w:val="7BF4CED3"/>
    <w:rsid w:val="7C182852"/>
    <w:rsid w:val="7CAA08AD"/>
    <w:rsid w:val="7CDE4660"/>
    <w:rsid w:val="7D2E5203"/>
    <w:rsid w:val="7D58A8DC"/>
    <w:rsid w:val="7D88E47F"/>
    <w:rsid w:val="7F41A67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19F10E77-7522-4BC4-983B-0C527C0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NormalWeb">
    <w:name w:val="Normal (Web)"/>
    <w:basedOn w:val="Normal"/>
    <w:uiPriority w:val="99"/>
    <w:unhideWhenUsed/>
    <w:rsid w:val="00750AAA"/>
    <w:pPr>
      <w:widowControl/>
      <w:spacing w:before="100" w:beforeAutospacing="1" w:after="100" w:afterAutospacing="1"/>
      <w:jc w:val="left"/>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1B40B7"/>
    <w:rPr>
      <w:color w:val="2B579A"/>
      <w:shd w:val="clear" w:color="auto" w:fill="E1DFDD"/>
    </w:rPr>
  </w:style>
  <w:style w:type="paragraph" w:styleId="Revision">
    <w:name w:val="Revision"/>
    <w:hidden/>
    <w:uiPriority w:val="99"/>
    <w:semiHidden/>
    <w:rsid w:val="00AA2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43290368">
      <w:bodyDiv w:val="1"/>
      <w:marLeft w:val="0"/>
      <w:marRight w:val="0"/>
      <w:marTop w:val="0"/>
      <w:marBottom w:val="0"/>
      <w:divBdr>
        <w:top w:val="none" w:sz="0" w:space="0" w:color="auto"/>
        <w:left w:val="none" w:sz="0" w:space="0" w:color="auto"/>
        <w:bottom w:val="none" w:sz="0" w:space="0" w:color="auto"/>
        <w:right w:val="none" w:sz="0" w:space="0" w:color="auto"/>
      </w:divBdr>
    </w:div>
    <w:div w:id="747579848">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81228824">
      <w:bodyDiv w:val="1"/>
      <w:marLeft w:val="0"/>
      <w:marRight w:val="0"/>
      <w:marTop w:val="0"/>
      <w:marBottom w:val="0"/>
      <w:divBdr>
        <w:top w:val="none" w:sz="0" w:space="0" w:color="auto"/>
        <w:left w:val="none" w:sz="0" w:space="0" w:color="auto"/>
        <w:bottom w:val="none" w:sz="0" w:space="0" w:color="auto"/>
        <w:right w:val="none" w:sz="0" w:space="0" w:color="auto"/>
      </w:divBdr>
    </w:div>
    <w:div w:id="20980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althingi.is/lagas/nuna/2015069.html" TargetMode="Externa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thingi.is/lagas/nuna/2015069.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byggdastofnun.is/static/files/Log_og_reglugerd/byggdastofnun-reglugerd-347-2000-enska-2014.pdf"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byggdastofnun.is/static/files/Log_og_reglugerd/byggdastofnun-log-106-1999-enska-2014.pdf"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06732"/>
    <w:rsid w:val="00333535"/>
    <w:rsid w:val="00524ABB"/>
    <w:rsid w:val="00556DAC"/>
    <w:rsid w:val="005A165C"/>
    <w:rsid w:val="00641EC7"/>
    <w:rsid w:val="00677B98"/>
    <w:rsid w:val="007A6552"/>
    <w:rsid w:val="00973F05"/>
    <w:rsid w:val="00B86912"/>
    <w:rsid w:val="00B87A3A"/>
    <w:rsid w:val="00BF3B86"/>
    <w:rsid w:val="00C232EF"/>
    <w:rsid w:val="00CD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http://schemas.microsoft.com/office/infopath/2007/PartnerControls"/>
    <ds:schemaRef ds:uri="http://schemas.microsoft.com/office/2006/metadata/properties"/>
    <ds:schemaRef ds:uri="bbc7a7a3-1361-4a32-9a19-e150eb4da2ba"/>
    <ds:schemaRef ds:uri="http://schemas.openxmlformats.org/package/2006/metadata/core-properties"/>
    <ds:schemaRef ds:uri="http://www.w3.org/XML/1998/namespace"/>
    <ds:schemaRef ds:uri="http://purl.org/dc/terms/"/>
    <ds:schemaRef ds:uri="http://schemas.microsoft.com/sharepoint/v4"/>
    <ds:schemaRef ds:uri="54c4cd27-f286-408f-9ce0-33c1e0f3ab39"/>
    <ds:schemaRef ds:uri="ca82dde9-3436-4d3d-bddd-d31447390034"/>
    <ds:schemaRef ds:uri="http://schemas.microsoft.com/office/2006/documentManagement/types"/>
    <ds:schemaRef ds:uri="http://purl.org/dc/elements/1.1/"/>
    <ds:schemaRef ds:uri="c9f238dd-bb73-4aef-a7a5-d644ad823e52"/>
    <ds:schemaRef ds:uri="c0e75541-f54f-401c-9a34-cb7fded4098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TotalTime>
  <Pages>5</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Country profile template: Iceland</vt:lpstr>
    </vt:vector>
  </TitlesOfParts>
  <Company>OECD</Company>
  <LinksUpToDate>false</LinksUpToDate>
  <CharactersWithSpaces>14727</CharactersWithSpaces>
  <SharedDoc>false</SharedDoc>
  <HLinks>
    <vt:vector size="36" baseType="variant">
      <vt:variant>
        <vt:i4>3735608</vt:i4>
      </vt:variant>
      <vt:variant>
        <vt:i4>12</vt:i4>
      </vt:variant>
      <vt:variant>
        <vt:i4>0</vt:i4>
      </vt:variant>
      <vt:variant>
        <vt:i4>5</vt:i4>
      </vt:variant>
      <vt:variant>
        <vt:lpwstr>https://www.althingi.is/lagas/nuna/2015069.html</vt:lpwstr>
      </vt:variant>
      <vt:variant>
        <vt:lpwstr/>
      </vt:variant>
      <vt:variant>
        <vt:i4>4259914</vt:i4>
      </vt:variant>
      <vt:variant>
        <vt:i4>9</vt:i4>
      </vt:variant>
      <vt:variant>
        <vt:i4>0</vt:i4>
      </vt:variant>
      <vt:variant>
        <vt:i4>5</vt:i4>
      </vt:variant>
      <vt:variant>
        <vt:lpwstr>https://www.byggdastofnun.is/static/files/Log_og_reglugerd/byggdastofnun-reglugerd-347-2000-enska-2014.pdf</vt:lpwstr>
      </vt:variant>
      <vt:variant>
        <vt:lpwstr/>
      </vt:variant>
      <vt:variant>
        <vt:i4>2228285</vt:i4>
      </vt:variant>
      <vt:variant>
        <vt:i4>6</vt:i4>
      </vt:variant>
      <vt:variant>
        <vt:i4>0</vt:i4>
      </vt:variant>
      <vt:variant>
        <vt:i4>5</vt:i4>
      </vt:variant>
      <vt:variant>
        <vt:lpwstr>https://www.byggdastofnun.is/static/files/Log_og_reglugerd/byggdastofnun-log-106-1999-enska-2014.pdf</vt:lpwstr>
      </vt:variant>
      <vt:variant>
        <vt:lpwstr/>
      </vt:variant>
      <vt:variant>
        <vt:i4>3735608</vt:i4>
      </vt:variant>
      <vt:variant>
        <vt:i4>3</vt:i4>
      </vt:variant>
      <vt:variant>
        <vt:i4>0</vt:i4>
      </vt:variant>
      <vt:variant>
        <vt:i4>5</vt:i4>
      </vt:variant>
      <vt:variant>
        <vt:lpwstr>https://www.althingi.is/lagas/nuna/2015069.html</vt:lpwstr>
      </vt:variant>
      <vt:variant>
        <vt:lpwstr/>
      </vt:variant>
      <vt:variant>
        <vt:i4>8126569</vt:i4>
      </vt:variant>
      <vt:variant>
        <vt:i4>0</vt:i4>
      </vt:variant>
      <vt:variant>
        <vt:i4>0</vt:i4>
      </vt:variant>
      <vt:variant>
        <vt:i4>5</vt:i4>
      </vt:variant>
      <vt:variant>
        <vt:lpwstr>https://one.oecd.org/document/CFE/RDPC/RD(2022)7/en/pdf</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Iceland</dc:title>
  <dc:subject/>
  <dc:creator>CLAVREUL Delphine</dc:creator>
  <cp:keywords>DOCUMENT CODE</cp:keywords>
  <dc:description/>
  <cp:lastModifiedBy>CLAVREUL Delphine, CFE/RDG</cp:lastModifiedBy>
  <cp:revision>4</cp:revision>
  <dcterms:created xsi:type="dcterms:W3CDTF">2023-04-25T16:48:00Z</dcterms:created>
  <dcterms:modified xsi:type="dcterms:W3CDTF">2023-06-02T13:31:00Z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