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0DA191E7" w:rsidR="00E73C65" w:rsidRDefault="007F34A4" w:rsidP="009C07F3">
      <w:pPr>
        <w:pStyle w:val="Title"/>
        <w:spacing w:after="960"/>
      </w:pPr>
      <w:r>
        <w:t>LATVIA</w:t>
      </w:r>
    </w:p>
    <w:p w14:paraId="18BD9336" w14:textId="483D0871" w:rsidR="00594B16" w:rsidRPr="00A47C9A" w:rsidRDefault="005317DE" w:rsidP="005317DE">
      <w:pPr>
        <w:pStyle w:val="Title2"/>
      </w:pPr>
      <w:r w:rsidRPr="00A47C9A">
        <w:t>Overview</w:t>
      </w:r>
    </w:p>
    <w:tbl>
      <w:tblPr>
        <w:tblStyle w:val="OECD"/>
        <w:tblW w:w="4574" w:type="pct"/>
        <w:tblLook w:val="0420" w:firstRow="1" w:lastRow="0" w:firstColumn="0" w:lastColumn="0" w:noHBand="0" w:noVBand="1"/>
      </w:tblPr>
      <w:tblGrid>
        <w:gridCol w:w="2977"/>
        <w:gridCol w:w="5529"/>
      </w:tblGrid>
      <w:tr w:rsidR="00594B16" w:rsidRPr="00D738B5" w14:paraId="0453A63B" w14:textId="77777777" w:rsidTr="00110570">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5C2B6550" w:rsidR="00594B16" w:rsidRPr="00D738B5" w:rsidRDefault="00594B16" w:rsidP="00AF050A">
            <w:pPr>
              <w:pStyle w:val="TableRow"/>
              <w:jc w:val="left"/>
              <w:rPr>
                <w:sz w:val="20"/>
                <w:lang w:val="en-GB"/>
              </w:rPr>
            </w:pPr>
            <w:r w:rsidRPr="00D738B5">
              <w:rPr>
                <w:sz w:val="20"/>
                <w:lang w:val="en-GB"/>
              </w:rPr>
              <w:t>Population</w:t>
            </w:r>
            <w:r w:rsidR="00A108A8">
              <w:rPr>
                <w:sz w:val="20"/>
                <w:lang w:val="en-GB"/>
              </w:rPr>
              <w:t xml:space="preserve"> </w:t>
            </w:r>
            <w:r w:rsidRPr="00D738B5">
              <w:rPr>
                <w:sz w:val="20"/>
                <w:lang w:val="en-GB"/>
              </w:rPr>
              <w:t xml:space="preserve">and territory </w:t>
            </w:r>
          </w:p>
        </w:tc>
        <w:tc>
          <w:tcPr>
            <w:tcW w:w="3250" w:type="pct"/>
          </w:tcPr>
          <w:p w14:paraId="190B1E47" w14:textId="3C6800C3" w:rsidR="00594B16" w:rsidRPr="00D738B5" w:rsidRDefault="004E6D70" w:rsidP="00B103D2">
            <w:pPr>
              <w:pStyle w:val="TableRow"/>
              <w:jc w:val="left"/>
              <w:rPr>
                <w:sz w:val="20"/>
                <w:lang w:val="en-GB"/>
              </w:rPr>
            </w:pPr>
            <w:r>
              <w:rPr>
                <w:rFonts w:cs="Arial"/>
                <w:sz w:val="20"/>
              </w:rPr>
              <w:t>1 875 757 (</w:t>
            </w:r>
            <w:r w:rsidR="00110570">
              <w:rPr>
                <w:rFonts w:cs="Arial"/>
                <w:sz w:val="20"/>
              </w:rPr>
              <w:t>early</w:t>
            </w:r>
            <w:r>
              <w:rPr>
                <w:rFonts w:cs="Arial"/>
                <w:sz w:val="20"/>
                <w:lang w:val="en-GB"/>
              </w:rPr>
              <w:t xml:space="preserve"> 2022)</w:t>
            </w:r>
            <w:r w:rsidR="00166A07">
              <w:rPr>
                <w:rFonts w:cs="Arial"/>
                <w:sz w:val="20"/>
                <w:lang w:val="en-GB"/>
              </w:rPr>
              <w:t xml:space="preserve"> and </w:t>
            </w:r>
            <w:r w:rsidR="00166A07" w:rsidRPr="00166A07">
              <w:rPr>
                <w:rFonts w:cs="Arial"/>
                <w:sz w:val="20"/>
                <w:lang w:val="en-GB"/>
              </w:rPr>
              <w:t>64 589 km²</w:t>
            </w:r>
          </w:p>
        </w:tc>
      </w:tr>
      <w:tr w:rsidR="00594B16" w:rsidRPr="00D738B5" w14:paraId="5F444A04" w14:textId="77777777" w:rsidTr="00110570">
        <w:trPr>
          <w:trHeight w:val="238"/>
        </w:trPr>
        <w:tc>
          <w:tcPr>
            <w:tcW w:w="1750" w:type="pct"/>
          </w:tcPr>
          <w:p w14:paraId="181CC701" w14:textId="55D07726"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r w:rsidR="00936FB2">
              <w:rPr>
                <w:rFonts w:cs="Arial"/>
                <w:i/>
                <w:iCs/>
                <w:sz w:val="20"/>
              </w:rPr>
              <w:t>)</w:t>
            </w:r>
          </w:p>
        </w:tc>
        <w:tc>
          <w:tcPr>
            <w:tcW w:w="3250" w:type="pct"/>
          </w:tcPr>
          <w:p w14:paraId="230B333A" w14:textId="1C39EF48" w:rsidR="00B60055" w:rsidRPr="00D738B5" w:rsidRDefault="00A1145F" w:rsidP="00B60055">
            <w:pPr>
              <w:pStyle w:val="TableCell"/>
              <w:jc w:val="left"/>
              <w:rPr>
                <w:sz w:val="20"/>
                <w:lang w:val="en-GB"/>
              </w:rPr>
            </w:pPr>
            <w:r>
              <w:rPr>
                <w:rFonts w:cs="Arial"/>
                <w:sz w:val="20"/>
              </w:rPr>
              <w:t>U</w:t>
            </w:r>
            <w:r w:rsidR="009F3C63">
              <w:rPr>
                <w:rFonts w:cs="Arial"/>
                <w:sz w:val="20"/>
              </w:rPr>
              <w:t>nitary</w:t>
            </w:r>
          </w:p>
        </w:tc>
      </w:tr>
      <w:tr w:rsidR="00B103D2" w:rsidRPr="00D738B5" w14:paraId="6A1167E9" w14:textId="77777777" w:rsidTr="00110570">
        <w:trPr>
          <w:trHeight w:val="238"/>
        </w:trPr>
        <w:tc>
          <w:tcPr>
            <w:tcW w:w="1750"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22BA8F1F" w14:textId="3C8D7CA3" w:rsidR="00B103D2" w:rsidRPr="00120463" w:rsidRDefault="00120463" w:rsidP="00B103D2">
            <w:pPr>
              <w:pStyle w:val="TableCell"/>
              <w:jc w:val="left"/>
              <w:rPr>
                <w:rFonts w:cs="Arial"/>
                <w:sz w:val="20"/>
              </w:rPr>
            </w:pPr>
            <w:r>
              <w:rPr>
                <w:rFonts w:cs="Arial"/>
                <w:sz w:val="20"/>
              </w:rPr>
              <w:t>5</w:t>
            </w:r>
            <w:r w:rsidR="00D36C0A">
              <w:rPr>
                <w:rFonts w:cs="Arial"/>
                <w:sz w:val="20"/>
              </w:rPr>
              <w:t xml:space="preserve"> </w:t>
            </w:r>
          </w:p>
        </w:tc>
      </w:tr>
      <w:tr w:rsidR="00B103D2" w:rsidRPr="00D738B5" w14:paraId="0C8C2A89" w14:textId="77777777" w:rsidTr="00110570">
        <w:trPr>
          <w:trHeight w:val="238"/>
        </w:trPr>
        <w:tc>
          <w:tcPr>
            <w:tcW w:w="1750"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0CC21429" w14:textId="76689AD5" w:rsidR="00B103D2" w:rsidRPr="00D738B5" w:rsidRDefault="00120463" w:rsidP="00B103D2">
            <w:pPr>
              <w:pStyle w:val="TableCell"/>
              <w:jc w:val="left"/>
              <w:rPr>
                <w:sz w:val="20"/>
                <w:lang w:val="en-GB"/>
              </w:rPr>
            </w:pPr>
            <w:r>
              <w:rPr>
                <w:rFonts w:cs="Arial"/>
                <w:sz w:val="20"/>
              </w:rPr>
              <w:t>0</w:t>
            </w:r>
          </w:p>
        </w:tc>
      </w:tr>
      <w:tr w:rsidR="00B103D2" w:rsidRPr="00D738B5" w14:paraId="469B7188" w14:textId="77777777" w:rsidTr="00110570">
        <w:trPr>
          <w:trHeight w:val="238"/>
        </w:trPr>
        <w:tc>
          <w:tcPr>
            <w:tcW w:w="1750"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223AD8CA" w14:textId="52E3FAB4" w:rsidR="00B103D2" w:rsidRPr="00D738B5" w:rsidRDefault="00120463" w:rsidP="00B103D2">
            <w:pPr>
              <w:pStyle w:val="TableCell"/>
              <w:jc w:val="left"/>
              <w:rPr>
                <w:sz w:val="20"/>
                <w:lang w:val="en-GB"/>
              </w:rPr>
            </w:pPr>
            <w:r>
              <w:rPr>
                <w:rFonts w:cs="Arial"/>
                <w:sz w:val="20"/>
              </w:rPr>
              <w:t>43</w:t>
            </w:r>
            <w:r w:rsidR="00D36C0A">
              <w:rPr>
                <w:rFonts w:cs="Arial"/>
                <w:sz w:val="20"/>
              </w:rPr>
              <w:t xml:space="preserve"> </w:t>
            </w:r>
          </w:p>
        </w:tc>
      </w:tr>
      <w:tr w:rsidR="00594B16" w:rsidRPr="00D738B5" w14:paraId="052D3ED4" w14:textId="77777777" w:rsidTr="00110570">
        <w:trPr>
          <w:trHeight w:val="238"/>
        </w:trPr>
        <w:tc>
          <w:tcPr>
            <w:tcW w:w="1750" w:type="pct"/>
          </w:tcPr>
          <w:p w14:paraId="2EA71AAA" w14:textId="35434034"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r w:rsidR="00793EE6">
              <w:rPr>
                <w:sz w:val="20"/>
                <w:lang w:val="en-GB"/>
              </w:rPr>
              <w:t xml:space="preserve"> (2021)</w:t>
            </w:r>
          </w:p>
        </w:tc>
        <w:tc>
          <w:tcPr>
            <w:tcW w:w="3250" w:type="pct"/>
          </w:tcPr>
          <w:p w14:paraId="21B17449" w14:textId="1671827A" w:rsidR="00793EE6" w:rsidRPr="00951EED" w:rsidRDefault="00793EE6" w:rsidP="00793EE6">
            <w:pPr>
              <w:widowControl/>
              <w:jc w:val="left"/>
              <w:rPr>
                <w:sz w:val="20"/>
                <w:lang w:val="en-GB"/>
              </w:rPr>
            </w:pPr>
            <w:r>
              <w:rPr>
                <w:sz w:val="20"/>
                <w:lang w:val="en-GB"/>
              </w:rPr>
              <w:t>24.5</w:t>
            </w:r>
            <w:r w:rsidRPr="00951EED">
              <w:rPr>
                <w:sz w:val="20"/>
                <w:lang w:val="en-GB"/>
              </w:rPr>
              <w:t>% of total expenditure</w:t>
            </w:r>
          </w:p>
          <w:p w14:paraId="2FC6E2F9" w14:textId="3136400D" w:rsidR="00793EE6" w:rsidRPr="00951EED" w:rsidRDefault="00793EE6" w:rsidP="00793EE6">
            <w:pPr>
              <w:widowControl/>
              <w:jc w:val="left"/>
              <w:rPr>
                <w:sz w:val="20"/>
                <w:lang w:val="en-GB"/>
              </w:rPr>
            </w:pPr>
            <w:r>
              <w:rPr>
                <w:sz w:val="20"/>
                <w:lang w:val="en-GB"/>
              </w:rPr>
              <w:t>28.5</w:t>
            </w:r>
            <w:r w:rsidRPr="00951EED">
              <w:rPr>
                <w:sz w:val="20"/>
                <w:lang w:val="en-GB"/>
              </w:rPr>
              <w:t>% of total revenues</w:t>
            </w:r>
          </w:p>
          <w:p w14:paraId="7BFE24BF" w14:textId="77777777" w:rsidR="00793EE6" w:rsidRPr="00951EED" w:rsidRDefault="00793EE6" w:rsidP="00793EE6">
            <w:pPr>
              <w:widowControl/>
              <w:jc w:val="left"/>
              <w:rPr>
                <w:sz w:val="20"/>
                <w:lang w:val="en-GB"/>
              </w:rPr>
            </w:pPr>
          </w:p>
          <w:p w14:paraId="5BB6B1BD" w14:textId="5FD4BFBA" w:rsidR="00110570" w:rsidRPr="00110570" w:rsidRDefault="00793EE6" w:rsidP="00793EE6">
            <w:pPr>
              <w:pStyle w:val="TableCell"/>
              <w:jc w:val="left"/>
              <w:rPr>
                <w:rFonts w:asciiTheme="majorHAnsi" w:hAnsiTheme="majorHAnsi"/>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D738B5" w14:paraId="00042320" w14:textId="77777777" w:rsidTr="00110570">
        <w:trPr>
          <w:trHeight w:val="238"/>
        </w:trPr>
        <w:tc>
          <w:tcPr>
            <w:tcW w:w="1750"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250" w:type="pct"/>
          </w:tcPr>
          <w:p w14:paraId="1BAD7AD2" w14:textId="15080F9E" w:rsidR="00A15EA2" w:rsidRPr="00D738B5" w:rsidRDefault="001B5CF9" w:rsidP="005317DE">
            <w:pPr>
              <w:pStyle w:val="TableCell"/>
              <w:jc w:val="left"/>
              <w:rPr>
                <w:sz w:val="20"/>
                <w:lang w:val="en-GB"/>
              </w:rPr>
            </w:pPr>
            <w:r>
              <w:rPr>
                <w:rFonts w:cs="Arial"/>
                <w:sz w:val="20"/>
              </w:rPr>
              <w:t>Regional disparities</w:t>
            </w:r>
          </w:p>
        </w:tc>
      </w:tr>
      <w:tr w:rsidR="00594B16" w:rsidRPr="00D738B5" w14:paraId="60D8C1E4" w14:textId="77777777" w:rsidTr="00110570">
        <w:trPr>
          <w:trHeight w:val="238"/>
        </w:trPr>
        <w:tc>
          <w:tcPr>
            <w:tcW w:w="1750" w:type="pct"/>
          </w:tcPr>
          <w:p w14:paraId="39C429F7" w14:textId="72D388CD" w:rsidR="00594B16" w:rsidRPr="00D738B5" w:rsidRDefault="005317DE" w:rsidP="005317DE">
            <w:pPr>
              <w:pStyle w:val="TableRow"/>
              <w:jc w:val="left"/>
              <w:rPr>
                <w:sz w:val="20"/>
                <w:lang w:val="en-GB"/>
              </w:rPr>
            </w:pPr>
            <w:r w:rsidRPr="00D738B5">
              <w:rPr>
                <w:sz w:val="20"/>
                <w:lang w:val="en-GB"/>
              </w:rPr>
              <w:t>Objectives of regional policy</w:t>
            </w:r>
          </w:p>
        </w:tc>
        <w:tc>
          <w:tcPr>
            <w:tcW w:w="3250" w:type="pct"/>
          </w:tcPr>
          <w:p w14:paraId="358AAA12" w14:textId="6F69B33C" w:rsidR="00594B16" w:rsidRPr="00D738B5" w:rsidRDefault="00BD38EF" w:rsidP="00B60055">
            <w:pPr>
              <w:pStyle w:val="TableCell"/>
              <w:jc w:val="left"/>
              <w:rPr>
                <w:sz w:val="20"/>
                <w:lang w:val="en-GB"/>
              </w:rPr>
            </w:pPr>
            <w:r w:rsidRPr="00BD38EF">
              <w:rPr>
                <w:rFonts w:cs="Arial"/>
                <w:sz w:val="20"/>
              </w:rPr>
              <w:t>Regional policy aims at developing the potential of all regions and reducing socio-economic disparities by strengthening their internal and external competitiveness, as well as providing solutions tailored to the specificities of territories for development of population and quality living environment.</w:t>
            </w:r>
            <w:r w:rsidR="00D36C0A">
              <w:rPr>
                <w:rFonts w:cs="Arial"/>
                <w:sz w:val="20"/>
              </w:rPr>
              <w:t xml:space="preserve"> </w:t>
            </w:r>
          </w:p>
        </w:tc>
      </w:tr>
      <w:tr w:rsidR="00594B16" w:rsidRPr="00D738B5" w14:paraId="0A562549" w14:textId="77777777" w:rsidTr="00110570">
        <w:trPr>
          <w:trHeight w:val="238"/>
        </w:trPr>
        <w:tc>
          <w:tcPr>
            <w:tcW w:w="1750" w:type="pct"/>
          </w:tcPr>
          <w:p w14:paraId="76933AD7" w14:textId="34C22127" w:rsidR="00594B16" w:rsidRPr="00D738B5" w:rsidRDefault="005317DE" w:rsidP="005317DE">
            <w:pPr>
              <w:pStyle w:val="TableRow"/>
              <w:jc w:val="left"/>
              <w:rPr>
                <w:sz w:val="20"/>
                <w:lang w:val="en-GB"/>
              </w:rPr>
            </w:pPr>
            <w:r w:rsidRPr="00D738B5">
              <w:rPr>
                <w:sz w:val="20"/>
                <w:lang w:val="en-GB"/>
              </w:rPr>
              <w:t>Legal/institutional framework for regional policy</w:t>
            </w:r>
            <w:r w:rsidR="000B4226">
              <w:rPr>
                <w:rFonts w:cs="Arial"/>
                <w:sz w:val="20"/>
              </w:rPr>
              <w:t xml:space="preserve"> Ministry of Environmental Protection and Regional Development</w:t>
            </w:r>
          </w:p>
        </w:tc>
        <w:tc>
          <w:tcPr>
            <w:tcW w:w="3250" w:type="pct"/>
          </w:tcPr>
          <w:p w14:paraId="09454358" w14:textId="2FC169CD" w:rsidR="00825AC5" w:rsidRPr="00D738B5" w:rsidRDefault="00294AB5" w:rsidP="005317DE">
            <w:pPr>
              <w:pStyle w:val="TableCell"/>
              <w:jc w:val="left"/>
              <w:rPr>
                <w:sz w:val="20"/>
                <w:lang w:val="en-GB"/>
              </w:rPr>
            </w:pPr>
            <w:r>
              <w:rPr>
                <w:rFonts w:cs="Arial"/>
                <w:sz w:val="20"/>
              </w:rPr>
              <w:t xml:space="preserve">Institution responsible </w:t>
            </w:r>
            <w:r w:rsidR="00B076E7">
              <w:rPr>
                <w:rFonts w:cs="Arial"/>
                <w:sz w:val="20"/>
              </w:rPr>
              <w:t>for development and implementation of regional policy is Ministry of Environmental Protection and Regional Dev</w:t>
            </w:r>
            <w:r w:rsidR="002456C1">
              <w:rPr>
                <w:rFonts w:cs="Arial"/>
                <w:sz w:val="20"/>
              </w:rPr>
              <w:t>e</w:t>
            </w:r>
            <w:r w:rsidR="00B076E7">
              <w:rPr>
                <w:rFonts w:cs="Arial"/>
                <w:sz w:val="20"/>
              </w:rPr>
              <w:t>lopment</w:t>
            </w:r>
            <w:r w:rsidR="002456C1">
              <w:rPr>
                <w:rFonts w:cs="Arial"/>
                <w:sz w:val="20"/>
              </w:rPr>
              <w:t xml:space="preserve">. Municipalities and planning regions are involved in </w:t>
            </w:r>
            <w:r w:rsidR="00EB7760">
              <w:rPr>
                <w:rFonts w:cs="Arial"/>
                <w:sz w:val="20"/>
              </w:rPr>
              <w:t xml:space="preserve">the elaboration and </w:t>
            </w:r>
            <w:r w:rsidR="003843E9">
              <w:rPr>
                <w:rFonts w:cs="Arial"/>
                <w:sz w:val="20"/>
              </w:rPr>
              <w:t>implementation of regional policy.</w:t>
            </w:r>
          </w:p>
        </w:tc>
      </w:tr>
      <w:tr w:rsidR="00922AC4" w:rsidRPr="00D738B5" w14:paraId="60BF0C13" w14:textId="77777777" w:rsidTr="00110570">
        <w:trPr>
          <w:trHeight w:val="238"/>
        </w:trPr>
        <w:tc>
          <w:tcPr>
            <w:tcW w:w="1750" w:type="pct"/>
          </w:tcPr>
          <w:p w14:paraId="581AEDCF" w14:textId="53DBFB2A"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250" w:type="pct"/>
          </w:tcPr>
          <w:p w14:paraId="54CC7570" w14:textId="12D2E3DB" w:rsidR="00922AC4" w:rsidRDefault="00CE547C" w:rsidP="00B60055">
            <w:pPr>
              <w:pStyle w:val="TableCell"/>
              <w:jc w:val="left"/>
              <w:rPr>
                <w:rFonts w:cs="Arial"/>
                <w:sz w:val="20"/>
              </w:rPr>
            </w:pPr>
            <w:r>
              <w:rPr>
                <w:rFonts w:cs="Arial"/>
                <w:sz w:val="20"/>
              </w:rPr>
              <w:t xml:space="preserve">Proposal prepared by Ministry of Environmental Protection and Regional Development </w:t>
            </w:r>
            <w:r w:rsidR="00111C8A">
              <w:rPr>
                <w:rFonts w:cs="Arial"/>
                <w:sz w:val="20"/>
              </w:rPr>
              <w:t xml:space="preserve">envisage </w:t>
            </w:r>
            <w:r w:rsidR="00763BD2">
              <w:rPr>
                <w:rFonts w:cs="Arial"/>
                <w:sz w:val="20"/>
              </w:rPr>
              <w:t xml:space="preserve">provision of </w:t>
            </w:r>
            <w:r w:rsidR="00111C8A">
              <w:rPr>
                <w:rFonts w:cs="Arial"/>
                <w:sz w:val="20"/>
              </w:rPr>
              <w:t xml:space="preserve">EU funding </w:t>
            </w:r>
            <w:r w:rsidR="00BC3A7B">
              <w:rPr>
                <w:rFonts w:cs="Arial"/>
                <w:sz w:val="20"/>
              </w:rPr>
              <w:t xml:space="preserve">of 2021-2027 planning period </w:t>
            </w:r>
            <w:r w:rsidR="00111C8A">
              <w:rPr>
                <w:rFonts w:cs="Arial"/>
                <w:sz w:val="20"/>
              </w:rPr>
              <w:t xml:space="preserve">amounting to </w:t>
            </w:r>
            <w:r w:rsidR="00EB7760">
              <w:rPr>
                <w:rFonts w:cs="Arial"/>
                <w:sz w:val="20"/>
              </w:rPr>
              <w:t>1 021 909 159</w:t>
            </w:r>
            <w:r w:rsidR="00763BD2" w:rsidRPr="00763BD2">
              <w:rPr>
                <w:rFonts w:cs="Arial"/>
                <w:sz w:val="20"/>
              </w:rPr>
              <w:t xml:space="preserve"> </w:t>
            </w:r>
            <w:r w:rsidR="00EB7760">
              <w:rPr>
                <w:rFonts w:cs="Arial"/>
                <w:sz w:val="20"/>
              </w:rPr>
              <w:t>E</w:t>
            </w:r>
            <w:r w:rsidR="00763BD2" w:rsidRPr="00763BD2">
              <w:rPr>
                <w:rFonts w:cs="Arial"/>
                <w:sz w:val="20"/>
              </w:rPr>
              <w:t>uro</w:t>
            </w:r>
            <w:r w:rsidR="00EB7760">
              <w:rPr>
                <w:rFonts w:cs="Arial"/>
                <w:sz w:val="20"/>
              </w:rPr>
              <w:t>s</w:t>
            </w:r>
            <w:r w:rsidR="00763BD2">
              <w:rPr>
                <w:rFonts w:cs="Arial"/>
                <w:sz w:val="20"/>
              </w:rPr>
              <w:t xml:space="preserve"> to measures to be implemented according to place-based approach.</w:t>
            </w:r>
            <w:r w:rsidR="00BC3A7B">
              <w:rPr>
                <w:rFonts w:cs="Arial"/>
                <w:sz w:val="20"/>
              </w:rPr>
              <w:t xml:space="preserve"> Amount </w:t>
            </w:r>
            <w:r w:rsidR="003E4743">
              <w:rPr>
                <w:rFonts w:cs="Arial"/>
                <w:sz w:val="20"/>
              </w:rPr>
              <w:t>of funding can be altered in the coordination process with sectoral ministri</w:t>
            </w:r>
            <w:r w:rsidR="008B555B">
              <w:rPr>
                <w:rFonts w:cs="Arial"/>
                <w:sz w:val="20"/>
              </w:rPr>
              <w:t>es.</w:t>
            </w:r>
          </w:p>
          <w:p w14:paraId="32D585C2" w14:textId="77777777" w:rsidR="0025376F" w:rsidRPr="0025376F" w:rsidRDefault="0025376F" w:rsidP="00B60055">
            <w:pPr>
              <w:pStyle w:val="TableCell"/>
              <w:jc w:val="left"/>
              <w:rPr>
                <w:rFonts w:cs="Arial"/>
                <w:sz w:val="20"/>
              </w:rPr>
            </w:pPr>
          </w:p>
          <w:p w14:paraId="0746DDE2" w14:textId="77777777" w:rsidR="0025376F" w:rsidRPr="0025376F" w:rsidRDefault="0025376F" w:rsidP="0025376F">
            <w:pPr>
              <w:pStyle w:val="TableCell"/>
              <w:jc w:val="left"/>
              <w:rPr>
                <w:rFonts w:cs="Arial"/>
                <w:sz w:val="20"/>
              </w:rPr>
            </w:pPr>
            <w:r w:rsidRPr="0025376F">
              <w:rPr>
                <w:rFonts w:cs="Arial"/>
                <w:sz w:val="20"/>
              </w:rPr>
              <w:t>FISCAL EQUALISATION MECHANISMS BETWEEN JURISDICTIONS</w:t>
            </w:r>
          </w:p>
          <w:p w14:paraId="44BADEC6" w14:textId="77777777" w:rsidR="0025376F" w:rsidRPr="0025376F" w:rsidRDefault="0025376F" w:rsidP="0025376F">
            <w:pPr>
              <w:pStyle w:val="TableCell"/>
              <w:jc w:val="left"/>
              <w:rPr>
                <w:rFonts w:cs="Arial"/>
                <w:sz w:val="20"/>
              </w:rPr>
            </w:pPr>
            <w:r w:rsidRPr="0025376F">
              <w:rPr>
                <w:rFonts w:cs="Arial"/>
                <w:sz w:val="20"/>
              </w:rPr>
              <w:t>In 2023, local governments are provided with an increase in equalized revenues by 15.2% on average. The total amount of the local government financial equalization fund, comparing to 2022, has increased by 15.6% or 33.2 million euros. No municipality has a reduction in equalized revenues comparing to previous year.</w:t>
            </w:r>
          </w:p>
          <w:p w14:paraId="50012A32" w14:textId="77777777" w:rsidR="0025376F" w:rsidRPr="0025376F" w:rsidRDefault="0025376F" w:rsidP="0025376F">
            <w:pPr>
              <w:pStyle w:val="TableCell"/>
              <w:numPr>
                <w:ilvl w:val="0"/>
                <w:numId w:val="46"/>
              </w:numPr>
              <w:jc w:val="left"/>
              <w:rPr>
                <w:rFonts w:cs="Arial"/>
                <w:sz w:val="20"/>
              </w:rPr>
            </w:pPr>
            <w:r w:rsidRPr="0025376F">
              <w:rPr>
                <w:rFonts w:cs="Arial"/>
                <w:sz w:val="20"/>
              </w:rPr>
              <w:t>The purpose of the local government equalization is, taking into consideration the socioeconomic differences between local governments, to create similar possibilities for local governments to perform their functions laid down in law, as well as to promote their initiative and independence in the creation of their financial resources.</w:t>
            </w:r>
          </w:p>
          <w:p w14:paraId="57BC98F4" w14:textId="77777777" w:rsidR="0025376F" w:rsidRPr="0025376F" w:rsidRDefault="0025376F" w:rsidP="0025376F">
            <w:pPr>
              <w:pStyle w:val="TableCell"/>
              <w:numPr>
                <w:ilvl w:val="0"/>
                <w:numId w:val="46"/>
              </w:numPr>
              <w:jc w:val="left"/>
              <w:rPr>
                <w:rFonts w:cs="Arial"/>
                <w:sz w:val="20"/>
              </w:rPr>
            </w:pPr>
            <w:r w:rsidRPr="0025376F">
              <w:rPr>
                <w:rFonts w:cs="Arial"/>
                <w:sz w:val="20"/>
              </w:rPr>
              <w:t>Revenue of the equalisation fund shall consist of the local government payments specified as a result of calculation of the equalisation of local government finances and of the State budget grant.</w:t>
            </w:r>
          </w:p>
          <w:p w14:paraId="7944ABD8" w14:textId="77777777" w:rsidR="0025376F" w:rsidRPr="0025376F" w:rsidRDefault="0025376F" w:rsidP="0025376F">
            <w:pPr>
              <w:pStyle w:val="TableCell"/>
              <w:numPr>
                <w:ilvl w:val="0"/>
                <w:numId w:val="46"/>
              </w:numPr>
              <w:jc w:val="left"/>
              <w:rPr>
                <w:rFonts w:cs="Arial"/>
                <w:sz w:val="20"/>
              </w:rPr>
            </w:pPr>
            <w:r w:rsidRPr="0025376F">
              <w:rPr>
                <w:rFonts w:cs="Arial"/>
                <w:sz w:val="20"/>
              </w:rPr>
              <w:t>The assessed revenue of each local government and the criteria characterising local government expenditure shall be used for calculating the equalisation of local government finances.</w:t>
            </w:r>
          </w:p>
          <w:p w14:paraId="5A816A30" w14:textId="77777777" w:rsidR="0025376F" w:rsidRPr="0025376F" w:rsidRDefault="0025376F" w:rsidP="0025376F">
            <w:pPr>
              <w:pStyle w:val="TableCell"/>
              <w:numPr>
                <w:ilvl w:val="0"/>
                <w:numId w:val="46"/>
              </w:numPr>
              <w:jc w:val="left"/>
              <w:rPr>
                <w:rFonts w:cs="Arial"/>
                <w:sz w:val="20"/>
              </w:rPr>
            </w:pPr>
            <w:r w:rsidRPr="0025376F">
              <w:rPr>
                <w:rFonts w:cs="Arial"/>
                <w:sz w:val="20"/>
              </w:rPr>
              <w:lastRenderedPageBreak/>
              <w:t>The assessed revenue of a local government consist of the revenue from the immovable property tax forecasted by local government, and the share of the allocation of the revenue from the personal income tax determined for the budgets of local governments in the Annual State Budget Law.</w:t>
            </w:r>
          </w:p>
          <w:p w14:paraId="31D3A2DB" w14:textId="77777777" w:rsidR="0025376F" w:rsidRPr="0025376F" w:rsidRDefault="0025376F" w:rsidP="0025376F">
            <w:pPr>
              <w:pStyle w:val="TableCell"/>
              <w:numPr>
                <w:ilvl w:val="0"/>
                <w:numId w:val="46"/>
              </w:numPr>
              <w:jc w:val="left"/>
              <w:rPr>
                <w:rFonts w:cs="Arial"/>
                <w:sz w:val="20"/>
              </w:rPr>
            </w:pPr>
            <w:r w:rsidRPr="0025376F">
              <w:rPr>
                <w:rFonts w:cs="Arial"/>
                <w:sz w:val="20"/>
              </w:rPr>
              <w:t>The number of equalising units are used for calculating the equalisation of local government finances which includes information regarding local government expenditure related to the criteria characterising local government expenditure. The calculated number of equalising units for each local government include demographic and territorial differences of the particular local government.</w:t>
            </w:r>
          </w:p>
          <w:p w14:paraId="1F1B8939" w14:textId="77777777" w:rsidR="0025376F" w:rsidRPr="0025376F" w:rsidRDefault="0025376F" w:rsidP="0025376F">
            <w:pPr>
              <w:pStyle w:val="TableCell"/>
              <w:numPr>
                <w:ilvl w:val="0"/>
                <w:numId w:val="46"/>
              </w:numPr>
              <w:jc w:val="left"/>
              <w:rPr>
                <w:rFonts w:cs="Arial"/>
                <w:sz w:val="20"/>
              </w:rPr>
            </w:pPr>
            <w:r w:rsidRPr="0025376F">
              <w:rPr>
                <w:rFonts w:cs="Arial"/>
                <w:sz w:val="20"/>
              </w:rPr>
              <w:t>Calculation of the equalisation of local government finances shall be performed, taking into account the following principles:</w:t>
            </w:r>
          </w:p>
          <w:p w14:paraId="7E6C0521" w14:textId="77777777" w:rsidR="0025376F" w:rsidRPr="0025376F" w:rsidRDefault="0025376F" w:rsidP="0025376F">
            <w:pPr>
              <w:pStyle w:val="TableCell"/>
              <w:numPr>
                <w:ilvl w:val="0"/>
                <w:numId w:val="46"/>
              </w:numPr>
              <w:jc w:val="left"/>
              <w:rPr>
                <w:rFonts w:cs="Arial"/>
                <w:sz w:val="20"/>
              </w:rPr>
            </w:pPr>
            <w:r w:rsidRPr="0025376F">
              <w:rPr>
                <w:rFonts w:cs="Arial"/>
                <w:sz w:val="20"/>
              </w:rPr>
              <w:t xml:space="preserve">a local government whose assessed revenue per one equalising unit is smaller than the average assessed revenue per one equalising unit in local governments in total receives a grant from the equalisation fund which is 60 percent of the difference between the average assessed revenues and the assessed revenues in a particular municipality per one equalising unit . </w:t>
            </w:r>
          </w:p>
          <w:p w14:paraId="110DB063" w14:textId="77777777" w:rsidR="0025376F" w:rsidRPr="0025376F" w:rsidRDefault="0025376F" w:rsidP="0025376F">
            <w:pPr>
              <w:pStyle w:val="TableCell"/>
              <w:numPr>
                <w:ilvl w:val="0"/>
                <w:numId w:val="46"/>
              </w:numPr>
              <w:jc w:val="left"/>
              <w:rPr>
                <w:rFonts w:cs="Arial"/>
                <w:sz w:val="20"/>
              </w:rPr>
            </w:pPr>
            <w:r w:rsidRPr="0025376F">
              <w:rPr>
                <w:rFonts w:cs="Arial"/>
                <w:sz w:val="20"/>
              </w:rPr>
              <w:t>local government whose assessed revenue per one equalising unit is larger than the average assessed revenue per one equalising unit in local governments in total makes a payment into the equalisation fund  which is 60 percent of the difference between the average assessed revenues and the assessed revenues in a particular municipality per one equalising unit .</w:t>
            </w:r>
          </w:p>
          <w:p w14:paraId="553480EF" w14:textId="77777777" w:rsidR="0025376F" w:rsidRPr="0025376F" w:rsidRDefault="0025376F" w:rsidP="0025376F">
            <w:pPr>
              <w:pStyle w:val="TableCell"/>
              <w:numPr>
                <w:ilvl w:val="0"/>
                <w:numId w:val="46"/>
              </w:numPr>
              <w:jc w:val="left"/>
              <w:rPr>
                <w:rFonts w:cs="Arial"/>
                <w:sz w:val="20"/>
              </w:rPr>
            </w:pPr>
            <w:r w:rsidRPr="0025376F">
              <w:rPr>
                <w:rFonts w:cs="Arial"/>
                <w:sz w:val="20"/>
              </w:rPr>
              <w:t>the difference between the assessed revenue of a local government per one equalising unit and the assessed revenue of the local government per one equalising unit which has the largest revenue shall be reduced proportionally by means of the State budget grant.</w:t>
            </w:r>
          </w:p>
          <w:p w14:paraId="5A4328CA" w14:textId="77777777" w:rsidR="0025376F" w:rsidRPr="0025376F" w:rsidRDefault="0025376F" w:rsidP="0025376F">
            <w:pPr>
              <w:pStyle w:val="TableCell"/>
              <w:numPr>
                <w:ilvl w:val="0"/>
                <w:numId w:val="46"/>
              </w:numPr>
              <w:jc w:val="left"/>
              <w:rPr>
                <w:rFonts w:cs="Arial"/>
                <w:sz w:val="20"/>
              </w:rPr>
            </w:pPr>
            <w:r w:rsidRPr="0025376F">
              <w:rPr>
                <w:rFonts w:cs="Arial"/>
                <w:sz w:val="20"/>
              </w:rPr>
              <w:t>As a result of the equalisation of local government finances the equalised revenue of a local government shall consist of the assessed revenue of the local government reduced by the calculated payment into the equalisation fund or increased by the calculated grant from the equalisation fund.</w:t>
            </w:r>
          </w:p>
          <w:p w14:paraId="1C2208F9" w14:textId="44794076" w:rsidR="0025376F" w:rsidRPr="0025376F" w:rsidRDefault="0025376F" w:rsidP="00B60055">
            <w:pPr>
              <w:pStyle w:val="TableCell"/>
              <w:jc w:val="left"/>
              <w:rPr>
                <w:rFonts w:cs="Arial"/>
                <w:sz w:val="20"/>
              </w:rPr>
            </w:pPr>
          </w:p>
        </w:tc>
      </w:tr>
      <w:tr w:rsidR="00623BE2" w:rsidRPr="00D738B5" w14:paraId="75EA1188" w14:textId="77777777" w:rsidTr="00110570">
        <w:trPr>
          <w:trHeight w:val="238"/>
        </w:trPr>
        <w:tc>
          <w:tcPr>
            <w:tcW w:w="1750" w:type="pct"/>
          </w:tcPr>
          <w:p w14:paraId="5193A2FE" w14:textId="124A5020" w:rsidR="00623BE2" w:rsidRPr="00D738B5" w:rsidRDefault="00623BE2" w:rsidP="005317DE">
            <w:pPr>
              <w:pStyle w:val="TableRow"/>
              <w:rPr>
                <w:sz w:val="20"/>
                <w:lang w:val="en-GB"/>
              </w:rPr>
            </w:pPr>
            <w:r w:rsidRPr="00D738B5">
              <w:rPr>
                <w:sz w:val="20"/>
                <w:lang w:val="en-GB"/>
              </w:rPr>
              <w:lastRenderedPageBreak/>
              <w:t>National regional development policy framework</w:t>
            </w:r>
          </w:p>
        </w:tc>
        <w:tc>
          <w:tcPr>
            <w:tcW w:w="3250" w:type="pct"/>
          </w:tcPr>
          <w:p w14:paraId="27E0CB75" w14:textId="51A8794D" w:rsidR="00825AC5" w:rsidRPr="00D738B5" w:rsidRDefault="003843E9" w:rsidP="00A15EA2">
            <w:pPr>
              <w:pStyle w:val="TableCell"/>
              <w:jc w:val="left"/>
              <w:rPr>
                <w:sz w:val="20"/>
                <w:lang w:val="en-GB"/>
              </w:rPr>
            </w:pPr>
            <w:r>
              <w:rPr>
                <w:rFonts w:cs="Arial"/>
                <w:sz w:val="20"/>
              </w:rPr>
              <w:t>Regional policy is defined in regional policy strategy document Regional Policy Guidelines 2021-2027</w:t>
            </w:r>
            <w:r w:rsidR="00AE255A">
              <w:rPr>
                <w:rFonts w:cs="Arial"/>
                <w:sz w:val="20"/>
              </w:rPr>
              <w:t>.</w:t>
            </w:r>
          </w:p>
        </w:tc>
      </w:tr>
      <w:tr w:rsidR="00594B16" w:rsidRPr="00D738B5" w14:paraId="1190059F" w14:textId="77777777" w:rsidTr="00110570">
        <w:trPr>
          <w:trHeight w:val="238"/>
        </w:trPr>
        <w:tc>
          <w:tcPr>
            <w:tcW w:w="1750" w:type="pct"/>
          </w:tcPr>
          <w:p w14:paraId="25E12495" w14:textId="2123358E" w:rsidR="00594B16" w:rsidRPr="00D738B5" w:rsidRDefault="005317DE" w:rsidP="005317DE">
            <w:pPr>
              <w:pStyle w:val="TableRow"/>
              <w:jc w:val="left"/>
              <w:rPr>
                <w:sz w:val="20"/>
                <w:lang w:val="en-GB"/>
              </w:rPr>
            </w:pPr>
            <w:r w:rsidRPr="00D738B5">
              <w:rPr>
                <w:sz w:val="20"/>
                <w:lang w:val="en-GB"/>
              </w:rPr>
              <w:t>Urban policy framework</w:t>
            </w:r>
          </w:p>
        </w:tc>
        <w:tc>
          <w:tcPr>
            <w:tcW w:w="3250" w:type="pct"/>
          </w:tcPr>
          <w:p w14:paraId="49453169" w14:textId="327F1DD6" w:rsidR="003D2EAC" w:rsidRPr="00D738B5" w:rsidRDefault="008159F6" w:rsidP="005317DE">
            <w:pPr>
              <w:pStyle w:val="TableCell"/>
              <w:jc w:val="left"/>
              <w:rPr>
                <w:sz w:val="20"/>
                <w:lang w:val="en-GB"/>
              </w:rPr>
            </w:pPr>
            <w:r>
              <w:rPr>
                <w:sz w:val="20"/>
              </w:rPr>
              <w:t>Urban policy is part of regional policy, there are no separate documents for urban policy</w:t>
            </w:r>
            <w:r w:rsidR="00AE255A">
              <w:rPr>
                <w:sz w:val="20"/>
              </w:rPr>
              <w:t>.</w:t>
            </w:r>
          </w:p>
        </w:tc>
      </w:tr>
      <w:tr w:rsidR="00594B16" w:rsidRPr="00D738B5" w14:paraId="4395EB33" w14:textId="77777777" w:rsidTr="00110570">
        <w:trPr>
          <w:trHeight w:val="238"/>
        </w:trPr>
        <w:tc>
          <w:tcPr>
            <w:tcW w:w="1750" w:type="pct"/>
          </w:tcPr>
          <w:p w14:paraId="5D346546" w14:textId="51665631" w:rsidR="00594B16" w:rsidRPr="00D738B5" w:rsidRDefault="005317DE" w:rsidP="005317DE">
            <w:pPr>
              <w:pStyle w:val="TableRow"/>
              <w:jc w:val="left"/>
              <w:rPr>
                <w:sz w:val="20"/>
                <w:lang w:val="en-GB"/>
              </w:rPr>
            </w:pPr>
            <w:r w:rsidRPr="00D738B5">
              <w:rPr>
                <w:sz w:val="20"/>
                <w:lang w:val="en-GB"/>
              </w:rPr>
              <w:t>Rural policy framework</w:t>
            </w:r>
          </w:p>
        </w:tc>
        <w:tc>
          <w:tcPr>
            <w:tcW w:w="3250" w:type="pct"/>
          </w:tcPr>
          <w:p w14:paraId="50FAE3CE" w14:textId="4F08E9E6" w:rsidR="003D2EAC" w:rsidRPr="005963B8" w:rsidRDefault="00390543" w:rsidP="003D2EAC">
            <w:pPr>
              <w:pStyle w:val="TableCell"/>
              <w:jc w:val="left"/>
              <w:rPr>
                <w:sz w:val="20"/>
              </w:rPr>
            </w:pPr>
            <w:r>
              <w:rPr>
                <w:sz w:val="20"/>
              </w:rPr>
              <w:t>Rural policy is part of regional policy</w:t>
            </w:r>
            <w:r w:rsidR="005963B8">
              <w:rPr>
                <w:sz w:val="20"/>
              </w:rPr>
              <w:t xml:space="preserve">, described in </w:t>
            </w:r>
            <w:r w:rsidR="005963B8" w:rsidRPr="005963B8">
              <w:rPr>
                <w:sz w:val="20"/>
              </w:rPr>
              <w:t>Regional Policy Guidelines 2021-2027.</w:t>
            </w:r>
            <w:r>
              <w:rPr>
                <w:sz w:val="20"/>
              </w:rPr>
              <w:t xml:space="preserve"> </w:t>
            </w:r>
          </w:p>
          <w:p w14:paraId="6919872E" w14:textId="7C427250" w:rsidR="005963B8" w:rsidRDefault="005963B8" w:rsidP="004D431F">
            <w:pPr>
              <w:pStyle w:val="Default"/>
              <w:jc w:val="left"/>
              <w:rPr>
                <w:rFonts w:ascii="Arial Narrow" w:hAnsi="Arial Narrow" w:cstheme="minorBidi"/>
                <w:color w:val="000000" w:themeColor="text1"/>
                <w:sz w:val="20"/>
                <w:szCs w:val="20"/>
                <w:lang w:val="en-US"/>
              </w:rPr>
            </w:pPr>
            <w:r w:rsidRPr="005963B8">
              <w:rPr>
                <w:rFonts w:ascii="Arial Narrow" w:hAnsi="Arial Narrow" w:cstheme="minorBidi"/>
                <w:color w:val="000000" w:themeColor="text1"/>
                <w:sz w:val="20"/>
                <w:szCs w:val="20"/>
                <w:lang w:val="en-US"/>
              </w:rPr>
              <w:t>Additionally</w:t>
            </w:r>
            <w:r>
              <w:rPr>
                <w:rFonts w:ascii="Arial Narrow" w:hAnsi="Arial Narrow" w:cstheme="minorBidi"/>
                <w:color w:val="000000" w:themeColor="text1"/>
                <w:sz w:val="20"/>
                <w:szCs w:val="20"/>
                <w:lang w:val="en-US"/>
              </w:rPr>
              <w:t>,</w:t>
            </w:r>
            <w:r w:rsidRPr="005963B8">
              <w:rPr>
                <w:rFonts w:ascii="Arial Narrow" w:hAnsi="Arial Narrow" w:cstheme="minorBidi"/>
                <w:color w:val="000000" w:themeColor="text1"/>
                <w:sz w:val="20"/>
                <w:szCs w:val="20"/>
                <w:lang w:val="en-US"/>
              </w:rPr>
              <w:t xml:space="preserve"> rural policy is included in</w:t>
            </w:r>
            <w:r>
              <w:rPr>
                <w:rFonts w:ascii="Arial Narrow" w:hAnsi="Arial Narrow" w:cstheme="minorBidi"/>
                <w:color w:val="000000" w:themeColor="text1"/>
                <w:sz w:val="20"/>
                <w:szCs w:val="20"/>
                <w:lang w:val="en-US"/>
              </w:rPr>
              <w:t>:</w:t>
            </w:r>
          </w:p>
          <w:p w14:paraId="00CC9431" w14:textId="1363F1DD" w:rsidR="004D431F" w:rsidRPr="005963B8" w:rsidRDefault="004D431F" w:rsidP="005A0038">
            <w:pPr>
              <w:pStyle w:val="Default"/>
              <w:numPr>
                <w:ilvl w:val="0"/>
                <w:numId w:val="47"/>
              </w:numPr>
              <w:jc w:val="left"/>
              <w:rPr>
                <w:rFonts w:ascii="Arial Narrow" w:hAnsi="Arial Narrow" w:cstheme="minorBidi"/>
                <w:color w:val="000000" w:themeColor="text1"/>
                <w:sz w:val="20"/>
                <w:szCs w:val="20"/>
                <w:lang w:val="en-US"/>
              </w:rPr>
            </w:pPr>
            <w:r w:rsidRPr="005963B8">
              <w:rPr>
                <w:rFonts w:ascii="Arial Narrow" w:hAnsi="Arial Narrow" w:cstheme="minorBidi"/>
                <w:color w:val="000000" w:themeColor="text1"/>
                <w:sz w:val="20"/>
                <w:szCs w:val="20"/>
                <w:lang w:val="en-US"/>
              </w:rPr>
              <w:t xml:space="preserve">CAP Strategic Plan 2023-2027 (Ministry of Agriculture) </w:t>
            </w:r>
          </w:p>
          <w:p w14:paraId="435DDCFD" w14:textId="77777777" w:rsidR="004D431F" w:rsidRPr="005963B8" w:rsidRDefault="004D431F" w:rsidP="005A0038">
            <w:pPr>
              <w:pStyle w:val="Default"/>
              <w:numPr>
                <w:ilvl w:val="0"/>
                <w:numId w:val="47"/>
              </w:numPr>
              <w:jc w:val="left"/>
              <w:rPr>
                <w:rFonts w:ascii="Arial Narrow" w:hAnsi="Arial Narrow" w:cstheme="minorBidi"/>
                <w:color w:val="000000" w:themeColor="text1"/>
                <w:sz w:val="20"/>
                <w:szCs w:val="20"/>
                <w:lang w:val="en-US"/>
              </w:rPr>
            </w:pPr>
            <w:r w:rsidRPr="005963B8">
              <w:rPr>
                <w:rFonts w:ascii="Arial Narrow" w:hAnsi="Arial Narrow" w:cstheme="minorBidi"/>
                <w:color w:val="000000" w:themeColor="text1"/>
                <w:sz w:val="20"/>
                <w:szCs w:val="20"/>
                <w:lang w:val="en-US"/>
              </w:rPr>
              <w:t>Programme for Fisheries Development 2021-2027</w:t>
            </w:r>
          </w:p>
          <w:p w14:paraId="3E1E1754" w14:textId="750F3148" w:rsidR="00BA150A" w:rsidRPr="00110570" w:rsidRDefault="004D431F" w:rsidP="003D2EAC">
            <w:pPr>
              <w:pStyle w:val="Default"/>
              <w:numPr>
                <w:ilvl w:val="0"/>
                <w:numId w:val="47"/>
              </w:numPr>
              <w:jc w:val="left"/>
              <w:rPr>
                <w:rFonts w:ascii="Arial Narrow" w:hAnsi="Arial Narrow" w:cstheme="minorBidi"/>
                <w:color w:val="000000" w:themeColor="text1"/>
                <w:sz w:val="20"/>
                <w:szCs w:val="20"/>
                <w:lang w:val="en-US"/>
              </w:rPr>
            </w:pPr>
            <w:r w:rsidRPr="005963B8">
              <w:rPr>
                <w:rFonts w:ascii="Arial Narrow" w:hAnsi="Arial Narrow" w:cstheme="minorBidi"/>
                <w:color w:val="000000" w:themeColor="text1"/>
                <w:sz w:val="20"/>
                <w:szCs w:val="20"/>
                <w:lang w:val="en-US"/>
              </w:rPr>
              <w:t>Local area development strategies prepared by Local action groups</w:t>
            </w:r>
          </w:p>
        </w:tc>
      </w:tr>
      <w:tr w:rsidR="00594B16" w:rsidRPr="00D738B5" w14:paraId="5C17105F" w14:textId="77777777" w:rsidTr="00110570">
        <w:trPr>
          <w:trHeight w:val="238"/>
        </w:trPr>
        <w:tc>
          <w:tcPr>
            <w:tcW w:w="1750" w:type="pct"/>
          </w:tcPr>
          <w:p w14:paraId="696CD113" w14:textId="14C0AF3C"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250" w:type="pct"/>
          </w:tcPr>
          <w:p w14:paraId="0E9DC608" w14:textId="1AD9C52B" w:rsidR="00594B16" w:rsidRPr="00D738B5" w:rsidRDefault="003B32D1" w:rsidP="00A15EA2">
            <w:pPr>
              <w:pStyle w:val="TableCell"/>
              <w:jc w:val="left"/>
              <w:rPr>
                <w:sz w:val="20"/>
                <w:lang w:val="en-GB"/>
              </w:rPr>
            </w:pPr>
            <w:r>
              <w:rPr>
                <w:rFonts w:cs="Arial"/>
                <w:sz w:val="20"/>
              </w:rPr>
              <w:t>R</w:t>
            </w:r>
            <w:r>
              <w:rPr>
                <w:sz w:val="20"/>
              </w:rPr>
              <w:t xml:space="preserve">egional policy includes measures co-financed by </w:t>
            </w:r>
            <w:r w:rsidR="00C71763">
              <w:rPr>
                <w:sz w:val="20"/>
              </w:rPr>
              <w:t xml:space="preserve">funds of </w:t>
            </w:r>
            <w:r>
              <w:rPr>
                <w:sz w:val="20"/>
              </w:rPr>
              <w:t xml:space="preserve">European </w:t>
            </w:r>
            <w:r w:rsidR="00C71763">
              <w:rPr>
                <w:sz w:val="20"/>
              </w:rPr>
              <w:t>Union Cohesion policy.</w:t>
            </w:r>
          </w:p>
        </w:tc>
      </w:tr>
      <w:tr w:rsidR="00594B16" w:rsidRPr="00D738B5" w14:paraId="7B9EFA1F" w14:textId="77777777" w:rsidTr="00110570">
        <w:trPr>
          <w:trHeight w:val="238"/>
        </w:trPr>
        <w:tc>
          <w:tcPr>
            <w:tcW w:w="1750" w:type="pct"/>
          </w:tcPr>
          <w:p w14:paraId="7BDBED3E" w14:textId="5E31E4C5"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250" w:type="pct"/>
          </w:tcPr>
          <w:p w14:paraId="3F295078" w14:textId="00A394D2" w:rsidR="00A15EA2" w:rsidRPr="00D738B5" w:rsidRDefault="00725BC6" w:rsidP="00A15EA2">
            <w:pPr>
              <w:pStyle w:val="TableCell"/>
              <w:jc w:val="left"/>
              <w:rPr>
                <w:sz w:val="20"/>
                <w:lang w:val="en-GB"/>
              </w:rPr>
            </w:pPr>
            <w:r>
              <w:rPr>
                <w:rFonts w:cs="Arial"/>
                <w:sz w:val="20"/>
              </w:rPr>
              <w:t>Regiona</w:t>
            </w:r>
            <w:r w:rsidR="00434BF1">
              <w:rPr>
                <w:rFonts w:cs="Arial"/>
                <w:sz w:val="20"/>
              </w:rPr>
              <w:t>l</w:t>
            </w:r>
            <w:r>
              <w:rPr>
                <w:rFonts w:cs="Arial"/>
                <w:sz w:val="20"/>
              </w:rPr>
              <w:t xml:space="preserve"> </w:t>
            </w:r>
            <w:r w:rsidR="00434BF1">
              <w:rPr>
                <w:rFonts w:cs="Arial"/>
                <w:sz w:val="20"/>
              </w:rPr>
              <w:t>P</w:t>
            </w:r>
            <w:r>
              <w:rPr>
                <w:rFonts w:cs="Arial"/>
                <w:sz w:val="20"/>
              </w:rPr>
              <w:t>olicy Guidelines 2021-2027 were discussed with sectoral ministries, planning region</w:t>
            </w:r>
            <w:r w:rsidR="00434BF1">
              <w:rPr>
                <w:rFonts w:cs="Arial"/>
                <w:sz w:val="20"/>
              </w:rPr>
              <w:t>s and municipalities</w:t>
            </w:r>
            <w:r w:rsidR="000B4226">
              <w:rPr>
                <w:rFonts w:cs="Arial"/>
                <w:sz w:val="20"/>
              </w:rPr>
              <w:t>. Ministry of Environmental Protection and Regional Development cooperates with other ministries concerning regional policy issues.</w:t>
            </w:r>
          </w:p>
        </w:tc>
      </w:tr>
      <w:tr w:rsidR="00594B16" w:rsidRPr="00D738B5" w14:paraId="303C11FB" w14:textId="77777777" w:rsidTr="00110570">
        <w:trPr>
          <w:trHeight w:val="238"/>
        </w:trPr>
        <w:tc>
          <w:tcPr>
            <w:tcW w:w="1750"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250" w:type="pct"/>
          </w:tcPr>
          <w:p w14:paraId="007E839B" w14:textId="2C084212" w:rsidR="00594B16" w:rsidRPr="00D738B5" w:rsidRDefault="00594B16" w:rsidP="00A15EA2">
            <w:pPr>
              <w:pStyle w:val="TableCell"/>
              <w:jc w:val="left"/>
              <w:rPr>
                <w:sz w:val="20"/>
                <w:lang w:val="en-GB"/>
              </w:rPr>
            </w:pPr>
          </w:p>
        </w:tc>
      </w:tr>
      <w:tr w:rsidR="00594B16" w:rsidRPr="00D738B5" w14:paraId="4E9E0EAF" w14:textId="77777777" w:rsidTr="00110570">
        <w:trPr>
          <w:trHeight w:val="238"/>
        </w:trPr>
        <w:tc>
          <w:tcPr>
            <w:tcW w:w="1750"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250" w:type="pct"/>
          </w:tcPr>
          <w:p w14:paraId="5D25B57E" w14:textId="2D0D49C0" w:rsidR="00A15EA2" w:rsidRPr="00D738B5" w:rsidRDefault="001B2B56" w:rsidP="005317DE">
            <w:pPr>
              <w:pStyle w:val="TableCell"/>
              <w:jc w:val="left"/>
              <w:rPr>
                <w:sz w:val="20"/>
                <w:lang w:val="en-GB"/>
              </w:rPr>
            </w:pPr>
            <w:r>
              <w:rPr>
                <w:rFonts w:cs="Arial"/>
                <w:sz w:val="20"/>
              </w:rPr>
              <w:t xml:space="preserve">Planning regions are involved in </w:t>
            </w:r>
            <w:r w:rsidR="00EB7760">
              <w:rPr>
                <w:rFonts w:cs="Arial"/>
                <w:sz w:val="20"/>
              </w:rPr>
              <w:t xml:space="preserve">the elaboration and </w:t>
            </w:r>
            <w:r>
              <w:rPr>
                <w:rFonts w:cs="Arial"/>
                <w:sz w:val="20"/>
              </w:rPr>
              <w:t>implementation of regional policy</w:t>
            </w:r>
          </w:p>
        </w:tc>
      </w:tr>
      <w:tr w:rsidR="00594B16" w:rsidRPr="00D738B5" w14:paraId="56477370" w14:textId="77777777" w:rsidTr="00110570">
        <w:trPr>
          <w:trHeight w:val="238"/>
        </w:trPr>
        <w:tc>
          <w:tcPr>
            <w:tcW w:w="1750" w:type="pct"/>
          </w:tcPr>
          <w:p w14:paraId="50E937EB" w14:textId="691C515E" w:rsidR="00594B16" w:rsidRPr="00D738B5" w:rsidRDefault="005317DE" w:rsidP="005317DE">
            <w:pPr>
              <w:pStyle w:val="TableRow"/>
              <w:jc w:val="left"/>
              <w:rPr>
                <w:sz w:val="20"/>
                <w:lang w:val="en-GB"/>
              </w:rPr>
            </w:pPr>
            <w:r w:rsidRPr="00D738B5">
              <w:rPr>
                <w:sz w:val="20"/>
                <w:lang w:val="en-GB"/>
              </w:rPr>
              <w:lastRenderedPageBreak/>
              <w:t>Evaluation and monitoring</w:t>
            </w:r>
            <w:r w:rsidR="00B103D2">
              <w:rPr>
                <w:sz w:val="20"/>
                <w:lang w:val="en-GB"/>
              </w:rPr>
              <w:t xml:space="preserve"> tools</w:t>
            </w:r>
          </w:p>
        </w:tc>
        <w:tc>
          <w:tcPr>
            <w:tcW w:w="3250" w:type="pct"/>
          </w:tcPr>
          <w:p w14:paraId="1E131CFF" w14:textId="190AE63E" w:rsidR="00594B16" w:rsidRPr="00D738B5" w:rsidRDefault="0098035E" w:rsidP="00A15EA2">
            <w:pPr>
              <w:pStyle w:val="TableCell"/>
              <w:jc w:val="left"/>
              <w:rPr>
                <w:sz w:val="20"/>
                <w:lang w:val="en-GB"/>
              </w:rPr>
            </w:pPr>
            <w:r>
              <w:rPr>
                <w:rFonts w:cs="Arial"/>
                <w:sz w:val="20"/>
              </w:rPr>
              <w:t>There are indicators defined</w:t>
            </w:r>
            <w:r w:rsidR="001B2B56">
              <w:rPr>
                <w:rFonts w:cs="Arial"/>
                <w:sz w:val="20"/>
              </w:rPr>
              <w:t xml:space="preserve"> in Regional Policy Guidelines 2021-2027</w:t>
            </w:r>
          </w:p>
        </w:tc>
      </w:tr>
      <w:tr w:rsidR="00594B16" w:rsidRPr="00D738B5" w14:paraId="6E08705C" w14:textId="77777777" w:rsidTr="00110570">
        <w:trPr>
          <w:trHeight w:val="238"/>
        </w:trPr>
        <w:tc>
          <w:tcPr>
            <w:tcW w:w="1750" w:type="pct"/>
          </w:tcPr>
          <w:p w14:paraId="0E24760B" w14:textId="625EF3FA" w:rsidR="00594B16" w:rsidRPr="00D738B5" w:rsidRDefault="005317DE" w:rsidP="005317DE">
            <w:pPr>
              <w:pStyle w:val="TableRow"/>
              <w:jc w:val="left"/>
              <w:rPr>
                <w:sz w:val="20"/>
                <w:lang w:val="en-GB"/>
              </w:rPr>
            </w:pPr>
            <w:bookmarkStart w:id="0" w:name="_Hlk121751249"/>
            <w:r w:rsidRPr="00D738B5">
              <w:rPr>
                <w:sz w:val="20"/>
                <w:lang w:val="en-GB"/>
              </w:rPr>
              <w:t>Future orientations of regional policy</w:t>
            </w:r>
          </w:p>
        </w:tc>
        <w:tc>
          <w:tcPr>
            <w:tcW w:w="3250" w:type="pct"/>
          </w:tcPr>
          <w:p w14:paraId="27D13C1F" w14:textId="71C7026A" w:rsidR="00594B16" w:rsidRPr="00D738B5" w:rsidRDefault="00A518F8" w:rsidP="005317DE">
            <w:pPr>
              <w:pStyle w:val="TableCell"/>
              <w:jc w:val="left"/>
              <w:rPr>
                <w:sz w:val="20"/>
                <w:lang w:val="en-GB"/>
              </w:rPr>
            </w:pPr>
            <w:r>
              <w:rPr>
                <w:rFonts w:cs="Arial"/>
                <w:sz w:val="20"/>
              </w:rPr>
              <w:t xml:space="preserve">Regional Policy Guidelines 2021-2027 specify </w:t>
            </w:r>
            <w:r w:rsidR="00A22E1E">
              <w:rPr>
                <w:rFonts w:cs="Arial"/>
                <w:sz w:val="20"/>
              </w:rPr>
              <w:t>regional policy activities until 2027.</w:t>
            </w:r>
          </w:p>
        </w:tc>
      </w:tr>
    </w:tbl>
    <w:bookmarkEnd w:id="0"/>
    <w:p w14:paraId="3AA8CF31" w14:textId="54AEE783" w:rsidR="009070E8" w:rsidRDefault="009070E8" w:rsidP="009070E8">
      <w:pPr>
        <w:pStyle w:val="Title2"/>
      </w:pPr>
      <w:r w:rsidRPr="00A47C9A">
        <w:t>Recent policy developments</w:t>
      </w:r>
    </w:p>
    <w:p w14:paraId="63B2D47E" w14:textId="331DFB75" w:rsidR="006F66A3" w:rsidRPr="00110570" w:rsidRDefault="00110570" w:rsidP="00110570">
      <w:pPr>
        <w:pStyle w:val="Para0"/>
      </w:pPr>
      <w:r w:rsidRPr="00110570">
        <w:t>Currently</w:t>
      </w:r>
      <w:r w:rsidR="00936FB2">
        <w:t>,</w:t>
      </w:r>
      <w:r w:rsidRPr="00110570">
        <w:t xml:space="preserve"> rules are </w:t>
      </w:r>
      <w:r w:rsidR="00936FB2">
        <w:t xml:space="preserve">being </w:t>
      </w:r>
      <w:r w:rsidRPr="00110570">
        <w:t xml:space="preserve">elaborated </w:t>
      </w:r>
      <w:r w:rsidR="00936FB2">
        <w:t xml:space="preserve">to </w:t>
      </w:r>
      <w:r w:rsidR="00EB7760">
        <w:t>implement</w:t>
      </w:r>
      <w:r w:rsidRPr="00110570">
        <w:t xml:space="preserve"> </w:t>
      </w:r>
      <w:r w:rsidR="00936FB2">
        <w:t>EU</w:t>
      </w:r>
      <w:r w:rsidRPr="00110570">
        <w:t xml:space="preserve"> Cohesion Policy measures for </w:t>
      </w:r>
      <w:r w:rsidR="00936FB2">
        <w:t xml:space="preserve">territorial </w:t>
      </w:r>
      <w:r w:rsidRPr="00110570">
        <w:t>development</w:t>
      </w:r>
      <w:r w:rsidR="00936FB2">
        <w:t>,</w:t>
      </w:r>
      <w:r w:rsidRPr="00110570">
        <w:t xml:space="preserve"> according to </w:t>
      </w:r>
      <w:r w:rsidR="00936FB2">
        <w:t xml:space="preserve">the </w:t>
      </w:r>
      <w:r w:rsidRPr="00110570">
        <w:t>Regional Policy Guidelines 2021-2027.</w:t>
      </w:r>
    </w:p>
    <w:sectPr w:rsidR="006F66A3" w:rsidRPr="00110570" w:rsidSect="003C473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8D06C" w14:textId="77777777" w:rsidR="008E322D" w:rsidRDefault="008E322D" w:rsidP="00CC3749"/>
  </w:endnote>
  <w:endnote w:type="continuationSeparator" w:id="0">
    <w:p w14:paraId="10B5D2E3" w14:textId="77777777" w:rsidR="008E322D" w:rsidRPr="00CF4424" w:rsidRDefault="008E322D" w:rsidP="00CF4424">
      <w:pPr>
        <w:pStyle w:val="Footer"/>
        <w:jc w:val="both"/>
      </w:pPr>
    </w:p>
  </w:endnote>
  <w:endnote w:type="continuationNotice" w:id="1">
    <w:p w14:paraId="74C5D935" w14:textId="77777777" w:rsidR="008E322D" w:rsidRDefault="008E32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AD52B" w14:textId="77777777" w:rsidR="008E322D" w:rsidRDefault="008E322D" w:rsidP="00CC3749">
      <w:r>
        <w:separator/>
      </w:r>
    </w:p>
  </w:footnote>
  <w:footnote w:type="continuationSeparator" w:id="0">
    <w:p w14:paraId="76C376D8" w14:textId="77777777" w:rsidR="008E322D" w:rsidRDefault="008E322D" w:rsidP="00CC3749">
      <w:r>
        <w:continuationSeparator/>
      </w:r>
    </w:p>
  </w:footnote>
  <w:footnote w:type="continuationNotice" w:id="1">
    <w:p w14:paraId="4FB252A4" w14:textId="77777777" w:rsidR="008E322D" w:rsidRDefault="008E32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793EE6"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793EE6"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793EE6">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2"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7"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9" w15:restartNumberingAfterBreak="0">
    <w:nsid w:val="28AE4908"/>
    <w:multiLevelType w:val="hybridMultilevel"/>
    <w:tmpl w:val="058402A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2"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3"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6"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8"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C562D0"/>
    <w:multiLevelType w:val="hybridMultilevel"/>
    <w:tmpl w:val="433CD15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0"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1"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8688038">
    <w:abstractNumId w:val="9"/>
  </w:num>
  <w:num w:numId="2" w16cid:durableId="828638032">
    <w:abstractNumId w:val="7"/>
  </w:num>
  <w:num w:numId="3" w16cid:durableId="1067344562">
    <w:abstractNumId w:val="6"/>
  </w:num>
  <w:num w:numId="4" w16cid:durableId="112945041">
    <w:abstractNumId w:val="5"/>
  </w:num>
  <w:num w:numId="5" w16cid:durableId="1428235335">
    <w:abstractNumId w:val="4"/>
  </w:num>
  <w:num w:numId="6" w16cid:durableId="2136367271">
    <w:abstractNumId w:val="8"/>
  </w:num>
  <w:num w:numId="7" w16cid:durableId="2036810998">
    <w:abstractNumId w:val="3"/>
  </w:num>
  <w:num w:numId="8" w16cid:durableId="868567790">
    <w:abstractNumId w:val="2"/>
  </w:num>
  <w:num w:numId="9" w16cid:durableId="1990817544">
    <w:abstractNumId w:val="1"/>
  </w:num>
  <w:num w:numId="10" w16cid:durableId="1408958636">
    <w:abstractNumId w:val="0"/>
  </w:num>
  <w:num w:numId="11" w16cid:durableId="1648820969">
    <w:abstractNumId w:val="18"/>
  </w:num>
  <w:num w:numId="12" w16cid:durableId="102265693">
    <w:abstractNumId w:val="20"/>
  </w:num>
  <w:num w:numId="13" w16cid:durableId="91097318">
    <w:abstractNumId w:val="33"/>
  </w:num>
  <w:num w:numId="14" w16cid:durableId="952711201">
    <w:abstractNumId w:val="33"/>
    <w:lvlOverride w:ilvl="0">
      <w:startOverride w:val="1"/>
    </w:lvlOverride>
  </w:num>
  <w:num w:numId="15" w16cid:durableId="1761949225">
    <w:abstractNumId w:val="31"/>
  </w:num>
  <w:num w:numId="16" w16cid:durableId="1088960607">
    <w:abstractNumId w:val="12"/>
  </w:num>
  <w:num w:numId="17" w16cid:durableId="515535738">
    <w:abstractNumId w:val="15"/>
  </w:num>
  <w:num w:numId="18" w16cid:durableId="1132941053">
    <w:abstractNumId w:val="35"/>
  </w:num>
  <w:num w:numId="19" w16cid:durableId="1688558805">
    <w:abstractNumId w:val="14"/>
  </w:num>
  <w:num w:numId="20" w16cid:durableId="1910991452">
    <w:abstractNumId w:val="24"/>
  </w:num>
  <w:num w:numId="21" w16cid:durableId="2003921806">
    <w:abstractNumId w:val="13"/>
  </w:num>
  <w:num w:numId="22" w16cid:durableId="1398866253">
    <w:abstractNumId w:val="25"/>
  </w:num>
  <w:num w:numId="23" w16cid:durableId="977227915">
    <w:abstractNumId w:val="17"/>
  </w:num>
  <w:num w:numId="24" w16cid:durableId="998072886">
    <w:abstractNumId w:val="27"/>
  </w:num>
  <w:num w:numId="25" w16cid:durableId="405496848">
    <w:abstractNumId w:val="22"/>
  </w:num>
  <w:num w:numId="26" w16cid:durableId="18409239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524267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574350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2830710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15807666">
    <w:abstractNumId w:val="27"/>
    <w:lvlOverride w:ilvl="0">
      <w:startOverride w:val="1"/>
    </w:lvlOverride>
  </w:num>
  <w:num w:numId="31" w16cid:durableId="1218324890">
    <w:abstractNumId w:val="25"/>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024439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79057087">
    <w:abstractNumId w:val="25"/>
  </w:num>
  <w:num w:numId="34" w16cid:durableId="3501043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65149518">
    <w:abstractNumId w:val="16"/>
  </w:num>
  <w:num w:numId="36" w16cid:durableId="141967549">
    <w:abstractNumId w:val="26"/>
  </w:num>
  <w:num w:numId="37" w16cid:durableId="316501276">
    <w:abstractNumId w:val="30"/>
  </w:num>
  <w:num w:numId="38" w16cid:durableId="733771852">
    <w:abstractNumId w:val="28"/>
  </w:num>
  <w:num w:numId="39" w16cid:durableId="483275807">
    <w:abstractNumId w:val="21"/>
  </w:num>
  <w:num w:numId="40" w16cid:durableId="1708070178">
    <w:abstractNumId w:val="10"/>
  </w:num>
  <w:num w:numId="41" w16cid:durableId="1834107902">
    <w:abstractNumId w:val="34"/>
  </w:num>
  <w:num w:numId="42" w16cid:durableId="1819761925">
    <w:abstractNumId w:val="23"/>
  </w:num>
  <w:num w:numId="43" w16cid:durableId="461311759">
    <w:abstractNumId w:val="32"/>
  </w:num>
  <w:num w:numId="44" w16cid:durableId="1028027801">
    <w:abstractNumId w:val="11"/>
  </w:num>
  <w:num w:numId="45" w16cid:durableId="134179692">
    <w:abstractNumId w:val="36"/>
  </w:num>
  <w:num w:numId="46" w16cid:durableId="1708218493">
    <w:abstractNumId w:val="19"/>
  </w:num>
  <w:num w:numId="47" w16cid:durableId="3520794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0D48"/>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A5133"/>
    <w:rsid w:val="000A5892"/>
    <w:rsid w:val="000A655C"/>
    <w:rsid w:val="000A69AD"/>
    <w:rsid w:val="000B03E2"/>
    <w:rsid w:val="000B4226"/>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6863"/>
    <w:rsid w:val="000F68AF"/>
    <w:rsid w:val="00101323"/>
    <w:rsid w:val="00110570"/>
    <w:rsid w:val="00111592"/>
    <w:rsid w:val="00111A19"/>
    <w:rsid w:val="00111C8A"/>
    <w:rsid w:val="0011701E"/>
    <w:rsid w:val="0011730B"/>
    <w:rsid w:val="00120463"/>
    <w:rsid w:val="00130B1E"/>
    <w:rsid w:val="001313D9"/>
    <w:rsid w:val="00132E78"/>
    <w:rsid w:val="00146063"/>
    <w:rsid w:val="0015065F"/>
    <w:rsid w:val="00150FAB"/>
    <w:rsid w:val="00151AE5"/>
    <w:rsid w:val="001535B9"/>
    <w:rsid w:val="00157A58"/>
    <w:rsid w:val="00160B10"/>
    <w:rsid w:val="00160D78"/>
    <w:rsid w:val="001641D6"/>
    <w:rsid w:val="00166A07"/>
    <w:rsid w:val="00170C55"/>
    <w:rsid w:val="00173418"/>
    <w:rsid w:val="00183469"/>
    <w:rsid w:val="00184B7A"/>
    <w:rsid w:val="00192BE9"/>
    <w:rsid w:val="001931F5"/>
    <w:rsid w:val="001933C5"/>
    <w:rsid w:val="00196642"/>
    <w:rsid w:val="001B2144"/>
    <w:rsid w:val="001B2B56"/>
    <w:rsid w:val="001B2FAD"/>
    <w:rsid w:val="001B4E01"/>
    <w:rsid w:val="001B5CF9"/>
    <w:rsid w:val="001C0B13"/>
    <w:rsid w:val="001C1F73"/>
    <w:rsid w:val="001C4E4F"/>
    <w:rsid w:val="001C617B"/>
    <w:rsid w:val="001D3952"/>
    <w:rsid w:val="001D3AE4"/>
    <w:rsid w:val="001E1F22"/>
    <w:rsid w:val="001E6BC0"/>
    <w:rsid w:val="001F11B3"/>
    <w:rsid w:val="001F18A8"/>
    <w:rsid w:val="001F63FD"/>
    <w:rsid w:val="001F6920"/>
    <w:rsid w:val="001F76B3"/>
    <w:rsid w:val="00201266"/>
    <w:rsid w:val="00202409"/>
    <w:rsid w:val="00203113"/>
    <w:rsid w:val="00203CC1"/>
    <w:rsid w:val="00210A5D"/>
    <w:rsid w:val="00211809"/>
    <w:rsid w:val="00224AC3"/>
    <w:rsid w:val="0022556E"/>
    <w:rsid w:val="00237A1B"/>
    <w:rsid w:val="002456C1"/>
    <w:rsid w:val="0025376F"/>
    <w:rsid w:val="0025481A"/>
    <w:rsid w:val="002565E1"/>
    <w:rsid w:val="00263627"/>
    <w:rsid w:val="00271061"/>
    <w:rsid w:val="0027449D"/>
    <w:rsid w:val="00275477"/>
    <w:rsid w:val="00280D51"/>
    <w:rsid w:val="002818F4"/>
    <w:rsid w:val="00287ED5"/>
    <w:rsid w:val="00294AB5"/>
    <w:rsid w:val="00296CE1"/>
    <w:rsid w:val="002A2091"/>
    <w:rsid w:val="002A226D"/>
    <w:rsid w:val="002A305F"/>
    <w:rsid w:val="002A5FB3"/>
    <w:rsid w:val="002A6B56"/>
    <w:rsid w:val="002B353F"/>
    <w:rsid w:val="002C1DD6"/>
    <w:rsid w:val="002D624E"/>
    <w:rsid w:val="002E0230"/>
    <w:rsid w:val="002E4009"/>
    <w:rsid w:val="002F3A06"/>
    <w:rsid w:val="002F3A0F"/>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81AB2"/>
    <w:rsid w:val="003843E9"/>
    <w:rsid w:val="00386F03"/>
    <w:rsid w:val="00390543"/>
    <w:rsid w:val="00391361"/>
    <w:rsid w:val="003957E7"/>
    <w:rsid w:val="003A3A69"/>
    <w:rsid w:val="003A72FB"/>
    <w:rsid w:val="003B0FCE"/>
    <w:rsid w:val="003B2DE3"/>
    <w:rsid w:val="003B2EF0"/>
    <w:rsid w:val="003B312C"/>
    <w:rsid w:val="003B32D1"/>
    <w:rsid w:val="003B42F8"/>
    <w:rsid w:val="003C4738"/>
    <w:rsid w:val="003C6E42"/>
    <w:rsid w:val="003D0071"/>
    <w:rsid w:val="003D0145"/>
    <w:rsid w:val="003D0718"/>
    <w:rsid w:val="003D0D81"/>
    <w:rsid w:val="003D283F"/>
    <w:rsid w:val="003D2EAC"/>
    <w:rsid w:val="003E0362"/>
    <w:rsid w:val="003E2E5C"/>
    <w:rsid w:val="003E4743"/>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34BF1"/>
    <w:rsid w:val="00440FA5"/>
    <w:rsid w:val="00444913"/>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42ED"/>
    <w:rsid w:val="004A6F9B"/>
    <w:rsid w:val="004B163D"/>
    <w:rsid w:val="004B3675"/>
    <w:rsid w:val="004B7B10"/>
    <w:rsid w:val="004C01A6"/>
    <w:rsid w:val="004C0F00"/>
    <w:rsid w:val="004C102F"/>
    <w:rsid w:val="004D431F"/>
    <w:rsid w:val="004E100F"/>
    <w:rsid w:val="004E3712"/>
    <w:rsid w:val="004E4993"/>
    <w:rsid w:val="004E6D70"/>
    <w:rsid w:val="004F0BCD"/>
    <w:rsid w:val="004F1D9C"/>
    <w:rsid w:val="004F43FF"/>
    <w:rsid w:val="004F644E"/>
    <w:rsid w:val="004F6BF2"/>
    <w:rsid w:val="004F6CB7"/>
    <w:rsid w:val="005011D9"/>
    <w:rsid w:val="00502163"/>
    <w:rsid w:val="00502342"/>
    <w:rsid w:val="005059C6"/>
    <w:rsid w:val="00510B9C"/>
    <w:rsid w:val="00510E93"/>
    <w:rsid w:val="00511263"/>
    <w:rsid w:val="00511FA2"/>
    <w:rsid w:val="00523806"/>
    <w:rsid w:val="00524708"/>
    <w:rsid w:val="00524825"/>
    <w:rsid w:val="0052749E"/>
    <w:rsid w:val="005317DE"/>
    <w:rsid w:val="00532FB1"/>
    <w:rsid w:val="00535F2B"/>
    <w:rsid w:val="005360A8"/>
    <w:rsid w:val="005361EC"/>
    <w:rsid w:val="00543135"/>
    <w:rsid w:val="005527A6"/>
    <w:rsid w:val="0056288C"/>
    <w:rsid w:val="0056606B"/>
    <w:rsid w:val="00567146"/>
    <w:rsid w:val="00575855"/>
    <w:rsid w:val="00576984"/>
    <w:rsid w:val="00582D40"/>
    <w:rsid w:val="00590221"/>
    <w:rsid w:val="00593D13"/>
    <w:rsid w:val="00594B16"/>
    <w:rsid w:val="005963B8"/>
    <w:rsid w:val="005A0038"/>
    <w:rsid w:val="005A0A55"/>
    <w:rsid w:val="005A116C"/>
    <w:rsid w:val="005A41B4"/>
    <w:rsid w:val="005A4A42"/>
    <w:rsid w:val="005A6B81"/>
    <w:rsid w:val="005B734D"/>
    <w:rsid w:val="005B7CA2"/>
    <w:rsid w:val="005C0E45"/>
    <w:rsid w:val="005D25FC"/>
    <w:rsid w:val="005D450E"/>
    <w:rsid w:val="005D5F8F"/>
    <w:rsid w:val="005D7D42"/>
    <w:rsid w:val="005E3782"/>
    <w:rsid w:val="00603681"/>
    <w:rsid w:val="00605E45"/>
    <w:rsid w:val="0061216A"/>
    <w:rsid w:val="006128C8"/>
    <w:rsid w:val="00616527"/>
    <w:rsid w:val="006218BD"/>
    <w:rsid w:val="00622E0C"/>
    <w:rsid w:val="00623BE2"/>
    <w:rsid w:val="00625626"/>
    <w:rsid w:val="0062763F"/>
    <w:rsid w:val="006304BF"/>
    <w:rsid w:val="00635AEE"/>
    <w:rsid w:val="00640529"/>
    <w:rsid w:val="00644510"/>
    <w:rsid w:val="00644FCE"/>
    <w:rsid w:val="00651DED"/>
    <w:rsid w:val="00680162"/>
    <w:rsid w:val="0068361F"/>
    <w:rsid w:val="006954F3"/>
    <w:rsid w:val="006A1139"/>
    <w:rsid w:val="006B38E2"/>
    <w:rsid w:val="006B4BAA"/>
    <w:rsid w:val="006B7345"/>
    <w:rsid w:val="006B7A61"/>
    <w:rsid w:val="006C35CC"/>
    <w:rsid w:val="006C7B61"/>
    <w:rsid w:val="006D1C15"/>
    <w:rsid w:val="006D2B23"/>
    <w:rsid w:val="006D42AC"/>
    <w:rsid w:val="006E25CC"/>
    <w:rsid w:val="006E50BA"/>
    <w:rsid w:val="006E5AA5"/>
    <w:rsid w:val="006F0A20"/>
    <w:rsid w:val="006F66A3"/>
    <w:rsid w:val="0070033F"/>
    <w:rsid w:val="00710E8C"/>
    <w:rsid w:val="00711F1B"/>
    <w:rsid w:val="00712B15"/>
    <w:rsid w:val="007135D0"/>
    <w:rsid w:val="00717159"/>
    <w:rsid w:val="0072116A"/>
    <w:rsid w:val="00722339"/>
    <w:rsid w:val="00724820"/>
    <w:rsid w:val="0072513F"/>
    <w:rsid w:val="00725BC6"/>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3BD2"/>
    <w:rsid w:val="00766D26"/>
    <w:rsid w:val="007712AC"/>
    <w:rsid w:val="00771361"/>
    <w:rsid w:val="007728EB"/>
    <w:rsid w:val="0077601A"/>
    <w:rsid w:val="007823FE"/>
    <w:rsid w:val="007836B4"/>
    <w:rsid w:val="00785A1E"/>
    <w:rsid w:val="00793D20"/>
    <w:rsid w:val="00793EE6"/>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34A4"/>
    <w:rsid w:val="007F41F9"/>
    <w:rsid w:val="00803F69"/>
    <w:rsid w:val="00804ACC"/>
    <w:rsid w:val="00811EE8"/>
    <w:rsid w:val="008127CA"/>
    <w:rsid w:val="008129C4"/>
    <w:rsid w:val="00814FD3"/>
    <w:rsid w:val="008159F6"/>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6742E"/>
    <w:rsid w:val="008728E0"/>
    <w:rsid w:val="008757C6"/>
    <w:rsid w:val="00880E82"/>
    <w:rsid w:val="00882314"/>
    <w:rsid w:val="008841EB"/>
    <w:rsid w:val="00895D73"/>
    <w:rsid w:val="00896DC3"/>
    <w:rsid w:val="008B555B"/>
    <w:rsid w:val="008B5E8B"/>
    <w:rsid w:val="008C38B5"/>
    <w:rsid w:val="008C5973"/>
    <w:rsid w:val="008C7702"/>
    <w:rsid w:val="008E2C7C"/>
    <w:rsid w:val="008E2F6C"/>
    <w:rsid w:val="008E322D"/>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36FB2"/>
    <w:rsid w:val="00943271"/>
    <w:rsid w:val="0094705D"/>
    <w:rsid w:val="00961C60"/>
    <w:rsid w:val="0096394A"/>
    <w:rsid w:val="0096519D"/>
    <w:rsid w:val="00966A58"/>
    <w:rsid w:val="0096728F"/>
    <w:rsid w:val="0097116C"/>
    <w:rsid w:val="0098035E"/>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3C63"/>
    <w:rsid w:val="009F5EF7"/>
    <w:rsid w:val="009F7287"/>
    <w:rsid w:val="00A003C3"/>
    <w:rsid w:val="00A0165D"/>
    <w:rsid w:val="00A01981"/>
    <w:rsid w:val="00A06C86"/>
    <w:rsid w:val="00A07625"/>
    <w:rsid w:val="00A104FC"/>
    <w:rsid w:val="00A108A8"/>
    <w:rsid w:val="00A1145F"/>
    <w:rsid w:val="00A1253E"/>
    <w:rsid w:val="00A12B7B"/>
    <w:rsid w:val="00A14DC4"/>
    <w:rsid w:val="00A15EA2"/>
    <w:rsid w:val="00A1735A"/>
    <w:rsid w:val="00A20967"/>
    <w:rsid w:val="00A21E27"/>
    <w:rsid w:val="00A22E1E"/>
    <w:rsid w:val="00A33D14"/>
    <w:rsid w:val="00A34DC1"/>
    <w:rsid w:val="00A37D0A"/>
    <w:rsid w:val="00A40263"/>
    <w:rsid w:val="00A42716"/>
    <w:rsid w:val="00A437BA"/>
    <w:rsid w:val="00A451A2"/>
    <w:rsid w:val="00A47C9A"/>
    <w:rsid w:val="00A506C1"/>
    <w:rsid w:val="00A518F8"/>
    <w:rsid w:val="00A61DC4"/>
    <w:rsid w:val="00A73BFF"/>
    <w:rsid w:val="00A74AFD"/>
    <w:rsid w:val="00A752EA"/>
    <w:rsid w:val="00A76883"/>
    <w:rsid w:val="00A8126B"/>
    <w:rsid w:val="00A8156B"/>
    <w:rsid w:val="00A81F07"/>
    <w:rsid w:val="00A92F3D"/>
    <w:rsid w:val="00A95B06"/>
    <w:rsid w:val="00A961E9"/>
    <w:rsid w:val="00A964F0"/>
    <w:rsid w:val="00AA591D"/>
    <w:rsid w:val="00AA7673"/>
    <w:rsid w:val="00AB34FF"/>
    <w:rsid w:val="00AB5A6F"/>
    <w:rsid w:val="00AC4AE2"/>
    <w:rsid w:val="00AC5E9B"/>
    <w:rsid w:val="00AC6727"/>
    <w:rsid w:val="00AC6F06"/>
    <w:rsid w:val="00AC7B0C"/>
    <w:rsid w:val="00AD08D5"/>
    <w:rsid w:val="00AD15C4"/>
    <w:rsid w:val="00AD196B"/>
    <w:rsid w:val="00AD32A7"/>
    <w:rsid w:val="00AD373D"/>
    <w:rsid w:val="00AE255A"/>
    <w:rsid w:val="00AE48DF"/>
    <w:rsid w:val="00AE5FED"/>
    <w:rsid w:val="00AF050A"/>
    <w:rsid w:val="00AF342A"/>
    <w:rsid w:val="00AF59B3"/>
    <w:rsid w:val="00B0250B"/>
    <w:rsid w:val="00B03567"/>
    <w:rsid w:val="00B05FEB"/>
    <w:rsid w:val="00B06D82"/>
    <w:rsid w:val="00B076E7"/>
    <w:rsid w:val="00B103D2"/>
    <w:rsid w:val="00B11352"/>
    <w:rsid w:val="00B11E2C"/>
    <w:rsid w:val="00B12F75"/>
    <w:rsid w:val="00B16E93"/>
    <w:rsid w:val="00B176DA"/>
    <w:rsid w:val="00B2531E"/>
    <w:rsid w:val="00B34036"/>
    <w:rsid w:val="00B363EB"/>
    <w:rsid w:val="00B375CF"/>
    <w:rsid w:val="00B46C8D"/>
    <w:rsid w:val="00B572E6"/>
    <w:rsid w:val="00B60055"/>
    <w:rsid w:val="00B66B2E"/>
    <w:rsid w:val="00B67859"/>
    <w:rsid w:val="00B720F6"/>
    <w:rsid w:val="00B7351B"/>
    <w:rsid w:val="00BA01C3"/>
    <w:rsid w:val="00BA150A"/>
    <w:rsid w:val="00BA1ADD"/>
    <w:rsid w:val="00BA28FD"/>
    <w:rsid w:val="00BA3EAD"/>
    <w:rsid w:val="00BC3A7B"/>
    <w:rsid w:val="00BC74B1"/>
    <w:rsid w:val="00BD3764"/>
    <w:rsid w:val="00BD38EF"/>
    <w:rsid w:val="00BD4F7D"/>
    <w:rsid w:val="00BD584D"/>
    <w:rsid w:val="00BE268B"/>
    <w:rsid w:val="00BF0FF1"/>
    <w:rsid w:val="00BF1697"/>
    <w:rsid w:val="00BF53D8"/>
    <w:rsid w:val="00BF773A"/>
    <w:rsid w:val="00C0190E"/>
    <w:rsid w:val="00C03067"/>
    <w:rsid w:val="00C06544"/>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1763"/>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547C"/>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36C0A"/>
    <w:rsid w:val="00D42512"/>
    <w:rsid w:val="00D43B52"/>
    <w:rsid w:val="00D45551"/>
    <w:rsid w:val="00D5095B"/>
    <w:rsid w:val="00D52504"/>
    <w:rsid w:val="00D53A87"/>
    <w:rsid w:val="00D5651D"/>
    <w:rsid w:val="00D738B5"/>
    <w:rsid w:val="00D73C3A"/>
    <w:rsid w:val="00D807BD"/>
    <w:rsid w:val="00D81E01"/>
    <w:rsid w:val="00D854FA"/>
    <w:rsid w:val="00D91650"/>
    <w:rsid w:val="00D919C2"/>
    <w:rsid w:val="00D91B1C"/>
    <w:rsid w:val="00D942EC"/>
    <w:rsid w:val="00D94F18"/>
    <w:rsid w:val="00D95933"/>
    <w:rsid w:val="00D96407"/>
    <w:rsid w:val="00D972AE"/>
    <w:rsid w:val="00DA12AF"/>
    <w:rsid w:val="00DA70B9"/>
    <w:rsid w:val="00DA79F8"/>
    <w:rsid w:val="00DB5EA7"/>
    <w:rsid w:val="00DB7564"/>
    <w:rsid w:val="00DC314E"/>
    <w:rsid w:val="00DC4A8C"/>
    <w:rsid w:val="00DC7E9E"/>
    <w:rsid w:val="00DD518A"/>
    <w:rsid w:val="00DE3D1B"/>
    <w:rsid w:val="00DE5B7C"/>
    <w:rsid w:val="00DE6083"/>
    <w:rsid w:val="00DF085B"/>
    <w:rsid w:val="00DF1A57"/>
    <w:rsid w:val="00E00E25"/>
    <w:rsid w:val="00E02F2E"/>
    <w:rsid w:val="00E0662F"/>
    <w:rsid w:val="00E1286D"/>
    <w:rsid w:val="00E14045"/>
    <w:rsid w:val="00E14850"/>
    <w:rsid w:val="00E26438"/>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B7760"/>
    <w:rsid w:val="00EC45EF"/>
    <w:rsid w:val="00EC5AE4"/>
    <w:rsid w:val="00EC61F0"/>
    <w:rsid w:val="00ED119A"/>
    <w:rsid w:val="00ED1FCF"/>
    <w:rsid w:val="00ED300D"/>
    <w:rsid w:val="00ED7AD3"/>
    <w:rsid w:val="00EE2E27"/>
    <w:rsid w:val="00EE5B62"/>
    <w:rsid w:val="00EE64E3"/>
    <w:rsid w:val="00EF332B"/>
    <w:rsid w:val="00EF6B7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DA4"/>
    <w:rsid w:val="00FC51DA"/>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4"/>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customStyle="1" w:styleId="tld-sibling-0-0-4">
    <w:name w:val="tld-sibling-0-0-4"/>
    <w:basedOn w:val="DefaultParagraphFont"/>
    <w:rsid w:val="00184B7A"/>
  </w:style>
  <w:style w:type="character" w:customStyle="1" w:styleId="ng-star-inserted">
    <w:name w:val="ng-star-inserted"/>
    <w:basedOn w:val="DefaultParagraphFont"/>
    <w:rsid w:val="00184B7A"/>
  </w:style>
  <w:style w:type="character" w:customStyle="1" w:styleId="tld-sibling-0-0-5">
    <w:name w:val="tld-sibling-0-0-5"/>
    <w:basedOn w:val="DefaultParagraphFont"/>
    <w:rsid w:val="00184B7A"/>
  </w:style>
  <w:style w:type="character" w:customStyle="1" w:styleId="tld-sibling-0-0-0">
    <w:name w:val="tld-sibling-0-0-0"/>
    <w:basedOn w:val="DefaultParagraphFont"/>
    <w:rsid w:val="00184B7A"/>
  </w:style>
  <w:style w:type="character" w:customStyle="1" w:styleId="tld-sibling-0-0-2">
    <w:name w:val="tld-sibling-0-0-2"/>
    <w:basedOn w:val="DefaultParagraphFont"/>
    <w:rsid w:val="00184B7A"/>
  </w:style>
  <w:style w:type="character" w:customStyle="1" w:styleId="tld-sibling-0-0-3">
    <w:name w:val="tld-sibling-0-0-3"/>
    <w:basedOn w:val="DefaultParagraphFont"/>
    <w:rsid w:val="00184B7A"/>
  </w:style>
  <w:style w:type="character" w:customStyle="1" w:styleId="tld-sibling-0-0-1">
    <w:name w:val="tld-sibling-0-0-1"/>
    <w:basedOn w:val="DefaultParagraphFont"/>
    <w:rsid w:val="00184B7A"/>
  </w:style>
  <w:style w:type="character" w:customStyle="1" w:styleId="tld-sibling-0-0-6">
    <w:name w:val="tld-sibling-0-0-6"/>
    <w:basedOn w:val="DefaultParagraphFont"/>
    <w:rsid w:val="00184B7A"/>
  </w:style>
  <w:style w:type="paragraph" w:customStyle="1" w:styleId="Default">
    <w:name w:val="Default"/>
    <w:rsid w:val="004D431F"/>
    <w:pPr>
      <w:autoSpaceDE w:val="0"/>
      <w:autoSpaceDN w:val="0"/>
      <w:adjustRightInd w:val="0"/>
      <w:spacing w:after="0" w:line="240" w:lineRule="auto"/>
    </w:pPr>
    <w:rPr>
      <w:rFonts w:ascii="Arial" w:hAnsi="Arial" w:cs="Arial"/>
      <w:color w:val="000000"/>
      <w:sz w:val="24"/>
      <w:szCs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2E3501"/>
    <w:rsid w:val="005A165C"/>
    <w:rsid w:val="00677B98"/>
    <w:rsid w:val="00736827"/>
    <w:rsid w:val="00973F05"/>
    <w:rsid w:val="00B86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OECDListFormCollapsible</Display>
  <Edit>OECDListFormCollapsible</Edit>
  <New>OECDListFormCollapsible</New>
</FormTemplates>
</file>

<file path=customXml/item2.xml><?xml version="1.0" encoding="utf-8"?>
<?mso-contentType ?>
<CtFieldPriority xmlns="http://www.oecd.org/eshare/projectsentre/CtFieldPriority/" xmlns:i="http://www.w3.org/2001/XMLSchema-instance">
  <PriorityFields xmlns:a="http://schemas.microsoft.com/2003/10/Serialization/Arrays"/>
</CtFieldPriority>
</file>

<file path=customXml/item3.xml><?xml version="1.0" encoding="utf-8"?>
<b:Sources xmlns:b="http://schemas.openxmlformats.org/officeDocument/2006/bibliography" xmlns="http://schemas.openxmlformats.org/officeDocument/2006/bibliography" SelectedStyle="\oecd-en.xsl" StyleName="OECD English" Version="20220221"/>
</file>

<file path=customXml/item4.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5.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Props1.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2.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3.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4.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5.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2DEFB22-C7B2-4CCB-9DED-924399FF6FC3}">
  <ds:schemaRefs>
    <ds:schemaRef ds:uri="http://schemas.microsoft.com/sharepoint/v4"/>
    <ds:schemaRef ds:uri="http://purl.org/dc/terms/"/>
    <ds:schemaRef ds:uri="ca82dde9-3436-4d3d-bddd-d31447390034"/>
    <ds:schemaRef ds:uri="http://www.w3.org/XML/1998/namespace"/>
    <ds:schemaRef ds:uri="54c4cd27-f286-408f-9ce0-33c1e0f3ab39"/>
    <ds:schemaRef ds:uri="http://schemas.microsoft.com/office/2006/documentManagement/types"/>
    <ds:schemaRef ds:uri="http://purl.org/dc/elements/1.1/"/>
    <ds:schemaRef ds:uri="c0e75541-f54f-401c-9a34-cb7fded40982"/>
    <ds:schemaRef ds:uri="http://purl.org/dc/dcmitype/"/>
    <ds:schemaRef ds:uri="http://schemas.microsoft.com/office/infopath/2007/PartnerControls"/>
    <ds:schemaRef ds:uri="http://schemas.openxmlformats.org/package/2006/metadata/core-properties"/>
    <ds:schemaRef ds:uri="c9f238dd-bb73-4aef-a7a5-d644ad823e52"/>
    <ds:schemaRef ds:uri="bbc7a7a3-1361-4a32-9a19-e150eb4da2b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33</TotalTime>
  <Pages>3</Pages>
  <Words>926</Words>
  <Characters>5746</Characters>
  <Application>Microsoft Office Word</Application>
  <DocSecurity>0</DocSecurity>
  <Lines>106</Lines>
  <Paragraphs>35</Paragraphs>
  <ScaleCrop>false</ScaleCrop>
  <HeadingPairs>
    <vt:vector size="2" baseType="variant">
      <vt:variant>
        <vt:lpstr>Title</vt:lpstr>
      </vt:variant>
      <vt:variant>
        <vt:i4>1</vt:i4>
      </vt:variant>
    </vt:vector>
  </HeadingPairs>
  <TitlesOfParts>
    <vt:vector size="1" baseType="lpstr">
      <vt:lpstr>Country profile prototype: ITALY</vt:lpstr>
    </vt:vector>
  </TitlesOfParts>
  <Company>OECD</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Latvia</dc:title>
  <dc:subject/>
  <dc:creator>CLAVREUL Delphine</dc:creator>
  <cp:keywords>DOCUMENT CODE</cp:keywords>
  <dc:description/>
  <cp:lastModifiedBy>CLAVREUL Delphine, CFE/RDG</cp:lastModifiedBy>
  <cp:revision>7</cp:revision>
  <dcterms:created xsi:type="dcterms:W3CDTF">2023-04-12T15:07:00Z</dcterms:created>
  <dcterms:modified xsi:type="dcterms:W3CDTF">2023-09-24T13:17:00Z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