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F0A5743" w:rsidR="00E73C65" w:rsidRPr="00D0294B" w:rsidRDefault="009266EC" w:rsidP="009C07F3">
      <w:pPr>
        <w:pStyle w:val="Title"/>
        <w:spacing w:after="960"/>
      </w:pPr>
      <w:r w:rsidRPr="00D0294B">
        <w:t>PO</w:t>
      </w:r>
      <w:r w:rsidR="001B5724" w:rsidRPr="00D0294B">
        <w:t>RTUGAL</w:t>
      </w:r>
    </w:p>
    <w:p w14:paraId="18BD9336" w14:textId="483D0871" w:rsidR="00594B16" w:rsidRPr="00D0294B" w:rsidRDefault="005317DE" w:rsidP="00EF6224">
      <w:pPr>
        <w:pStyle w:val="Heading2"/>
      </w:pPr>
      <w:r w:rsidRPr="00D0294B">
        <w:t>Overview</w:t>
      </w:r>
    </w:p>
    <w:tbl>
      <w:tblPr>
        <w:tblStyle w:val="OECD"/>
        <w:tblW w:w="4574" w:type="pct"/>
        <w:tblLook w:val="0420" w:firstRow="1" w:lastRow="0" w:firstColumn="0" w:lastColumn="0" w:noHBand="0" w:noVBand="1"/>
      </w:tblPr>
      <w:tblGrid>
        <w:gridCol w:w="2977"/>
        <w:gridCol w:w="5529"/>
      </w:tblGrid>
      <w:tr w:rsidR="00594B16" w:rsidRPr="00D0294B" w14:paraId="0453A63B" w14:textId="77777777" w:rsidTr="00C103B0">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419F9F61" w:rsidR="00594B16" w:rsidRPr="00D0294B" w:rsidRDefault="00594B16" w:rsidP="00AF050A">
            <w:pPr>
              <w:pStyle w:val="TableRow"/>
              <w:jc w:val="left"/>
              <w:rPr>
                <w:sz w:val="20"/>
                <w:lang w:val="en-GB"/>
              </w:rPr>
            </w:pPr>
            <w:r w:rsidRPr="00D0294B">
              <w:rPr>
                <w:sz w:val="20"/>
                <w:lang w:val="en-GB"/>
              </w:rPr>
              <w:t xml:space="preserve">Population </w:t>
            </w:r>
            <w:r w:rsidR="00B103D2" w:rsidRPr="00D0294B">
              <w:rPr>
                <w:i/>
                <w:iCs/>
                <w:sz w:val="20"/>
                <w:lang w:val="en-GB"/>
              </w:rPr>
              <w:t>(</w:t>
            </w:r>
            <w:r w:rsidR="00A108A8" w:rsidRPr="00D0294B">
              <w:rPr>
                <w:i/>
                <w:iCs/>
                <w:sz w:val="20"/>
                <w:lang w:val="en-GB"/>
              </w:rPr>
              <w:t>specify date)</w:t>
            </w:r>
            <w:r w:rsidR="00A108A8" w:rsidRPr="00D0294B">
              <w:rPr>
                <w:sz w:val="20"/>
                <w:lang w:val="en-GB"/>
              </w:rPr>
              <w:t xml:space="preserve"> </w:t>
            </w:r>
            <w:r w:rsidRPr="00D0294B">
              <w:rPr>
                <w:sz w:val="20"/>
                <w:lang w:val="en-GB"/>
              </w:rPr>
              <w:t xml:space="preserve">and territory </w:t>
            </w:r>
          </w:p>
        </w:tc>
        <w:tc>
          <w:tcPr>
            <w:tcW w:w="3250" w:type="pct"/>
          </w:tcPr>
          <w:p w14:paraId="190B1E47" w14:textId="71ACBD92" w:rsidR="00594B16" w:rsidRPr="00D0294B" w:rsidRDefault="00D27612" w:rsidP="00B103D2">
            <w:pPr>
              <w:pStyle w:val="TableRow"/>
              <w:jc w:val="left"/>
              <w:rPr>
                <w:sz w:val="20"/>
                <w:lang w:val="en-GB"/>
              </w:rPr>
            </w:pPr>
            <w:r w:rsidRPr="00D0294B">
              <w:rPr>
                <w:rFonts w:cs="Arial"/>
                <w:sz w:val="20"/>
              </w:rPr>
              <w:t>10.</w:t>
            </w:r>
            <w:r w:rsidR="00D10116" w:rsidRPr="00D0294B">
              <w:rPr>
                <w:rFonts w:cs="Arial"/>
                <w:sz w:val="20"/>
              </w:rPr>
              <w:t>352</w:t>
            </w:r>
            <w:r w:rsidRPr="00D0294B">
              <w:rPr>
                <w:rFonts w:cs="Arial"/>
                <w:sz w:val="20"/>
              </w:rPr>
              <w:t>.</w:t>
            </w:r>
            <w:r w:rsidR="00D10116" w:rsidRPr="00D0294B">
              <w:rPr>
                <w:rFonts w:cs="Arial"/>
                <w:sz w:val="20"/>
              </w:rPr>
              <w:t>042</w:t>
            </w:r>
            <w:r w:rsidRPr="00D0294B">
              <w:rPr>
                <w:rFonts w:cs="Arial"/>
                <w:sz w:val="20"/>
              </w:rPr>
              <w:t xml:space="preserve"> (</w:t>
            </w:r>
            <w:r w:rsidR="00D10116" w:rsidRPr="00D0294B">
              <w:rPr>
                <w:rFonts w:cs="Arial"/>
                <w:sz w:val="20"/>
              </w:rPr>
              <w:t xml:space="preserve">2021); </w:t>
            </w:r>
            <w:r w:rsidRPr="00D0294B">
              <w:rPr>
                <w:rFonts w:cs="Arial"/>
                <w:sz w:val="20"/>
              </w:rPr>
              <w:t>92.225,61 Km2</w:t>
            </w:r>
            <w:r w:rsidR="0055618E" w:rsidRPr="00D0294B">
              <w:rPr>
                <w:rFonts w:cs="Arial"/>
                <w:sz w:val="20"/>
              </w:rPr>
              <w:t>.</w:t>
            </w:r>
          </w:p>
        </w:tc>
      </w:tr>
      <w:tr w:rsidR="00594B16" w:rsidRPr="00D0294B" w14:paraId="5F444A04" w14:textId="77777777" w:rsidTr="00C103B0">
        <w:trPr>
          <w:trHeight w:val="238"/>
        </w:trPr>
        <w:tc>
          <w:tcPr>
            <w:tcW w:w="1750" w:type="pct"/>
          </w:tcPr>
          <w:p w14:paraId="181CC701" w14:textId="7D968577" w:rsidR="00594B16" w:rsidRPr="00D0294B" w:rsidRDefault="00594B16" w:rsidP="005317DE">
            <w:pPr>
              <w:pStyle w:val="TableRow"/>
              <w:jc w:val="left"/>
              <w:rPr>
                <w:sz w:val="20"/>
                <w:lang w:val="en-GB"/>
              </w:rPr>
            </w:pPr>
            <w:r w:rsidRPr="00D0294B">
              <w:rPr>
                <w:sz w:val="20"/>
                <w:lang w:val="en-GB"/>
              </w:rPr>
              <w:t>Administrative structure</w:t>
            </w:r>
            <w:r w:rsidR="00A108A8" w:rsidRPr="00D0294B">
              <w:rPr>
                <w:sz w:val="20"/>
                <w:lang w:val="en-GB"/>
              </w:rPr>
              <w:t xml:space="preserve"> </w:t>
            </w:r>
            <w:r w:rsidR="00A108A8" w:rsidRPr="00D0294B">
              <w:rPr>
                <w:rFonts w:cs="Arial"/>
                <w:i/>
                <w:iCs/>
                <w:sz w:val="20"/>
              </w:rPr>
              <w:t>(unitary/federal)</w:t>
            </w:r>
          </w:p>
        </w:tc>
        <w:tc>
          <w:tcPr>
            <w:tcW w:w="3250" w:type="pct"/>
          </w:tcPr>
          <w:p w14:paraId="230B333A" w14:textId="446F0201" w:rsidR="00B60055" w:rsidRPr="00D0294B" w:rsidRDefault="00D27612" w:rsidP="00B60055">
            <w:pPr>
              <w:pStyle w:val="TableCell"/>
              <w:jc w:val="left"/>
              <w:rPr>
                <w:sz w:val="20"/>
                <w:lang w:val="en-GB"/>
              </w:rPr>
            </w:pPr>
            <w:r w:rsidRPr="00D0294B">
              <w:rPr>
                <w:sz w:val="20"/>
                <w:lang w:val="en-GB"/>
              </w:rPr>
              <w:t>Unitary country</w:t>
            </w:r>
            <w:r w:rsidR="0055618E" w:rsidRPr="00D0294B">
              <w:rPr>
                <w:sz w:val="20"/>
                <w:lang w:val="en-GB"/>
              </w:rPr>
              <w:t>.</w:t>
            </w:r>
          </w:p>
        </w:tc>
      </w:tr>
      <w:tr w:rsidR="00B103D2" w:rsidRPr="00D0294B" w14:paraId="6A1167E9" w14:textId="77777777" w:rsidTr="00C103B0">
        <w:trPr>
          <w:trHeight w:val="238"/>
        </w:trPr>
        <w:tc>
          <w:tcPr>
            <w:tcW w:w="1750" w:type="pct"/>
          </w:tcPr>
          <w:p w14:paraId="7F455AD5" w14:textId="7B3E72E3" w:rsidR="00B103D2" w:rsidRPr="00D0294B" w:rsidRDefault="00B103D2" w:rsidP="00B103D2">
            <w:pPr>
              <w:pStyle w:val="TableRow"/>
              <w:jc w:val="right"/>
              <w:rPr>
                <w:sz w:val="20"/>
                <w:lang w:val="en-GB"/>
              </w:rPr>
            </w:pPr>
            <w:r w:rsidRPr="00D0294B">
              <w:rPr>
                <w:rFonts w:asciiTheme="majorHAnsi" w:hAnsiTheme="majorHAnsi"/>
                <w:sz w:val="20"/>
                <w:lang w:val="en-GB"/>
              </w:rPr>
              <w:t xml:space="preserve">Regional or state-level governments </w:t>
            </w:r>
            <w:r w:rsidRPr="00D0294B">
              <w:rPr>
                <w:rFonts w:asciiTheme="majorHAnsi" w:hAnsiTheme="majorHAnsi"/>
                <w:i/>
                <w:iCs/>
                <w:sz w:val="20"/>
                <w:lang w:val="en-GB"/>
              </w:rPr>
              <w:t>(number)</w:t>
            </w:r>
          </w:p>
        </w:tc>
        <w:tc>
          <w:tcPr>
            <w:tcW w:w="3250" w:type="pct"/>
          </w:tcPr>
          <w:p w14:paraId="22BA8F1F" w14:textId="69C1A1F4" w:rsidR="00B103D2" w:rsidRPr="00D0294B" w:rsidRDefault="00D27612" w:rsidP="00B103D2">
            <w:pPr>
              <w:pStyle w:val="TableCell"/>
              <w:jc w:val="left"/>
              <w:rPr>
                <w:sz w:val="20"/>
                <w:lang w:val="en-GB"/>
              </w:rPr>
            </w:pPr>
            <w:r w:rsidRPr="00D0294B">
              <w:rPr>
                <w:sz w:val="20"/>
                <w:lang w:val="en-GB"/>
              </w:rPr>
              <w:t>2 Autonomous Regions</w:t>
            </w:r>
            <w:r w:rsidR="00D10116" w:rsidRPr="00D0294B">
              <w:rPr>
                <w:sz w:val="20"/>
                <w:lang w:val="en-GB"/>
              </w:rPr>
              <w:t xml:space="preserve"> (“Regiões Autónomas”)</w:t>
            </w:r>
            <w:r w:rsidR="0055618E" w:rsidRPr="00D0294B">
              <w:rPr>
                <w:sz w:val="20"/>
                <w:lang w:val="en-GB"/>
              </w:rPr>
              <w:t>.</w:t>
            </w:r>
          </w:p>
        </w:tc>
      </w:tr>
      <w:tr w:rsidR="00B103D2" w:rsidRPr="00D0294B" w14:paraId="0C8C2A89" w14:textId="77777777" w:rsidTr="00C103B0">
        <w:trPr>
          <w:trHeight w:val="238"/>
        </w:trPr>
        <w:tc>
          <w:tcPr>
            <w:tcW w:w="1750" w:type="pct"/>
          </w:tcPr>
          <w:p w14:paraId="38CC32B5" w14:textId="324D25A5" w:rsidR="00B103D2" w:rsidRPr="00D0294B" w:rsidRDefault="00B103D2" w:rsidP="00B103D2">
            <w:pPr>
              <w:pStyle w:val="TableRow"/>
              <w:jc w:val="right"/>
              <w:rPr>
                <w:sz w:val="20"/>
                <w:lang w:val="en-GB"/>
              </w:rPr>
            </w:pPr>
            <w:r w:rsidRPr="00D0294B">
              <w:rPr>
                <w:rFonts w:asciiTheme="majorHAnsi" w:hAnsiTheme="majorHAnsi"/>
                <w:sz w:val="20"/>
                <w:lang w:val="en-GB"/>
              </w:rPr>
              <w:t xml:space="preserve">Intermediate-level governments </w:t>
            </w:r>
            <w:r w:rsidRPr="00D0294B">
              <w:rPr>
                <w:rFonts w:asciiTheme="majorHAnsi" w:hAnsiTheme="majorHAnsi"/>
                <w:i/>
                <w:iCs/>
                <w:sz w:val="20"/>
                <w:lang w:val="en-GB"/>
              </w:rPr>
              <w:t>(number)</w:t>
            </w:r>
          </w:p>
        </w:tc>
        <w:tc>
          <w:tcPr>
            <w:tcW w:w="3250" w:type="pct"/>
          </w:tcPr>
          <w:p w14:paraId="0CC21429" w14:textId="6F0D70D3" w:rsidR="00B103D2" w:rsidRPr="00D0294B" w:rsidRDefault="00D27612" w:rsidP="00B103D2">
            <w:pPr>
              <w:pStyle w:val="TableCell"/>
              <w:jc w:val="left"/>
              <w:rPr>
                <w:sz w:val="20"/>
                <w:lang w:val="en-GB"/>
              </w:rPr>
            </w:pPr>
            <w:r w:rsidRPr="00D0294B">
              <w:rPr>
                <w:rFonts w:cs="Arial"/>
                <w:sz w:val="20"/>
              </w:rPr>
              <w:t>---</w:t>
            </w:r>
          </w:p>
        </w:tc>
      </w:tr>
      <w:tr w:rsidR="00B103D2" w:rsidRPr="00D0294B" w14:paraId="469B7188" w14:textId="77777777" w:rsidTr="00C103B0">
        <w:trPr>
          <w:trHeight w:val="238"/>
        </w:trPr>
        <w:tc>
          <w:tcPr>
            <w:tcW w:w="1750" w:type="pct"/>
          </w:tcPr>
          <w:p w14:paraId="5222F5C1" w14:textId="17419874" w:rsidR="00B103D2" w:rsidRPr="00D0294B" w:rsidRDefault="00B103D2" w:rsidP="00B103D2">
            <w:pPr>
              <w:pStyle w:val="TableRow"/>
              <w:jc w:val="right"/>
              <w:rPr>
                <w:sz w:val="20"/>
                <w:lang w:val="en-GB"/>
              </w:rPr>
            </w:pPr>
            <w:r w:rsidRPr="00D0294B">
              <w:rPr>
                <w:rFonts w:asciiTheme="majorHAnsi" w:hAnsiTheme="majorHAnsi"/>
                <w:sz w:val="20"/>
                <w:lang w:val="en-GB"/>
              </w:rPr>
              <w:t xml:space="preserve">Municipal-level governments </w:t>
            </w:r>
            <w:r w:rsidRPr="00D0294B">
              <w:rPr>
                <w:rFonts w:asciiTheme="majorHAnsi" w:hAnsiTheme="majorHAnsi"/>
                <w:i/>
                <w:iCs/>
                <w:sz w:val="20"/>
                <w:lang w:val="en-GB"/>
              </w:rPr>
              <w:t>(number)</w:t>
            </w:r>
          </w:p>
        </w:tc>
        <w:tc>
          <w:tcPr>
            <w:tcW w:w="3250" w:type="pct"/>
          </w:tcPr>
          <w:p w14:paraId="223AD8CA" w14:textId="451C4CF8" w:rsidR="00B103D2" w:rsidRPr="00D0294B" w:rsidRDefault="00D27612" w:rsidP="00B103D2">
            <w:pPr>
              <w:pStyle w:val="TableCell"/>
              <w:jc w:val="left"/>
              <w:rPr>
                <w:sz w:val="20"/>
                <w:lang w:val="en-GB"/>
              </w:rPr>
            </w:pPr>
            <w:r w:rsidRPr="00D0294B">
              <w:rPr>
                <w:rFonts w:cs="Arial"/>
                <w:sz w:val="20"/>
              </w:rPr>
              <w:t>308 municipalities (</w:t>
            </w:r>
            <w:r w:rsidR="00CB14E3" w:rsidRPr="00D0294B">
              <w:rPr>
                <w:rFonts w:cs="Arial"/>
                <w:sz w:val="20"/>
              </w:rPr>
              <w:t xml:space="preserve">of which: </w:t>
            </w:r>
            <w:r w:rsidRPr="00D0294B">
              <w:rPr>
                <w:rFonts w:cs="Arial"/>
                <w:sz w:val="20"/>
              </w:rPr>
              <w:t>278 in mainland</w:t>
            </w:r>
            <w:r w:rsidR="00CB14E3" w:rsidRPr="00D0294B">
              <w:rPr>
                <w:rFonts w:cs="Arial"/>
                <w:sz w:val="20"/>
              </w:rPr>
              <w:t>, 19 in RA Azores and 11 in RA Madeira)</w:t>
            </w:r>
            <w:r w:rsidR="0055618E" w:rsidRPr="00D0294B">
              <w:rPr>
                <w:rFonts w:cs="Arial"/>
                <w:sz w:val="20"/>
              </w:rPr>
              <w:t>.</w:t>
            </w:r>
          </w:p>
        </w:tc>
      </w:tr>
      <w:tr w:rsidR="00594B16" w:rsidRPr="00D0294B" w14:paraId="052D3ED4" w14:textId="77777777" w:rsidTr="00C103B0">
        <w:trPr>
          <w:trHeight w:val="238"/>
        </w:trPr>
        <w:tc>
          <w:tcPr>
            <w:tcW w:w="1750" w:type="pct"/>
          </w:tcPr>
          <w:p w14:paraId="2EA71AAA" w14:textId="5C32D207" w:rsidR="00594B16" w:rsidRPr="00D0294B" w:rsidRDefault="00594B16" w:rsidP="005317DE">
            <w:pPr>
              <w:pStyle w:val="TableRow"/>
              <w:jc w:val="left"/>
              <w:rPr>
                <w:sz w:val="20"/>
                <w:lang w:val="en-GB"/>
              </w:rPr>
            </w:pPr>
            <w:r w:rsidRPr="00D0294B">
              <w:rPr>
                <w:sz w:val="20"/>
                <w:lang w:val="en-GB"/>
              </w:rPr>
              <w:t xml:space="preserve">Share of subnational government in total </w:t>
            </w:r>
            <w:r w:rsidR="00306BB7" w:rsidRPr="00D0294B">
              <w:rPr>
                <w:sz w:val="20"/>
                <w:lang w:val="en-GB"/>
              </w:rPr>
              <w:t>expenditure</w:t>
            </w:r>
            <w:r w:rsidRPr="00D0294B">
              <w:rPr>
                <w:sz w:val="20"/>
                <w:lang w:val="en-GB"/>
              </w:rPr>
              <w:t>/revenues</w:t>
            </w:r>
            <w:r w:rsidR="00FD7A29">
              <w:rPr>
                <w:sz w:val="20"/>
                <w:lang w:val="en-GB"/>
              </w:rPr>
              <w:t xml:space="preserve"> (2021)</w:t>
            </w:r>
          </w:p>
        </w:tc>
        <w:tc>
          <w:tcPr>
            <w:tcW w:w="3250" w:type="pct"/>
          </w:tcPr>
          <w:p w14:paraId="39D6FD92" w14:textId="2E4FAE97" w:rsidR="00FD7A29" w:rsidRPr="00951EED" w:rsidRDefault="00FD7A29" w:rsidP="00FD7A29">
            <w:pPr>
              <w:widowControl/>
              <w:jc w:val="left"/>
              <w:rPr>
                <w:sz w:val="20"/>
                <w:lang w:val="en-GB"/>
              </w:rPr>
            </w:pPr>
            <w:r>
              <w:rPr>
                <w:sz w:val="20"/>
                <w:lang w:val="en-GB"/>
              </w:rPr>
              <w:t>14.5</w:t>
            </w:r>
            <w:r w:rsidRPr="00951EED">
              <w:rPr>
                <w:sz w:val="20"/>
                <w:lang w:val="en-GB"/>
              </w:rPr>
              <w:t>% of total expenditure</w:t>
            </w:r>
          </w:p>
          <w:p w14:paraId="07CA9F29" w14:textId="7B3144B2" w:rsidR="00FD7A29" w:rsidRPr="00951EED" w:rsidRDefault="00FD7A29" w:rsidP="00FD7A29">
            <w:pPr>
              <w:widowControl/>
              <w:jc w:val="left"/>
              <w:rPr>
                <w:sz w:val="20"/>
                <w:lang w:val="en-GB"/>
              </w:rPr>
            </w:pPr>
            <w:r>
              <w:rPr>
                <w:sz w:val="20"/>
                <w:lang w:val="en-GB"/>
              </w:rPr>
              <w:t>14</w:t>
            </w:r>
            <w:r w:rsidRPr="00951EED">
              <w:rPr>
                <w:sz w:val="20"/>
                <w:lang w:val="en-GB"/>
              </w:rPr>
              <w:t>.8% of total revenues</w:t>
            </w:r>
          </w:p>
          <w:p w14:paraId="0348A890" w14:textId="77777777" w:rsidR="00FD7A29" w:rsidRPr="00951EED" w:rsidRDefault="00FD7A29" w:rsidP="00FD7A29">
            <w:pPr>
              <w:widowControl/>
              <w:jc w:val="left"/>
              <w:rPr>
                <w:sz w:val="20"/>
                <w:lang w:val="en-GB"/>
              </w:rPr>
            </w:pPr>
          </w:p>
          <w:p w14:paraId="5BB6B1BD" w14:textId="1577466D" w:rsidR="00AE7EA9" w:rsidRPr="00D0294B" w:rsidRDefault="00FD7A29" w:rsidP="00FD7A29">
            <w:pPr>
              <w:pStyle w:val="TableCell"/>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0294B" w14:paraId="00042320" w14:textId="77777777" w:rsidTr="00C103B0">
        <w:trPr>
          <w:trHeight w:val="238"/>
        </w:trPr>
        <w:tc>
          <w:tcPr>
            <w:tcW w:w="1750" w:type="pct"/>
          </w:tcPr>
          <w:p w14:paraId="1E3CC064" w14:textId="770297BD" w:rsidR="00594B16" w:rsidRPr="00D0294B" w:rsidRDefault="005317DE" w:rsidP="005317DE">
            <w:pPr>
              <w:pStyle w:val="TableRow"/>
              <w:jc w:val="left"/>
              <w:rPr>
                <w:sz w:val="20"/>
                <w:lang w:val="en-GB"/>
              </w:rPr>
            </w:pPr>
            <w:r w:rsidRPr="00D0294B">
              <w:rPr>
                <w:sz w:val="20"/>
                <w:lang w:val="en-GB"/>
              </w:rPr>
              <w:t xml:space="preserve">Key </w:t>
            </w:r>
            <w:r w:rsidR="00B103D2" w:rsidRPr="00D0294B">
              <w:rPr>
                <w:sz w:val="20"/>
                <w:lang w:val="en-GB"/>
              </w:rPr>
              <w:t xml:space="preserve">regional development </w:t>
            </w:r>
            <w:r w:rsidRPr="00D0294B">
              <w:rPr>
                <w:sz w:val="20"/>
                <w:lang w:val="en-GB"/>
              </w:rPr>
              <w:t>challenges</w:t>
            </w:r>
          </w:p>
        </w:tc>
        <w:tc>
          <w:tcPr>
            <w:tcW w:w="3250" w:type="pct"/>
          </w:tcPr>
          <w:p w14:paraId="37AA543D" w14:textId="2F13BFCD" w:rsidR="003540CF"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381E69" w:rsidRPr="00D0294B">
              <w:rPr>
                <w:sz w:val="20"/>
                <w:lang w:val="en-GB"/>
              </w:rPr>
              <w:t xml:space="preserve">The competitiveness and </w:t>
            </w:r>
            <w:r w:rsidR="003540CF" w:rsidRPr="00D0294B">
              <w:rPr>
                <w:sz w:val="20"/>
                <w:lang w:val="en-GB"/>
              </w:rPr>
              <w:t>inclusive and sustainable growth in all regions.</w:t>
            </w:r>
          </w:p>
          <w:p w14:paraId="743904A5" w14:textId="02CB53C1" w:rsidR="00A15EA2"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1214BB" w:rsidRPr="00D0294B">
              <w:rPr>
                <w:sz w:val="20"/>
                <w:lang w:val="en-GB"/>
              </w:rPr>
              <w:t>Regional disparities between coastal areas (including the 2 metropolitan areas) and the inland with low</w:t>
            </w:r>
            <w:r w:rsidR="002C0ED1" w:rsidRPr="00D0294B">
              <w:rPr>
                <w:sz w:val="20"/>
                <w:lang w:val="en-GB"/>
              </w:rPr>
              <w:t xml:space="preserve"> </w:t>
            </w:r>
            <w:r w:rsidR="001214BB" w:rsidRPr="00D0294B">
              <w:rPr>
                <w:sz w:val="20"/>
                <w:lang w:val="en-GB"/>
              </w:rPr>
              <w:t xml:space="preserve">density </w:t>
            </w:r>
            <w:r w:rsidR="002C0ED1" w:rsidRPr="00D0294B">
              <w:rPr>
                <w:sz w:val="20"/>
                <w:lang w:val="en-GB"/>
              </w:rPr>
              <w:t>of</w:t>
            </w:r>
            <w:r w:rsidR="001214BB" w:rsidRPr="00D0294B">
              <w:rPr>
                <w:sz w:val="20"/>
                <w:lang w:val="en-GB"/>
              </w:rPr>
              <w:t xml:space="preserve"> population</w:t>
            </w:r>
            <w:r w:rsidR="00CB14E3" w:rsidRPr="00D0294B">
              <w:rPr>
                <w:sz w:val="20"/>
                <w:lang w:val="en-GB"/>
              </w:rPr>
              <w:t>,</w:t>
            </w:r>
            <w:r w:rsidR="001214BB" w:rsidRPr="00D0294B">
              <w:rPr>
                <w:sz w:val="20"/>
                <w:lang w:val="en-GB"/>
              </w:rPr>
              <w:t xml:space="preserve"> economic </w:t>
            </w:r>
            <w:r w:rsidR="0055618E" w:rsidRPr="00D0294B">
              <w:rPr>
                <w:sz w:val="20"/>
                <w:lang w:val="en-GB"/>
              </w:rPr>
              <w:t>activity,</w:t>
            </w:r>
            <w:r w:rsidR="00CB14E3" w:rsidRPr="00D0294B">
              <w:rPr>
                <w:sz w:val="20"/>
                <w:lang w:val="en-GB"/>
              </w:rPr>
              <w:t xml:space="preserve"> and broadband infrastru</w:t>
            </w:r>
            <w:r w:rsidR="0055618E" w:rsidRPr="00D0294B">
              <w:rPr>
                <w:sz w:val="20"/>
                <w:lang w:val="en-GB"/>
              </w:rPr>
              <w:t>c</w:t>
            </w:r>
            <w:r w:rsidR="00CB14E3" w:rsidRPr="00D0294B">
              <w:rPr>
                <w:sz w:val="20"/>
                <w:lang w:val="en-GB"/>
              </w:rPr>
              <w:t>ture</w:t>
            </w:r>
            <w:r w:rsidR="002C0ED1" w:rsidRPr="00D0294B">
              <w:rPr>
                <w:sz w:val="20"/>
                <w:lang w:val="en-GB"/>
              </w:rPr>
              <w:t>.</w:t>
            </w:r>
          </w:p>
          <w:p w14:paraId="4F24C2E4" w14:textId="2F4CC204" w:rsidR="001214BB"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1214BB" w:rsidRPr="00D0294B">
              <w:rPr>
                <w:sz w:val="20"/>
                <w:lang w:val="en-GB"/>
              </w:rPr>
              <w:t>Increasing ageing and depopulation</w:t>
            </w:r>
            <w:r w:rsidR="002C0ED1" w:rsidRPr="00D0294B">
              <w:rPr>
                <w:sz w:val="20"/>
                <w:lang w:val="en-GB"/>
              </w:rPr>
              <w:t xml:space="preserve">, </w:t>
            </w:r>
            <w:r w:rsidR="00CB14E3" w:rsidRPr="00D0294B">
              <w:rPr>
                <w:sz w:val="20"/>
                <w:lang w:val="en-GB"/>
              </w:rPr>
              <w:t>also impacting</w:t>
            </w:r>
            <w:r w:rsidR="002C0ED1" w:rsidRPr="00D0294B">
              <w:rPr>
                <w:sz w:val="20"/>
                <w:lang w:val="en-GB"/>
              </w:rPr>
              <w:t xml:space="preserve"> the urban centres.</w:t>
            </w:r>
          </w:p>
          <w:p w14:paraId="748FD6A2" w14:textId="2F8D91E4" w:rsidR="00713F63" w:rsidRPr="00D0294B" w:rsidRDefault="00C103B0" w:rsidP="00C103B0">
            <w:pPr>
              <w:pStyle w:val="TableCell"/>
              <w:jc w:val="left"/>
              <w:rPr>
                <w:sz w:val="20"/>
              </w:rPr>
            </w:pPr>
            <w:r w:rsidRPr="00662535">
              <w:rPr>
                <w:rFonts w:asciiTheme="majorHAnsi" w:hAnsiTheme="majorHAnsi"/>
                <w:sz w:val="20"/>
                <w:lang w:val="en-GB"/>
              </w:rPr>
              <w:t xml:space="preserve">• </w:t>
            </w:r>
            <w:r w:rsidR="002C0ED1" w:rsidRPr="00D0294B">
              <w:rPr>
                <w:sz w:val="20"/>
              </w:rPr>
              <w:t xml:space="preserve">Delegation of competences to CCDR </w:t>
            </w:r>
            <w:r w:rsidR="003C1516" w:rsidRPr="00D0294B">
              <w:rPr>
                <w:sz w:val="20"/>
              </w:rPr>
              <w:t>(</w:t>
            </w:r>
            <w:r w:rsidR="00815EF9" w:rsidRPr="00815EF9">
              <w:rPr>
                <w:sz w:val="20"/>
              </w:rPr>
              <w:t>DL n.º 36/2023</w:t>
            </w:r>
            <w:r w:rsidR="003C1516" w:rsidRPr="00D0294B">
              <w:rPr>
                <w:sz w:val="20"/>
                <w:lang w:val="en-GB"/>
              </w:rPr>
              <w:t xml:space="preserve">) </w:t>
            </w:r>
            <w:r w:rsidR="002C0ED1" w:rsidRPr="00D0294B">
              <w:rPr>
                <w:sz w:val="20"/>
                <w:lang w:val="en-GB"/>
              </w:rPr>
              <w:t>and a</w:t>
            </w:r>
            <w:r w:rsidR="00CB14E3" w:rsidRPr="00D0294B">
              <w:rPr>
                <w:sz w:val="20"/>
                <w:lang w:val="en-GB"/>
              </w:rPr>
              <w:t>n</w:t>
            </w:r>
            <w:r w:rsidR="002C0ED1" w:rsidRPr="00D0294B">
              <w:rPr>
                <w:sz w:val="20"/>
                <w:lang w:val="en-GB"/>
              </w:rPr>
              <w:t xml:space="preserve"> </w:t>
            </w:r>
            <w:r w:rsidR="00CB14E3" w:rsidRPr="00D0294B">
              <w:rPr>
                <w:sz w:val="20"/>
                <w:lang w:val="en-GB"/>
              </w:rPr>
              <w:t xml:space="preserve">ongoing </w:t>
            </w:r>
            <w:r w:rsidR="002C0ED1" w:rsidRPr="00D0294B">
              <w:rPr>
                <w:sz w:val="20"/>
                <w:lang w:val="en-GB"/>
              </w:rPr>
              <w:t>decentralization process from central government to municipalities</w:t>
            </w:r>
            <w:r w:rsidR="0055618E" w:rsidRPr="00D0294B">
              <w:rPr>
                <w:sz w:val="20"/>
                <w:lang w:val="en-GB"/>
              </w:rPr>
              <w:t>.</w:t>
            </w:r>
          </w:p>
          <w:p w14:paraId="01E6AAD8" w14:textId="5F671973" w:rsidR="00713F63"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713F63" w:rsidRPr="00D0294B">
              <w:rPr>
                <w:sz w:val="20"/>
              </w:rPr>
              <w:t>Implementing efficient multi-level governance systems.</w:t>
            </w:r>
          </w:p>
          <w:p w14:paraId="1BAD7AD2" w14:textId="4D2BA110" w:rsidR="003540CF"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3540CF" w:rsidRPr="00D0294B">
              <w:rPr>
                <w:sz w:val="20"/>
                <w:lang w:val="en-GB"/>
              </w:rPr>
              <w:t>The capacity gaps for ne</w:t>
            </w:r>
            <w:r w:rsidR="00512445" w:rsidRPr="00D0294B">
              <w:rPr>
                <w:sz w:val="20"/>
                <w:lang w:val="en-GB"/>
              </w:rPr>
              <w:t>w competences and new models of delivering policies.</w:t>
            </w:r>
          </w:p>
        </w:tc>
      </w:tr>
      <w:tr w:rsidR="00594B16" w:rsidRPr="00D0294B" w14:paraId="60D8C1E4" w14:textId="77777777" w:rsidTr="00C103B0">
        <w:trPr>
          <w:trHeight w:val="238"/>
        </w:trPr>
        <w:tc>
          <w:tcPr>
            <w:tcW w:w="1750" w:type="pct"/>
          </w:tcPr>
          <w:p w14:paraId="39C429F7" w14:textId="72D388CD" w:rsidR="00594B16" w:rsidRPr="00D0294B" w:rsidRDefault="005317DE" w:rsidP="005317DE">
            <w:pPr>
              <w:pStyle w:val="TableRow"/>
              <w:jc w:val="left"/>
              <w:rPr>
                <w:sz w:val="20"/>
                <w:lang w:val="en-GB"/>
              </w:rPr>
            </w:pPr>
            <w:r w:rsidRPr="00D0294B">
              <w:rPr>
                <w:sz w:val="20"/>
                <w:lang w:val="en-GB"/>
              </w:rPr>
              <w:t>Objectives of regional policy</w:t>
            </w:r>
          </w:p>
        </w:tc>
        <w:tc>
          <w:tcPr>
            <w:tcW w:w="3250" w:type="pct"/>
          </w:tcPr>
          <w:p w14:paraId="36C593AD" w14:textId="57F23DFF" w:rsidR="00BC038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BC0389" w:rsidRPr="00D0294B">
              <w:rPr>
                <w:sz w:val="20"/>
                <w:lang w:val="en-GB"/>
              </w:rPr>
              <w:t>Enhancing the regional attractiveness and competitiveness to improve inclusive and sustainable growth for all regions</w:t>
            </w:r>
            <w:r w:rsidR="0003076E" w:rsidRPr="00D0294B">
              <w:rPr>
                <w:sz w:val="20"/>
                <w:lang w:val="en-GB"/>
              </w:rPr>
              <w:t>, notably promoting the endogenous resources and products</w:t>
            </w:r>
            <w:r w:rsidR="005B2A40" w:rsidRPr="00D0294B">
              <w:rPr>
                <w:sz w:val="20"/>
                <w:lang w:val="en-GB"/>
              </w:rPr>
              <w:t>, but also diversifying the economic base</w:t>
            </w:r>
            <w:r w:rsidR="00BC0389" w:rsidRPr="00D0294B">
              <w:rPr>
                <w:sz w:val="20"/>
                <w:lang w:val="en-GB"/>
              </w:rPr>
              <w:t>.</w:t>
            </w:r>
          </w:p>
          <w:p w14:paraId="5D775B03" w14:textId="064271B9"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2C0ED1" w:rsidRPr="00D0294B">
              <w:rPr>
                <w:sz w:val="20"/>
                <w:lang w:val="en-GB"/>
              </w:rPr>
              <w:t>I</w:t>
            </w:r>
            <w:r w:rsidR="004F0C12" w:rsidRPr="00D0294B">
              <w:rPr>
                <w:sz w:val="20"/>
                <w:lang w:val="en-GB"/>
              </w:rPr>
              <w:t>ncrease</w:t>
            </w:r>
            <w:r w:rsidR="002C0ED1" w:rsidRPr="00D0294B">
              <w:rPr>
                <w:sz w:val="20"/>
                <w:lang w:val="en-GB"/>
              </w:rPr>
              <w:t xml:space="preserve"> territorial cohesion between regions and within metropolitan areas by </w:t>
            </w:r>
            <w:r w:rsidR="009224C7" w:rsidRPr="00D0294B">
              <w:rPr>
                <w:sz w:val="20"/>
                <w:lang w:val="en-GB"/>
              </w:rPr>
              <w:t xml:space="preserve">reducing </w:t>
            </w:r>
            <w:r w:rsidR="001B01FE" w:rsidRPr="00D0294B">
              <w:rPr>
                <w:sz w:val="20"/>
                <w:lang w:val="en-GB"/>
              </w:rPr>
              <w:t xml:space="preserve">the economic and social </w:t>
            </w:r>
            <w:r w:rsidR="009224C7" w:rsidRPr="00D0294B">
              <w:rPr>
                <w:sz w:val="20"/>
                <w:lang w:val="en-GB"/>
              </w:rPr>
              <w:t>regional and intra-regional disparities</w:t>
            </w:r>
            <w:r w:rsidR="00651AA2" w:rsidRPr="00D0294B">
              <w:rPr>
                <w:sz w:val="20"/>
                <w:lang w:val="en-GB"/>
              </w:rPr>
              <w:t xml:space="preserve">, taking into account the demographic </w:t>
            </w:r>
            <w:r w:rsidR="00C26135" w:rsidRPr="00D0294B">
              <w:rPr>
                <w:sz w:val="20"/>
                <w:lang w:val="en-GB"/>
              </w:rPr>
              <w:t>challenges</w:t>
            </w:r>
            <w:r w:rsidR="00BF7C15" w:rsidRPr="00D0294B">
              <w:rPr>
                <w:sz w:val="20"/>
                <w:lang w:val="en-GB"/>
              </w:rPr>
              <w:t>.</w:t>
            </w:r>
            <w:r w:rsidR="009224C7" w:rsidRPr="00D0294B">
              <w:rPr>
                <w:sz w:val="20"/>
                <w:lang w:val="en-GB"/>
              </w:rPr>
              <w:t xml:space="preserve"> </w:t>
            </w:r>
          </w:p>
          <w:p w14:paraId="3568C360" w14:textId="0FBA9C91" w:rsidR="00CB14E3"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14E3" w:rsidRPr="00D0294B">
              <w:rPr>
                <w:sz w:val="20"/>
                <w:lang w:val="en-GB"/>
              </w:rPr>
              <w:t>Enhance the double transition (energy and digital)</w:t>
            </w:r>
            <w:r w:rsidR="0055618E" w:rsidRPr="00D0294B">
              <w:rPr>
                <w:sz w:val="20"/>
                <w:lang w:val="en-GB"/>
              </w:rPr>
              <w:t>.</w:t>
            </w:r>
          </w:p>
          <w:p w14:paraId="358AAA12" w14:textId="19B705FB" w:rsidR="002C0ED1"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9224C7" w:rsidRPr="00D0294B">
              <w:rPr>
                <w:sz w:val="20"/>
                <w:lang w:val="en-GB"/>
              </w:rPr>
              <w:t xml:space="preserve">Promote capacity building </w:t>
            </w:r>
            <w:r w:rsidR="00C26135" w:rsidRPr="00D0294B">
              <w:rPr>
                <w:sz w:val="20"/>
                <w:lang w:val="en-GB"/>
              </w:rPr>
              <w:t xml:space="preserve">at </w:t>
            </w:r>
            <w:r w:rsidR="009224C7" w:rsidRPr="00D0294B">
              <w:rPr>
                <w:sz w:val="20"/>
                <w:lang w:val="en-GB"/>
              </w:rPr>
              <w:t>all levels of administration.</w:t>
            </w:r>
          </w:p>
        </w:tc>
      </w:tr>
      <w:tr w:rsidR="00594B16" w:rsidRPr="00D0294B" w14:paraId="0A562549" w14:textId="77777777" w:rsidTr="00C103B0">
        <w:trPr>
          <w:trHeight w:val="238"/>
        </w:trPr>
        <w:tc>
          <w:tcPr>
            <w:tcW w:w="1750" w:type="pct"/>
          </w:tcPr>
          <w:p w14:paraId="76933AD7" w14:textId="15CCCA35" w:rsidR="00594B16" w:rsidRPr="00D0294B" w:rsidRDefault="005317DE" w:rsidP="005317DE">
            <w:pPr>
              <w:pStyle w:val="TableRow"/>
              <w:jc w:val="left"/>
              <w:rPr>
                <w:sz w:val="20"/>
                <w:lang w:val="en-GB"/>
              </w:rPr>
            </w:pPr>
            <w:r w:rsidRPr="00D0294B">
              <w:rPr>
                <w:sz w:val="20"/>
                <w:lang w:val="en-GB"/>
              </w:rPr>
              <w:t>Legal/institutional framework for regional policy</w:t>
            </w:r>
          </w:p>
        </w:tc>
        <w:tc>
          <w:tcPr>
            <w:tcW w:w="3250" w:type="pct"/>
          </w:tcPr>
          <w:p w14:paraId="19DB03A6" w14:textId="0296E3EC" w:rsidR="00825AC5" w:rsidRPr="00D0294B" w:rsidRDefault="00C103B0" w:rsidP="00C103B0">
            <w:pPr>
              <w:pStyle w:val="TableCell"/>
              <w:jc w:val="left"/>
              <w:rPr>
                <w:rFonts w:cs="Arial"/>
                <w:sz w:val="20"/>
              </w:rPr>
            </w:pPr>
            <w:r w:rsidRPr="00662535">
              <w:rPr>
                <w:rFonts w:asciiTheme="majorHAnsi" w:hAnsiTheme="majorHAnsi"/>
                <w:sz w:val="20"/>
                <w:lang w:val="en-GB"/>
              </w:rPr>
              <w:t xml:space="preserve">• </w:t>
            </w:r>
            <w:r w:rsidR="00D32CDA" w:rsidRPr="00D0294B">
              <w:rPr>
                <w:rFonts w:cs="Arial"/>
                <w:sz w:val="20"/>
              </w:rPr>
              <w:t xml:space="preserve">Portuguese Republic Constitution, Article </w:t>
            </w:r>
            <w:r w:rsidR="00E20D25" w:rsidRPr="00D0294B">
              <w:rPr>
                <w:rFonts w:cs="Arial"/>
                <w:sz w:val="20"/>
              </w:rPr>
              <w:t>6</w:t>
            </w:r>
            <w:r w:rsidR="00CB2742" w:rsidRPr="00D0294B">
              <w:rPr>
                <w:rFonts w:cs="Arial"/>
                <w:sz w:val="20"/>
              </w:rPr>
              <w:t xml:space="preserve"> and articles 225-262</w:t>
            </w:r>
            <w:r w:rsidR="0055618E" w:rsidRPr="00D0294B">
              <w:rPr>
                <w:rFonts w:cs="Arial"/>
                <w:sz w:val="20"/>
              </w:rPr>
              <w:t>.</w:t>
            </w:r>
          </w:p>
          <w:p w14:paraId="52E40BAC" w14:textId="60A2E2A0" w:rsidR="004F0C12" w:rsidRPr="00D0294B" w:rsidRDefault="00C103B0" w:rsidP="00C103B0">
            <w:pPr>
              <w:pStyle w:val="TableCell"/>
              <w:jc w:val="left"/>
              <w:rPr>
                <w:rFonts w:cs="Arial"/>
                <w:sz w:val="20"/>
              </w:rPr>
            </w:pPr>
            <w:r w:rsidRPr="00662535">
              <w:rPr>
                <w:rFonts w:asciiTheme="majorHAnsi" w:hAnsiTheme="majorHAnsi"/>
                <w:sz w:val="20"/>
                <w:lang w:val="en-GB"/>
              </w:rPr>
              <w:t xml:space="preserve">• </w:t>
            </w:r>
            <w:hyperlink r:id="rId14" w:history="1">
              <w:r w:rsidR="004F0C12" w:rsidRPr="00D0294B">
                <w:rPr>
                  <w:rStyle w:val="Hyperlink"/>
                  <w:rFonts w:cs="Arial"/>
                  <w:sz w:val="20"/>
                </w:rPr>
                <w:t>Strategy Portugal 2030</w:t>
              </w:r>
            </w:hyperlink>
            <w:r w:rsidR="004F0C12" w:rsidRPr="00D0294B">
              <w:rPr>
                <w:rFonts w:cs="Arial"/>
                <w:sz w:val="20"/>
              </w:rPr>
              <w:t xml:space="preserve"> (RCM nº 98/2020)</w:t>
            </w:r>
          </w:p>
          <w:p w14:paraId="09454358" w14:textId="142994EA" w:rsidR="002B0DF0"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2B0DF0" w:rsidRPr="00D0294B">
              <w:rPr>
                <w:sz w:val="20"/>
              </w:rPr>
              <w:t>Treaty on the Functioning of the European Union, Article 174</w:t>
            </w:r>
            <w:r w:rsidR="0055618E" w:rsidRPr="00D0294B">
              <w:rPr>
                <w:sz w:val="20"/>
              </w:rPr>
              <w:t>.</w:t>
            </w:r>
          </w:p>
        </w:tc>
      </w:tr>
      <w:tr w:rsidR="00922AC4" w:rsidRPr="00D0294B" w14:paraId="60BF0C13" w14:textId="77777777" w:rsidTr="00C103B0">
        <w:trPr>
          <w:trHeight w:val="238"/>
        </w:trPr>
        <w:tc>
          <w:tcPr>
            <w:tcW w:w="1750" w:type="pct"/>
          </w:tcPr>
          <w:p w14:paraId="581AEDCF" w14:textId="53DBFB2A" w:rsidR="00922AC4" w:rsidRPr="00D0294B" w:rsidRDefault="00922AC4" w:rsidP="005317DE">
            <w:pPr>
              <w:pStyle w:val="TableRow"/>
              <w:rPr>
                <w:sz w:val="20"/>
                <w:lang w:val="en-GB"/>
              </w:rPr>
            </w:pPr>
            <w:r w:rsidRPr="00D0294B">
              <w:rPr>
                <w:sz w:val="20"/>
                <w:lang w:val="en-GB"/>
              </w:rPr>
              <w:t>Budget allocated to regional development</w:t>
            </w:r>
            <w:r w:rsidR="00A437BA" w:rsidRPr="00D0294B">
              <w:rPr>
                <w:sz w:val="20"/>
                <w:lang w:val="en-GB"/>
              </w:rPr>
              <w:t xml:space="preserve"> (</w:t>
            </w:r>
            <w:r w:rsidR="001641D6" w:rsidRPr="00D0294B">
              <w:rPr>
                <w:sz w:val="20"/>
                <w:lang w:val="en-GB"/>
              </w:rPr>
              <w:t xml:space="preserve">i.e., </w:t>
            </w:r>
            <w:r w:rsidR="00A437BA" w:rsidRPr="00D0294B">
              <w:rPr>
                <w:sz w:val="20"/>
                <w:lang w:val="en-GB"/>
              </w:rPr>
              <w:t>amount)</w:t>
            </w:r>
            <w:r w:rsidR="001641D6" w:rsidRPr="00D0294B">
              <w:rPr>
                <w:sz w:val="20"/>
                <w:lang w:val="en-GB"/>
              </w:rPr>
              <w:t xml:space="preserve"> and fiscal equalisation mechanisms between jurisdictions (if any)</w:t>
            </w:r>
          </w:p>
        </w:tc>
        <w:tc>
          <w:tcPr>
            <w:tcW w:w="3250" w:type="pct"/>
          </w:tcPr>
          <w:p w14:paraId="173BBD80" w14:textId="08D1FD6F" w:rsidR="00922AC4" w:rsidRPr="00D0294B" w:rsidRDefault="00C103B0" w:rsidP="00C103B0">
            <w:pPr>
              <w:pStyle w:val="TableCell"/>
              <w:jc w:val="left"/>
              <w:rPr>
                <w:sz w:val="20"/>
              </w:rPr>
            </w:pPr>
            <w:r w:rsidRPr="00662535">
              <w:rPr>
                <w:rFonts w:asciiTheme="majorHAnsi" w:hAnsiTheme="majorHAnsi"/>
                <w:sz w:val="20"/>
                <w:lang w:val="en-GB"/>
              </w:rPr>
              <w:t xml:space="preserve">• </w:t>
            </w:r>
            <w:r w:rsidR="002B0DF0" w:rsidRPr="00D0294B">
              <w:rPr>
                <w:sz w:val="20"/>
              </w:rPr>
              <w:t>Cohesion Policy Partnership Agreement 2021-2027: €</w:t>
            </w:r>
            <w:r w:rsidR="00AD67F5" w:rsidRPr="00D0294B">
              <w:rPr>
                <w:sz w:val="20"/>
              </w:rPr>
              <w:t>23</w:t>
            </w:r>
            <w:r w:rsidR="002B0DF0" w:rsidRPr="00D0294B">
              <w:rPr>
                <w:sz w:val="20"/>
              </w:rPr>
              <w:t xml:space="preserve"> billion of EU Structural Funds (ERDF, ESF+, JTF, EMFAF) and €</w:t>
            </w:r>
            <w:r w:rsidR="0021713D" w:rsidRPr="00D0294B">
              <w:rPr>
                <w:sz w:val="20"/>
              </w:rPr>
              <w:t>8</w:t>
            </w:r>
            <w:r w:rsidR="009443B4" w:rsidRPr="00D0294B">
              <w:rPr>
                <w:sz w:val="20"/>
              </w:rPr>
              <w:t>,</w:t>
            </w:r>
            <w:r w:rsidR="0021713D" w:rsidRPr="00D0294B">
              <w:rPr>
                <w:sz w:val="20"/>
              </w:rPr>
              <w:t>5</w:t>
            </w:r>
            <w:r w:rsidR="003A773E" w:rsidRPr="00D0294B">
              <w:rPr>
                <w:sz w:val="20"/>
              </w:rPr>
              <w:t xml:space="preserve"> billion</w:t>
            </w:r>
            <w:r w:rsidR="002B0DF0" w:rsidRPr="00D0294B">
              <w:rPr>
                <w:sz w:val="20"/>
              </w:rPr>
              <w:t xml:space="preserve"> of national co</w:t>
            </w:r>
            <w:r w:rsidR="002E24D4" w:rsidRPr="00D0294B">
              <w:rPr>
                <w:sz w:val="20"/>
              </w:rPr>
              <w:t>-</w:t>
            </w:r>
            <w:r w:rsidR="002B0DF0" w:rsidRPr="00D0294B">
              <w:rPr>
                <w:sz w:val="20"/>
              </w:rPr>
              <w:t>financing</w:t>
            </w:r>
            <w:r w:rsidR="00C541BD" w:rsidRPr="00D0294B">
              <w:rPr>
                <w:sz w:val="20"/>
              </w:rPr>
              <w:t>.</w:t>
            </w:r>
          </w:p>
          <w:p w14:paraId="1F9D7617" w14:textId="0D8C75F3" w:rsidR="00ED7E4F" w:rsidRPr="00D0294B" w:rsidRDefault="00C103B0" w:rsidP="00C103B0">
            <w:pPr>
              <w:pStyle w:val="TableCell"/>
              <w:jc w:val="left"/>
              <w:rPr>
                <w:sz w:val="20"/>
              </w:rPr>
            </w:pPr>
            <w:r w:rsidRPr="00662535">
              <w:rPr>
                <w:rFonts w:asciiTheme="majorHAnsi" w:hAnsiTheme="majorHAnsi"/>
                <w:sz w:val="20"/>
                <w:lang w:val="en-GB"/>
              </w:rPr>
              <w:t xml:space="preserve">• </w:t>
            </w:r>
            <w:hyperlink r:id="rId15" w:history="1">
              <w:r w:rsidR="00ED7E4F" w:rsidRPr="00D0294B">
                <w:rPr>
                  <w:rStyle w:val="Hyperlink"/>
                  <w:rFonts w:asciiTheme="majorHAnsi" w:hAnsiTheme="majorHAnsi"/>
                  <w:sz w:val="20"/>
                </w:rPr>
                <w:t>National Recovery and Resilience Plan</w:t>
              </w:r>
            </w:hyperlink>
            <w:r w:rsidR="00ED7E4F" w:rsidRPr="00D0294B">
              <w:rPr>
                <w:rFonts w:asciiTheme="majorHAnsi" w:hAnsiTheme="majorHAnsi"/>
                <w:sz w:val="20"/>
              </w:rPr>
              <w:t xml:space="preserve"> (NRRP) in its </w:t>
            </w:r>
            <w:r w:rsidR="00512445" w:rsidRPr="00D0294B">
              <w:rPr>
                <w:rFonts w:asciiTheme="majorHAnsi" w:hAnsiTheme="majorHAnsi"/>
                <w:sz w:val="20"/>
              </w:rPr>
              <w:t xml:space="preserve">territorial </w:t>
            </w:r>
            <w:r w:rsidR="00ED7E4F" w:rsidRPr="00D0294B">
              <w:rPr>
                <w:rFonts w:asciiTheme="majorHAnsi" w:hAnsiTheme="majorHAnsi"/>
                <w:sz w:val="20"/>
              </w:rPr>
              <w:t>dimension.</w:t>
            </w:r>
          </w:p>
          <w:p w14:paraId="1C2208F9" w14:textId="6BA9CCC9" w:rsidR="00922AC4" w:rsidRPr="00D0294B" w:rsidRDefault="00C103B0" w:rsidP="00C103B0">
            <w:pPr>
              <w:pStyle w:val="TableCell"/>
              <w:jc w:val="left"/>
              <w:rPr>
                <w:sz w:val="20"/>
              </w:rPr>
            </w:pPr>
            <w:r w:rsidRPr="00662535">
              <w:rPr>
                <w:rFonts w:asciiTheme="majorHAnsi" w:hAnsiTheme="majorHAnsi"/>
                <w:sz w:val="20"/>
                <w:lang w:val="en-GB"/>
              </w:rPr>
              <w:t xml:space="preserve">• </w:t>
            </w:r>
            <w:r w:rsidR="354E0EC2" w:rsidRPr="00D0294B">
              <w:rPr>
                <w:sz w:val="20"/>
              </w:rPr>
              <w:t>Decentralization Financing Fund (</w:t>
            </w:r>
            <w:r w:rsidR="47E5C163" w:rsidRPr="00D0294B">
              <w:rPr>
                <w:sz w:val="20"/>
              </w:rPr>
              <w:t>2023): €1,2 billion</w:t>
            </w:r>
            <w:r w:rsidR="0055618E" w:rsidRPr="00D0294B">
              <w:rPr>
                <w:sz w:val="20"/>
              </w:rPr>
              <w:t>.</w:t>
            </w:r>
          </w:p>
        </w:tc>
      </w:tr>
      <w:tr w:rsidR="00623BE2" w:rsidRPr="00D0294B" w14:paraId="75EA1188" w14:textId="77777777" w:rsidTr="00C103B0">
        <w:trPr>
          <w:trHeight w:val="238"/>
        </w:trPr>
        <w:tc>
          <w:tcPr>
            <w:tcW w:w="1750" w:type="pct"/>
          </w:tcPr>
          <w:p w14:paraId="5193A2FE" w14:textId="124A5020" w:rsidR="00623BE2" w:rsidRPr="00D0294B" w:rsidRDefault="00623BE2" w:rsidP="005317DE">
            <w:pPr>
              <w:pStyle w:val="TableRow"/>
              <w:rPr>
                <w:sz w:val="20"/>
                <w:lang w:val="en-GB"/>
              </w:rPr>
            </w:pPr>
            <w:r w:rsidRPr="00D0294B">
              <w:rPr>
                <w:sz w:val="20"/>
                <w:lang w:val="en-GB"/>
              </w:rPr>
              <w:t>National regional development policy framework</w:t>
            </w:r>
          </w:p>
        </w:tc>
        <w:tc>
          <w:tcPr>
            <w:tcW w:w="3250" w:type="pct"/>
          </w:tcPr>
          <w:p w14:paraId="7EE3998E" w14:textId="1E38B0B3" w:rsidR="002C0E77"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123A0D" w:rsidRPr="00D0294B">
              <w:rPr>
                <w:sz w:val="20"/>
              </w:rPr>
              <w:t xml:space="preserve">The </w:t>
            </w:r>
            <w:hyperlink r:id="rId16" w:history="1">
              <w:r w:rsidR="00123A0D" w:rsidRPr="00D0294B">
                <w:rPr>
                  <w:rStyle w:val="Hyperlink"/>
                  <w:sz w:val="20"/>
                </w:rPr>
                <w:t>Partnership Agreement 2021-2027</w:t>
              </w:r>
            </w:hyperlink>
            <w:r w:rsidR="00123A0D" w:rsidRPr="00D0294B">
              <w:rPr>
                <w:sz w:val="20"/>
              </w:rPr>
              <w:t xml:space="preserve"> for </w:t>
            </w:r>
            <w:r w:rsidR="002C0E77" w:rsidRPr="00D0294B">
              <w:rPr>
                <w:sz w:val="20"/>
              </w:rPr>
              <w:t>Portugal</w:t>
            </w:r>
            <w:r w:rsidR="00123A0D" w:rsidRPr="00D0294B">
              <w:rPr>
                <w:sz w:val="20"/>
              </w:rPr>
              <w:t xml:space="preserve"> covers </w:t>
            </w:r>
            <w:r w:rsidR="008D744A" w:rsidRPr="00D0294B">
              <w:rPr>
                <w:sz w:val="20"/>
              </w:rPr>
              <w:t>12</w:t>
            </w:r>
            <w:r w:rsidR="00123A0D" w:rsidRPr="00D0294B">
              <w:rPr>
                <w:sz w:val="20"/>
              </w:rPr>
              <w:t xml:space="preserve"> programmes (</w:t>
            </w:r>
            <w:r w:rsidR="006C4E8B" w:rsidRPr="00D0294B">
              <w:rPr>
                <w:sz w:val="20"/>
              </w:rPr>
              <w:t>5</w:t>
            </w:r>
            <w:r w:rsidR="00123A0D" w:rsidRPr="00D0294B">
              <w:rPr>
                <w:sz w:val="20"/>
              </w:rPr>
              <w:t xml:space="preserve"> </w:t>
            </w:r>
            <w:r w:rsidR="00CE4143" w:rsidRPr="00D0294B">
              <w:rPr>
                <w:sz w:val="20"/>
              </w:rPr>
              <w:t>thematic</w:t>
            </w:r>
            <w:r w:rsidR="00123A0D" w:rsidRPr="00D0294B">
              <w:rPr>
                <w:sz w:val="20"/>
              </w:rPr>
              <w:t xml:space="preserve"> programmes and </w:t>
            </w:r>
            <w:r w:rsidR="00CE4143" w:rsidRPr="00D0294B">
              <w:rPr>
                <w:sz w:val="20"/>
              </w:rPr>
              <w:t>7</w:t>
            </w:r>
            <w:r w:rsidR="00123A0D" w:rsidRPr="00D0294B">
              <w:rPr>
                <w:sz w:val="20"/>
              </w:rPr>
              <w:t xml:space="preserve"> regional programmes) and 1</w:t>
            </w:r>
            <w:r w:rsidR="00A77920" w:rsidRPr="00D0294B">
              <w:rPr>
                <w:sz w:val="20"/>
              </w:rPr>
              <w:t>0</w:t>
            </w:r>
            <w:r w:rsidR="00123A0D" w:rsidRPr="00D0294B">
              <w:rPr>
                <w:sz w:val="20"/>
              </w:rPr>
              <w:t xml:space="preserve"> INTERREG programmes (concerning </w:t>
            </w:r>
            <w:r w:rsidR="001B01FE" w:rsidRPr="00D0294B">
              <w:rPr>
                <w:sz w:val="20"/>
              </w:rPr>
              <w:t>European T</w:t>
            </w:r>
            <w:r w:rsidR="00123A0D" w:rsidRPr="00D0294B">
              <w:rPr>
                <w:sz w:val="20"/>
              </w:rPr>
              <w:t xml:space="preserve">erritorial </w:t>
            </w:r>
            <w:r w:rsidR="001B01FE" w:rsidRPr="00D0294B">
              <w:rPr>
                <w:sz w:val="20"/>
              </w:rPr>
              <w:t>C</w:t>
            </w:r>
            <w:r w:rsidR="00123A0D" w:rsidRPr="00D0294B">
              <w:rPr>
                <w:sz w:val="20"/>
              </w:rPr>
              <w:t>ooperation)</w:t>
            </w:r>
            <w:r w:rsidR="00C541BD" w:rsidRPr="00D0294B">
              <w:rPr>
                <w:sz w:val="20"/>
              </w:rPr>
              <w:t>.</w:t>
            </w:r>
          </w:p>
          <w:p w14:paraId="27E0CB75" w14:textId="7E7D4BC4" w:rsidR="00825AC5"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123A0D" w:rsidRPr="00D0294B">
              <w:rPr>
                <w:sz w:val="20"/>
              </w:rPr>
              <w:t>Cohesion Policy investments for 2021-2027 are planned in strong coordination with the National Recovery and Resilience Plan</w:t>
            </w:r>
            <w:r w:rsidR="00A77B98" w:rsidRPr="00D0294B">
              <w:rPr>
                <w:sz w:val="20"/>
              </w:rPr>
              <w:t xml:space="preserve"> (PRR)</w:t>
            </w:r>
            <w:r w:rsidR="00123A0D" w:rsidRPr="00D0294B">
              <w:rPr>
                <w:sz w:val="20"/>
              </w:rPr>
              <w:t>.</w:t>
            </w:r>
          </w:p>
        </w:tc>
      </w:tr>
      <w:tr w:rsidR="00594B16" w:rsidRPr="00D0294B" w14:paraId="1190059F" w14:textId="77777777" w:rsidTr="00C103B0">
        <w:trPr>
          <w:trHeight w:val="238"/>
        </w:trPr>
        <w:tc>
          <w:tcPr>
            <w:tcW w:w="1750" w:type="pct"/>
          </w:tcPr>
          <w:p w14:paraId="25E12495" w14:textId="2123358E" w:rsidR="00594B16" w:rsidRPr="00D0294B" w:rsidRDefault="005317DE" w:rsidP="005317DE">
            <w:pPr>
              <w:pStyle w:val="TableRow"/>
              <w:jc w:val="left"/>
              <w:rPr>
                <w:sz w:val="20"/>
                <w:lang w:val="en-GB"/>
              </w:rPr>
            </w:pPr>
            <w:r w:rsidRPr="00D0294B">
              <w:rPr>
                <w:sz w:val="20"/>
                <w:lang w:val="en-GB"/>
              </w:rPr>
              <w:lastRenderedPageBreak/>
              <w:t>Urban policy framework</w:t>
            </w:r>
          </w:p>
        </w:tc>
        <w:tc>
          <w:tcPr>
            <w:tcW w:w="3250" w:type="pct"/>
          </w:tcPr>
          <w:p w14:paraId="45AFD435" w14:textId="1A3283E5" w:rsidR="00ED7E4F" w:rsidRPr="00D0294B" w:rsidRDefault="00C103B0" w:rsidP="00C103B0">
            <w:pPr>
              <w:pStyle w:val="TableCell"/>
              <w:jc w:val="left"/>
              <w:rPr>
                <w:sz w:val="20"/>
                <w:lang w:val="en-GB"/>
              </w:rPr>
            </w:pPr>
            <w:r w:rsidRPr="00662535">
              <w:rPr>
                <w:rFonts w:asciiTheme="majorHAnsi" w:hAnsiTheme="majorHAnsi"/>
                <w:sz w:val="20"/>
                <w:lang w:val="en-GB"/>
              </w:rPr>
              <w:t xml:space="preserve">• </w:t>
            </w:r>
            <w:hyperlink r:id="rId17" w:history="1">
              <w:r w:rsidR="005141C7" w:rsidRPr="00D0294B">
                <w:rPr>
                  <w:rStyle w:val="Hyperlink"/>
                  <w:rFonts w:cs="Arial"/>
                  <w:sz w:val="20"/>
                </w:rPr>
                <w:t xml:space="preserve">National </w:t>
              </w:r>
              <w:r w:rsidR="00A268BC" w:rsidRPr="00D0294B">
                <w:rPr>
                  <w:rStyle w:val="Hyperlink"/>
                  <w:rFonts w:cs="Arial"/>
                  <w:sz w:val="20"/>
                </w:rPr>
                <w:t xml:space="preserve">Spatial Planning Policy </w:t>
              </w:r>
              <w:r w:rsidR="00E96377" w:rsidRPr="00D0294B">
                <w:rPr>
                  <w:rStyle w:val="Hyperlink"/>
                  <w:rFonts w:cs="Arial"/>
                  <w:sz w:val="20"/>
                </w:rPr>
                <w:t>Progra</w:t>
              </w:r>
              <w:r w:rsidR="00004EAB" w:rsidRPr="00D0294B">
                <w:rPr>
                  <w:rStyle w:val="Hyperlink"/>
                  <w:rFonts w:cs="Arial"/>
                  <w:sz w:val="20"/>
                </w:rPr>
                <w:t>m</w:t>
              </w:r>
            </w:hyperlink>
            <w:r w:rsidR="00004EAB" w:rsidRPr="00D0294B">
              <w:rPr>
                <w:rFonts w:cs="Arial"/>
                <w:sz w:val="20"/>
              </w:rPr>
              <w:t xml:space="preserve"> (PNPOT)</w:t>
            </w:r>
            <w:r w:rsidR="00ED7E4F" w:rsidRPr="00D0294B">
              <w:rPr>
                <w:rFonts w:cs="Arial"/>
                <w:sz w:val="20"/>
              </w:rPr>
              <w:t>.</w:t>
            </w:r>
          </w:p>
          <w:p w14:paraId="49453169" w14:textId="48D4772A" w:rsidR="003D2EAC"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E10B8D" w:rsidRPr="00D0294B">
              <w:rPr>
                <w:rFonts w:cs="Arial"/>
                <w:sz w:val="20"/>
              </w:rPr>
              <w:t xml:space="preserve">Regional Plans for </w:t>
            </w:r>
            <w:r w:rsidR="00F15BC9" w:rsidRPr="00D0294B">
              <w:rPr>
                <w:rFonts w:cs="Arial"/>
                <w:sz w:val="20"/>
              </w:rPr>
              <w:t>Spatial Planning (PROT)</w:t>
            </w:r>
            <w:r w:rsidR="0055618E" w:rsidRPr="00D0294B">
              <w:rPr>
                <w:rFonts w:cs="Arial"/>
                <w:sz w:val="20"/>
              </w:rPr>
              <w:t>.</w:t>
            </w:r>
          </w:p>
        </w:tc>
      </w:tr>
      <w:tr w:rsidR="00594B16" w:rsidRPr="00D0294B" w14:paraId="4395EB33" w14:textId="77777777" w:rsidTr="00C103B0">
        <w:trPr>
          <w:trHeight w:val="238"/>
        </w:trPr>
        <w:tc>
          <w:tcPr>
            <w:tcW w:w="1750" w:type="pct"/>
          </w:tcPr>
          <w:p w14:paraId="5D346546" w14:textId="51665631" w:rsidR="00594B16" w:rsidRPr="00D0294B" w:rsidRDefault="005317DE" w:rsidP="005317DE">
            <w:pPr>
              <w:pStyle w:val="TableRow"/>
              <w:jc w:val="left"/>
              <w:rPr>
                <w:sz w:val="20"/>
                <w:lang w:val="en-GB"/>
              </w:rPr>
            </w:pPr>
            <w:r w:rsidRPr="00D0294B">
              <w:rPr>
                <w:sz w:val="20"/>
                <w:lang w:val="en-GB"/>
              </w:rPr>
              <w:t>Rural policy framework</w:t>
            </w:r>
          </w:p>
        </w:tc>
        <w:tc>
          <w:tcPr>
            <w:tcW w:w="3250" w:type="pct"/>
          </w:tcPr>
          <w:p w14:paraId="5AC6ABA6" w14:textId="06124097" w:rsidR="003D2EAC" w:rsidRPr="00D0294B" w:rsidRDefault="00C103B0" w:rsidP="00C103B0">
            <w:pPr>
              <w:pStyle w:val="TableCell"/>
              <w:jc w:val="left"/>
              <w:rPr>
                <w:sz w:val="20"/>
                <w:lang w:val="en-GB"/>
              </w:rPr>
            </w:pPr>
            <w:r w:rsidRPr="00662535">
              <w:rPr>
                <w:rFonts w:asciiTheme="majorHAnsi" w:hAnsiTheme="majorHAnsi"/>
                <w:sz w:val="20"/>
                <w:lang w:val="en-GB"/>
              </w:rPr>
              <w:t xml:space="preserve">• </w:t>
            </w:r>
            <w:hyperlink r:id="rId18" w:history="1">
              <w:r w:rsidR="00D27612" w:rsidRPr="00D0294B">
                <w:rPr>
                  <w:rStyle w:val="Hyperlink"/>
                  <w:sz w:val="20"/>
                  <w:lang w:val="en-GB"/>
                </w:rPr>
                <w:t>CAP Strategic Plan 2023-2027</w:t>
              </w:r>
            </w:hyperlink>
            <w:r w:rsidR="0055618E" w:rsidRPr="00D0294B">
              <w:rPr>
                <w:sz w:val="20"/>
                <w:lang w:val="en-GB"/>
              </w:rPr>
              <w:t>.</w:t>
            </w:r>
          </w:p>
          <w:p w14:paraId="2A203EE3" w14:textId="3E2DF9AA" w:rsidR="00004EAB"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004EAB" w:rsidRPr="00D0294B">
              <w:rPr>
                <w:rFonts w:cs="Arial"/>
                <w:sz w:val="20"/>
              </w:rPr>
              <w:t>National Spatial Planning Policy Program (PNPOT)</w:t>
            </w:r>
            <w:r w:rsidR="00F15BC9" w:rsidRPr="00D0294B">
              <w:rPr>
                <w:rFonts w:cs="Arial"/>
                <w:sz w:val="20"/>
              </w:rPr>
              <w:t>, Regional Plans for Spatial Planning (PROT)</w:t>
            </w:r>
            <w:r w:rsidR="0055618E" w:rsidRPr="00D0294B">
              <w:rPr>
                <w:rFonts w:cs="Arial"/>
                <w:sz w:val="20"/>
              </w:rPr>
              <w:t>.</w:t>
            </w:r>
          </w:p>
          <w:p w14:paraId="6E4AA96F" w14:textId="171DE205" w:rsidR="00004EAB" w:rsidRPr="00D0294B" w:rsidRDefault="00C103B0" w:rsidP="00C103B0">
            <w:pPr>
              <w:pStyle w:val="TableCell"/>
              <w:jc w:val="left"/>
              <w:rPr>
                <w:sz w:val="20"/>
                <w:lang w:val="en-GB"/>
              </w:rPr>
            </w:pPr>
            <w:r w:rsidRPr="00662535">
              <w:rPr>
                <w:rFonts w:asciiTheme="majorHAnsi" w:hAnsiTheme="majorHAnsi"/>
                <w:sz w:val="20"/>
                <w:lang w:val="en-GB"/>
              </w:rPr>
              <w:t xml:space="preserve">• </w:t>
            </w:r>
            <w:r w:rsidR="3836053D" w:rsidRPr="00D0294B">
              <w:rPr>
                <w:sz w:val="20"/>
                <w:lang w:val="en-GB"/>
              </w:rPr>
              <w:t>Program of the Valorisation of the Inland (PVI)</w:t>
            </w:r>
            <w:r w:rsidR="00976277" w:rsidRPr="00D0294B">
              <w:rPr>
                <w:sz w:val="20"/>
                <w:lang w:val="en-GB"/>
              </w:rPr>
              <w:t xml:space="preserve"> (</w:t>
            </w:r>
            <w:r w:rsidR="00976277" w:rsidRPr="00D0294B">
              <w:rPr>
                <w:rFonts w:asciiTheme="majorHAnsi" w:hAnsiTheme="majorHAnsi"/>
                <w:sz w:val="20"/>
              </w:rPr>
              <w:t>RCM nº 18/2020)</w:t>
            </w:r>
            <w:r w:rsidR="0055618E" w:rsidRPr="00D0294B">
              <w:rPr>
                <w:sz w:val="20"/>
                <w:lang w:val="en-GB"/>
              </w:rPr>
              <w:t>.</w:t>
            </w:r>
          </w:p>
          <w:p w14:paraId="3E1E1754" w14:textId="3B3084FA" w:rsidR="0098276E" w:rsidRPr="00D0294B" w:rsidRDefault="00C103B0" w:rsidP="00C103B0">
            <w:pPr>
              <w:pStyle w:val="TableCell"/>
              <w:jc w:val="left"/>
              <w:rPr>
                <w:sz w:val="20"/>
                <w:lang w:val="en-GB"/>
              </w:rPr>
            </w:pPr>
            <w:r w:rsidRPr="00662535">
              <w:rPr>
                <w:rFonts w:asciiTheme="majorHAnsi" w:hAnsiTheme="majorHAnsi"/>
                <w:sz w:val="20"/>
                <w:lang w:val="en-GB"/>
              </w:rPr>
              <w:t xml:space="preserve">• </w:t>
            </w:r>
            <w:r w:rsidR="20F12345" w:rsidRPr="00D0294B">
              <w:rPr>
                <w:sz w:val="20"/>
                <w:lang w:val="en-GB"/>
              </w:rPr>
              <w:t>Common Strategy for Cross-border Cooperation</w:t>
            </w:r>
            <w:r w:rsidR="4B1E2B17" w:rsidRPr="00D0294B">
              <w:rPr>
                <w:sz w:val="20"/>
                <w:lang w:val="en-GB"/>
              </w:rPr>
              <w:t xml:space="preserve"> (ECDT)</w:t>
            </w:r>
            <w:r w:rsidR="0055618E" w:rsidRPr="00D0294B">
              <w:rPr>
                <w:sz w:val="20"/>
                <w:lang w:val="en-GB"/>
              </w:rPr>
              <w:t>.</w:t>
            </w:r>
          </w:p>
        </w:tc>
      </w:tr>
      <w:tr w:rsidR="00594B16" w:rsidRPr="00D0294B" w14:paraId="5C17105F" w14:textId="77777777" w:rsidTr="00C103B0">
        <w:trPr>
          <w:trHeight w:val="238"/>
        </w:trPr>
        <w:tc>
          <w:tcPr>
            <w:tcW w:w="1750" w:type="pct"/>
          </w:tcPr>
          <w:p w14:paraId="696CD113" w14:textId="14C0AF3C" w:rsidR="00594B16" w:rsidRPr="00D0294B" w:rsidRDefault="005317DE" w:rsidP="005317DE">
            <w:pPr>
              <w:pStyle w:val="TableRow"/>
              <w:jc w:val="left"/>
              <w:rPr>
                <w:sz w:val="20"/>
                <w:lang w:val="en-GB"/>
              </w:rPr>
            </w:pPr>
            <w:r w:rsidRPr="00D0294B">
              <w:rPr>
                <w:sz w:val="20"/>
                <w:lang w:val="en-GB"/>
              </w:rPr>
              <w:t>Major regional policy tools</w:t>
            </w:r>
            <w:r w:rsidR="00623BE2" w:rsidRPr="00D0294B">
              <w:rPr>
                <w:sz w:val="20"/>
                <w:lang w:val="en-GB"/>
              </w:rPr>
              <w:t xml:space="preserve"> (e.g., funds, plans, policy initiatives, institutional agreements, etc.)</w:t>
            </w:r>
          </w:p>
        </w:tc>
        <w:tc>
          <w:tcPr>
            <w:tcW w:w="3250" w:type="pct"/>
          </w:tcPr>
          <w:p w14:paraId="5202C701" w14:textId="7764FA85" w:rsidR="000C4EB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0C4EB9" w:rsidRPr="00D0294B">
              <w:rPr>
                <w:sz w:val="20"/>
              </w:rPr>
              <w:t>European Structural Funds and national co-funding</w:t>
            </w:r>
            <w:r w:rsidR="0055618E" w:rsidRPr="00D0294B">
              <w:rPr>
                <w:sz w:val="20"/>
              </w:rPr>
              <w:t>.</w:t>
            </w:r>
          </w:p>
          <w:p w14:paraId="0E9DC608" w14:textId="11D4E8F0" w:rsidR="009D250E"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5B79BF" w:rsidRPr="00D0294B">
              <w:rPr>
                <w:sz w:val="20"/>
                <w:lang w:val="en-GB"/>
              </w:rPr>
              <w:t>Regional State Aid</w:t>
            </w:r>
            <w:r w:rsidR="0055618E" w:rsidRPr="00D0294B">
              <w:rPr>
                <w:sz w:val="20"/>
                <w:lang w:val="en-GB"/>
              </w:rPr>
              <w:t>.</w:t>
            </w:r>
          </w:p>
        </w:tc>
      </w:tr>
      <w:tr w:rsidR="00594B16" w:rsidRPr="00D0294B" w14:paraId="7B9EFA1F" w14:textId="77777777" w:rsidTr="00C103B0">
        <w:trPr>
          <w:trHeight w:val="238"/>
        </w:trPr>
        <w:tc>
          <w:tcPr>
            <w:tcW w:w="1750" w:type="pct"/>
          </w:tcPr>
          <w:p w14:paraId="7BDBED3E" w14:textId="5E31E4C5" w:rsidR="00594B16" w:rsidRPr="00D0294B" w:rsidRDefault="005317DE" w:rsidP="005317DE">
            <w:pPr>
              <w:pStyle w:val="TableRow"/>
              <w:jc w:val="left"/>
              <w:rPr>
                <w:sz w:val="20"/>
                <w:lang w:val="en-GB"/>
              </w:rPr>
            </w:pPr>
            <w:r w:rsidRPr="00D0294B">
              <w:rPr>
                <w:sz w:val="20"/>
                <w:lang w:val="en-GB"/>
              </w:rPr>
              <w:t xml:space="preserve">Policy co-ordination </w:t>
            </w:r>
            <w:r w:rsidR="00B103D2" w:rsidRPr="00D0294B">
              <w:rPr>
                <w:sz w:val="20"/>
                <w:lang w:val="en-GB"/>
              </w:rPr>
              <w:t xml:space="preserve">tools </w:t>
            </w:r>
            <w:r w:rsidRPr="00D0294B">
              <w:rPr>
                <w:sz w:val="20"/>
                <w:lang w:val="en-GB"/>
              </w:rPr>
              <w:t xml:space="preserve">at </w:t>
            </w:r>
            <w:r w:rsidR="004C0F00" w:rsidRPr="00D0294B">
              <w:rPr>
                <w:sz w:val="20"/>
                <w:lang w:val="en-GB"/>
              </w:rPr>
              <w:t>nation</w:t>
            </w:r>
            <w:r w:rsidRPr="00D0294B">
              <w:rPr>
                <w:sz w:val="20"/>
                <w:lang w:val="en-GB"/>
              </w:rPr>
              <w:t>al level</w:t>
            </w:r>
            <w:r w:rsidR="00B103D2" w:rsidRPr="00D0294B">
              <w:rPr>
                <w:sz w:val="20"/>
                <w:lang w:val="en-GB"/>
              </w:rPr>
              <w:t xml:space="preserve"> </w:t>
            </w:r>
          </w:p>
        </w:tc>
        <w:tc>
          <w:tcPr>
            <w:tcW w:w="3250" w:type="pct"/>
          </w:tcPr>
          <w:p w14:paraId="7DE37DC8" w14:textId="70ECC5B1" w:rsidR="00A15EA2" w:rsidRPr="00D0294B" w:rsidRDefault="00C103B0" w:rsidP="00C103B0">
            <w:pPr>
              <w:pStyle w:val="TableCell"/>
              <w:jc w:val="left"/>
              <w:rPr>
                <w:sz w:val="20"/>
              </w:rPr>
            </w:pPr>
            <w:r w:rsidRPr="00662535">
              <w:rPr>
                <w:rFonts w:asciiTheme="majorHAnsi" w:hAnsiTheme="majorHAnsi"/>
                <w:sz w:val="20"/>
                <w:lang w:val="en-GB"/>
              </w:rPr>
              <w:t xml:space="preserve">• </w:t>
            </w:r>
            <w:r w:rsidR="00BC3059" w:rsidRPr="00D0294B">
              <w:rPr>
                <w:sz w:val="20"/>
              </w:rPr>
              <w:t xml:space="preserve">Presidency of </w:t>
            </w:r>
            <w:r w:rsidR="4CF8B8F2" w:rsidRPr="00D0294B">
              <w:rPr>
                <w:sz w:val="20"/>
              </w:rPr>
              <w:t>Council</w:t>
            </w:r>
            <w:r w:rsidR="00BC3059" w:rsidRPr="00D0294B">
              <w:rPr>
                <w:sz w:val="20"/>
              </w:rPr>
              <w:t xml:space="preserve"> of Ministers</w:t>
            </w:r>
            <w:r w:rsidR="23127F0A" w:rsidRPr="00D0294B">
              <w:rPr>
                <w:sz w:val="20"/>
              </w:rPr>
              <w:t xml:space="preserve">, </w:t>
            </w:r>
            <w:r w:rsidR="55F9F105" w:rsidRPr="00D0294B">
              <w:rPr>
                <w:sz w:val="20"/>
              </w:rPr>
              <w:t>Ministry for</w:t>
            </w:r>
            <w:r w:rsidR="6B0C9D6A" w:rsidRPr="00D0294B">
              <w:rPr>
                <w:sz w:val="20"/>
              </w:rPr>
              <w:t xml:space="preserve"> Territorial</w:t>
            </w:r>
            <w:r w:rsidR="4CF8B8F2" w:rsidRPr="00D0294B">
              <w:rPr>
                <w:sz w:val="20"/>
              </w:rPr>
              <w:t xml:space="preserve"> Cohesion</w:t>
            </w:r>
            <w:r w:rsidR="4FF7DB53" w:rsidRPr="00D0294B">
              <w:rPr>
                <w:sz w:val="20"/>
              </w:rPr>
              <w:t xml:space="preserve"> (MCT)</w:t>
            </w:r>
            <w:r w:rsidR="61197073" w:rsidRPr="00D0294B">
              <w:rPr>
                <w:sz w:val="20"/>
              </w:rPr>
              <w:t>, State Secretary for Regional Development (SEDR)</w:t>
            </w:r>
            <w:r w:rsidR="0055618E" w:rsidRPr="00D0294B">
              <w:rPr>
                <w:sz w:val="20"/>
              </w:rPr>
              <w:t>.</w:t>
            </w:r>
          </w:p>
          <w:p w14:paraId="65AA14A9" w14:textId="3C0EFC55" w:rsidR="001560E9" w:rsidRPr="00D0294B" w:rsidRDefault="00C103B0" w:rsidP="00C103B0">
            <w:pPr>
              <w:pStyle w:val="TableCell"/>
              <w:jc w:val="left"/>
              <w:rPr>
                <w:sz w:val="20"/>
              </w:rPr>
            </w:pPr>
            <w:r w:rsidRPr="00662535">
              <w:rPr>
                <w:rFonts w:asciiTheme="majorHAnsi" w:hAnsiTheme="majorHAnsi"/>
                <w:sz w:val="20"/>
                <w:lang w:val="en-GB"/>
              </w:rPr>
              <w:t xml:space="preserve">• </w:t>
            </w:r>
            <w:r w:rsidR="46D16A03" w:rsidRPr="00D0294B">
              <w:rPr>
                <w:sz w:val="20"/>
              </w:rPr>
              <w:t xml:space="preserve">Interministerial Coordination </w:t>
            </w:r>
            <w:r w:rsidR="642DF579" w:rsidRPr="00D0294B">
              <w:rPr>
                <w:sz w:val="20"/>
              </w:rPr>
              <w:t>Com</w:t>
            </w:r>
            <w:r w:rsidR="1E924417" w:rsidRPr="00D0294B">
              <w:rPr>
                <w:sz w:val="20"/>
              </w:rPr>
              <w:t>m</w:t>
            </w:r>
            <w:r w:rsidR="642DF579" w:rsidRPr="00D0294B">
              <w:rPr>
                <w:sz w:val="20"/>
              </w:rPr>
              <w:t>ission</w:t>
            </w:r>
            <w:r w:rsidR="46D16A03" w:rsidRPr="00D0294B">
              <w:rPr>
                <w:sz w:val="20"/>
              </w:rPr>
              <w:t xml:space="preserve"> (</w:t>
            </w:r>
            <w:r w:rsidR="001560E9" w:rsidRPr="00D0294B">
              <w:rPr>
                <w:sz w:val="20"/>
              </w:rPr>
              <w:t>CIC</w:t>
            </w:r>
            <w:r w:rsidR="00E57666" w:rsidRPr="00D0294B">
              <w:rPr>
                <w:sz w:val="20"/>
              </w:rPr>
              <w:t>)</w:t>
            </w:r>
            <w:r w:rsidR="001560E9" w:rsidRPr="00D0294B">
              <w:rPr>
                <w:sz w:val="20"/>
              </w:rPr>
              <w:t xml:space="preserve"> Portugal 2030</w:t>
            </w:r>
            <w:r w:rsidR="0055618E" w:rsidRPr="00D0294B">
              <w:rPr>
                <w:sz w:val="20"/>
              </w:rPr>
              <w:t>.</w:t>
            </w:r>
          </w:p>
          <w:p w14:paraId="113D0F10" w14:textId="1C21AAB0" w:rsidR="00C103B0" w:rsidRDefault="00C103B0" w:rsidP="00C103B0">
            <w:pPr>
              <w:pStyle w:val="TableCell"/>
              <w:jc w:val="left"/>
              <w:rPr>
                <w:sz w:val="20"/>
              </w:rPr>
            </w:pPr>
            <w:r w:rsidRPr="00662535">
              <w:rPr>
                <w:rFonts w:asciiTheme="majorHAnsi" w:hAnsiTheme="majorHAnsi"/>
                <w:sz w:val="20"/>
                <w:lang w:val="en-GB"/>
              </w:rPr>
              <w:t xml:space="preserve">• </w:t>
            </w:r>
            <w:r w:rsidR="001B01FE" w:rsidRPr="00D0294B">
              <w:rPr>
                <w:sz w:val="20"/>
              </w:rPr>
              <w:t>Territorial Consultation/Coordination Council (</w:t>
            </w:r>
            <w:r w:rsidRPr="00C103B0">
              <w:rPr>
                <w:i/>
                <w:iCs/>
                <w:sz w:val="20"/>
                <w:lang w:val="en-GB"/>
              </w:rPr>
              <w:t>Conselho de Concertação Territorial</w:t>
            </w:r>
            <w:r w:rsidRPr="00C103B0">
              <w:rPr>
                <w:sz w:val="20"/>
                <w:lang w:val="en-GB"/>
              </w:rPr>
              <w:t xml:space="preserve"> </w:t>
            </w:r>
            <w:r>
              <w:rPr>
                <w:sz w:val="20"/>
                <w:lang w:val="en-GB"/>
              </w:rPr>
              <w:t xml:space="preserve">- </w:t>
            </w:r>
            <w:r w:rsidR="001B01FE" w:rsidRPr="00D0294B">
              <w:rPr>
                <w:sz w:val="20"/>
              </w:rPr>
              <w:t>CCT)</w:t>
            </w:r>
            <w:r w:rsidR="0055618E" w:rsidRPr="00D0294B">
              <w:rPr>
                <w:sz w:val="20"/>
              </w:rPr>
              <w:t>.</w:t>
            </w:r>
          </w:p>
          <w:p w14:paraId="3F295078" w14:textId="6E7785D8" w:rsidR="001B01FE" w:rsidRPr="00C103B0" w:rsidRDefault="00C103B0" w:rsidP="00C103B0">
            <w:pPr>
              <w:pStyle w:val="TableCell"/>
              <w:jc w:val="left"/>
              <w:rPr>
                <w:sz w:val="20"/>
              </w:rPr>
            </w:pPr>
            <w:r w:rsidRPr="00662535">
              <w:rPr>
                <w:rFonts w:asciiTheme="majorHAnsi" w:hAnsiTheme="majorHAnsi"/>
                <w:sz w:val="20"/>
                <w:lang w:val="en-GB"/>
              </w:rPr>
              <w:t xml:space="preserve">• </w:t>
            </w:r>
            <w:r w:rsidR="001B01FE" w:rsidRPr="00D0294B">
              <w:rPr>
                <w:sz w:val="20"/>
              </w:rPr>
              <w:t>Development and Cohesion Agency (AD&amp;C)</w:t>
            </w:r>
            <w:r w:rsidR="0055618E" w:rsidRPr="00D0294B">
              <w:rPr>
                <w:sz w:val="20"/>
              </w:rPr>
              <w:t>.</w:t>
            </w:r>
          </w:p>
        </w:tc>
      </w:tr>
      <w:tr w:rsidR="00594B16" w:rsidRPr="00D0294B" w14:paraId="303C11FB" w14:textId="77777777" w:rsidTr="00C103B0">
        <w:trPr>
          <w:trHeight w:val="238"/>
        </w:trPr>
        <w:tc>
          <w:tcPr>
            <w:tcW w:w="1750" w:type="pct"/>
          </w:tcPr>
          <w:p w14:paraId="1CEE63FC" w14:textId="3F0F5F9F" w:rsidR="00594B16" w:rsidRPr="00D0294B" w:rsidRDefault="005317DE" w:rsidP="005317DE">
            <w:pPr>
              <w:pStyle w:val="TableRow"/>
              <w:jc w:val="left"/>
              <w:rPr>
                <w:sz w:val="20"/>
                <w:lang w:val="en-GB"/>
              </w:rPr>
            </w:pPr>
            <w:r w:rsidRPr="00D0294B">
              <w:rPr>
                <w:sz w:val="20"/>
                <w:lang w:val="en-GB"/>
              </w:rPr>
              <w:t>Multi-level governance</w:t>
            </w:r>
            <w:r w:rsidR="00623BE2" w:rsidRPr="00D0294B">
              <w:rPr>
                <w:sz w:val="20"/>
                <w:lang w:val="en-GB"/>
              </w:rPr>
              <w:t xml:space="preserve"> mechanisms</w:t>
            </w:r>
            <w:r w:rsidRPr="00D0294B">
              <w:rPr>
                <w:sz w:val="20"/>
                <w:lang w:val="en-GB"/>
              </w:rPr>
              <w:t xml:space="preserve"> between national and subnational levels</w:t>
            </w:r>
            <w:r w:rsidR="00623BE2" w:rsidRPr="00D0294B">
              <w:rPr>
                <w:sz w:val="20"/>
                <w:lang w:val="en-GB"/>
              </w:rPr>
              <w:t xml:space="preserve"> (e.g., institutional agreements, Committees, etc.)</w:t>
            </w:r>
          </w:p>
        </w:tc>
        <w:tc>
          <w:tcPr>
            <w:tcW w:w="3250" w:type="pct"/>
          </w:tcPr>
          <w:p w14:paraId="78B7BBE4" w14:textId="6CD65502" w:rsidR="6F86C05B" w:rsidRPr="00D0294B" w:rsidRDefault="00C103B0" w:rsidP="00C103B0">
            <w:pPr>
              <w:pStyle w:val="TableCell"/>
              <w:jc w:val="left"/>
              <w:rPr>
                <w:sz w:val="20"/>
                <w:lang w:val="en-GB"/>
              </w:rPr>
            </w:pPr>
            <w:r w:rsidRPr="00662535">
              <w:rPr>
                <w:rFonts w:asciiTheme="majorHAnsi" w:hAnsiTheme="majorHAnsi"/>
                <w:sz w:val="20"/>
                <w:lang w:val="en-GB"/>
              </w:rPr>
              <w:t xml:space="preserve">• </w:t>
            </w:r>
            <w:r w:rsidR="104688F4" w:rsidRPr="00D0294B">
              <w:rPr>
                <w:sz w:val="20"/>
                <w:lang w:val="en-GB"/>
              </w:rPr>
              <w:t xml:space="preserve">Territorial </w:t>
            </w:r>
            <w:r w:rsidR="001B01FE" w:rsidRPr="00D0294B">
              <w:rPr>
                <w:sz w:val="20"/>
                <w:lang w:val="en-GB"/>
              </w:rPr>
              <w:t>Consultation/Coordination</w:t>
            </w:r>
            <w:r w:rsidR="104688F4" w:rsidRPr="00D0294B">
              <w:rPr>
                <w:sz w:val="20"/>
                <w:lang w:val="en-GB"/>
              </w:rPr>
              <w:t xml:space="preserve"> Council (CCT)</w:t>
            </w:r>
            <w:r w:rsidR="0055618E" w:rsidRPr="00D0294B">
              <w:rPr>
                <w:sz w:val="20"/>
                <w:lang w:val="en-GB"/>
              </w:rPr>
              <w:t>.</w:t>
            </w:r>
          </w:p>
          <w:p w14:paraId="1FC62919" w14:textId="3DBC9140"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553BEEE3" w:rsidRPr="00D0294B">
              <w:rPr>
                <w:sz w:val="20"/>
                <w:lang w:val="en-GB"/>
              </w:rPr>
              <w:t>Decentralization Monitoring Commission</w:t>
            </w:r>
            <w:r w:rsidR="0055618E" w:rsidRPr="00D0294B">
              <w:rPr>
                <w:sz w:val="20"/>
                <w:lang w:val="en-GB"/>
              </w:rPr>
              <w:t>.</w:t>
            </w:r>
          </w:p>
          <w:p w14:paraId="1C7F6088" w14:textId="361522A8"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304ECB" w:rsidRPr="00D0294B">
              <w:rPr>
                <w:sz w:val="20"/>
                <w:lang w:val="en-GB"/>
              </w:rPr>
              <w:t xml:space="preserve">Monitoring </w:t>
            </w:r>
            <w:r w:rsidR="4529E13D" w:rsidRPr="00D0294B">
              <w:rPr>
                <w:sz w:val="20"/>
                <w:lang w:val="en-GB"/>
              </w:rPr>
              <w:t xml:space="preserve">Committees of EU Structural Funds </w:t>
            </w:r>
            <w:r w:rsidR="00304ECB" w:rsidRPr="00D0294B">
              <w:rPr>
                <w:sz w:val="20"/>
                <w:lang w:val="en-GB"/>
              </w:rPr>
              <w:t>Pro</w:t>
            </w:r>
            <w:r w:rsidR="0055618E" w:rsidRPr="00D0294B">
              <w:rPr>
                <w:sz w:val="20"/>
                <w:lang w:val="en-GB"/>
              </w:rPr>
              <w:t>g</w:t>
            </w:r>
            <w:r w:rsidR="00304ECB" w:rsidRPr="00D0294B">
              <w:rPr>
                <w:sz w:val="20"/>
                <w:lang w:val="en-GB"/>
              </w:rPr>
              <w:t xml:space="preserve">rammes, </w:t>
            </w:r>
            <w:r w:rsidR="4529E13D" w:rsidRPr="00D0294B">
              <w:rPr>
                <w:sz w:val="20"/>
                <w:lang w:val="en-GB"/>
              </w:rPr>
              <w:t>representing the national</w:t>
            </w:r>
            <w:r w:rsidR="00304ECB" w:rsidRPr="00D0294B">
              <w:rPr>
                <w:sz w:val="20"/>
                <w:lang w:val="en-GB"/>
              </w:rPr>
              <w:t>, regional/local</w:t>
            </w:r>
            <w:r w:rsidR="4529E13D" w:rsidRPr="00D0294B">
              <w:rPr>
                <w:sz w:val="20"/>
                <w:lang w:val="en-GB"/>
              </w:rPr>
              <w:t xml:space="preserve"> government</w:t>
            </w:r>
            <w:r w:rsidR="00304ECB" w:rsidRPr="00D0294B">
              <w:rPr>
                <w:sz w:val="20"/>
                <w:lang w:val="en-GB"/>
              </w:rPr>
              <w:t xml:space="preserve">, civil </w:t>
            </w:r>
            <w:r w:rsidR="0055618E" w:rsidRPr="00D0294B">
              <w:rPr>
                <w:sz w:val="20"/>
                <w:lang w:val="en-GB"/>
              </w:rPr>
              <w:t>stakeholders,</w:t>
            </w:r>
            <w:r w:rsidR="00304ECB" w:rsidRPr="00D0294B">
              <w:rPr>
                <w:sz w:val="20"/>
                <w:lang w:val="en-GB"/>
              </w:rPr>
              <w:t xml:space="preserve"> </w:t>
            </w:r>
            <w:r w:rsidR="4529E13D" w:rsidRPr="00D0294B">
              <w:rPr>
                <w:sz w:val="20"/>
                <w:lang w:val="en-GB"/>
              </w:rPr>
              <w:t xml:space="preserve">and the managing authorities of </w:t>
            </w:r>
            <w:r w:rsidR="00304ECB" w:rsidRPr="00D0294B">
              <w:rPr>
                <w:sz w:val="20"/>
                <w:lang w:val="en-GB"/>
              </w:rPr>
              <w:t>Programmes</w:t>
            </w:r>
            <w:r w:rsidR="4529E13D" w:rsidRPr="00D0294B">
              <w:rPr>
                <w:sz w:val="20"/>
                <w:lang w:val="en-GB"/>
              </w:rPr>
              <w:t xml:space="preserve"> in </w:t>
            </w:r>
            <w:r w:rsidR="00304ECB" w:rsidRPr="00D0294B">
              <w:rPr>
                <w:sz w:val="20"/>
                <w:lang w:val="en-GB"/>
              </w:rPr>
              <w:t>each</w:t>
            </w:r>
            <w:r w:rsidR="4529E13D" w:rsidRPr="00D0294B">
              <w:rPr>
                <w:sz w:val="20"/>
                <w:lang w:val="en-GB"/>
              </w:rPr>
              <w:t xml:space="preserve"> region</w:t>
            </w:r>
            <w:r w:rsidR="00CB4EF9" w:rsidRPr="00D0294B">
              <w:rPr>
                <w:sz w:val="20"/>
                <w:lang w:val="en-GB"/>
              </w:rPr>
              <w:t>.</w:t>
            </w:r>
          </w:p>
          <w:p w14:paraId="007E839B" w14:textId="2A956923" w:rsidR="00594B16" w:rsidRPr="00D0294B" w:rsidRDefault="00C103B0" w:rsidP="00C103B0">
            <w:pPr>
              <w:pStyle w:val="TableCell"/>
              <w:jc w:val="left"/>
              <w:rPr>
                <w:sz w:val="20"/>
                <w:lang w:val="pt-PT"/>
              </w:rPr>
            </w:pPr>
            <w:r w:rsidRPr="00662535">
              <w:rPr>
                <w:rFonts w:asciiTheme="majorHAnsi" w:hAnsiTheme="majorHAnsi"/>
                <w:sz w:val="20"/>
                <w:lang w:val="en-GB"/>
              </w:rPr>
              <w:t xml:space="preserve">• </w:t>
            </w:r>
            <w:r w:rsidR="4529E13D" w:rsidRPr="00D0294B">
              <w:rPr>
                <w:sz w:val="20"/>
                <w:lang w:val="pt-PT"/>
              </w:rPr>
              <w:t>Regional Dynamics Network (RDR)</w:t>
            </w:r>
            <w:r w:rsidR="0055618E" w:rsidRPr="00D0294B">
              <w:rPr>
                <w:sz w:val="20"/>
                <w:lang w:val="pt-PT"/>
              </w:rPr>
              <w:t>.</w:t>
            </w:r>
          </w:p>
        </w:tc>
      </w:tr>
      <w:tr w:rsidR="00594B16" w:rsidRPr="00D0294B" w14:paraId="4E9E0EAF" w14:textId="77777777" w:rsidTr="00C103B0">
        <w:trPr>
          <w:trHeight w:val="238"/>
        </w:trPr>
        <w:tc>
          <w:tcPr>
            <w:tcW w:w="1750" w:type="pct"/>
          </w:tcPr>
          <w:p w14:paraId="0B8A8BE6" w14:textId="3637DC26" w:rsidR="00594B16" w:rsidRPr="00D0294B" w:rsidRDefault="005317DE" w:rsidP="005317DE">
            <w:pPr>
              <w:pStyle w:val="TableRow"/>
              <w:jc w:val="left"/>
              <w:rPr>
                <w:sz w:val="20"/>
                <w:lang w:val="en-GB"/>
              </w:rPr>
            </w:pPr>
            <w:r w:rsidRPr="00D0294B">
              <w:rPr>
                <w:sz w:val="20"/>
                <w:lang w:val="en-GB"/>
              </w:rPr>
              <w:t xml:space="preserve">Policy co-ordination </w:t>
            </w:r>
            <w:r w:rsidR="00B103D2" w:rsidRPr="00D0294B">
              <w:rPr>
                <w:sz w:val="20"/>
                <w:lang w:val="en-GB"/>
              </w:rPr>
              <w:t xml:space="preserve">tools </w:t>
            </w:r>
            <w:r w:rsidRPr="00D0294B">
              <w:rPr>
                <w:sz w:val="20"/>
                <w:lang w:val="en-GB"/>
              </w:rPr>
              <w:t xml:space="preserve">at regional level </w:t>
            </w:r>
          </w:p>
        </w:tc>
        <w:tc>
          <w:tcPr>
            <w:tcW w:w="3250" w:type="pct"/>
          </w:tcPr>
          <w:p w14:paraId="772CAE6A" w14:textId="69113E03"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Regional Councils</w:t>
            </w:r>
            <w:r w:rsidR="0055618E" w:rsidRPr="00D0294B">
              <w:rPr>
                <w:sz w:val="20"/>
                <w:lang w:val="en-GB"/>
              </w:rPr>
              <w:t>.</w:t>
            </w:r>
          </w:p>
          <w:p w14:paraId="1D09464B" w14:textId="441E2F5E" w:rsidR="00ED7E4F"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ED7E4F" w:rsidRPr="00D0294B">
              <w:rPr>
                <w:sz w:val="20"/>
                <w:lang w:val="en-GB"/>
              </w:rPr>
              <w:t>Regional Coordination and Development Commission</w:t>
            </w:r>
            <w:r w:rsidR="00AE788D" w:rsidRPr="00D0294B">
              <w:rPr>
                <w:sz w:val="20"/>
                <w:lang w:val="en-GB"/>
              </w:rPr>
              <w:t>s</w:t>
            </w:r>
            <w:r w:rsidR="00ED7E4F" w:rsidRPr="00D0294B">
              <w:rPr>
                <w:sz w:val="20"/>
                <w:lang w:val="en-GB"/>
              </w:rPr>
              <w:t xml:space="preserve"> (CCDR).</w:t>
            </w:r>
          </w:p>
          <w:p w14:paraId="0EF862E9" w14:textId="5E5CC804"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Regional Programmes (Cohesion Policy)</w:t>
            </w:r>
            <w:r w:rsidR="0055618E" w:rsidRPr="00D0294B">
              <w:rPr>
                <w:sz w:val="20"/>
                <w:lang w:val="en-GB"/>
              </w:rPr>
              <w:t>.</w:t>
            </w:r>
          </w:p>
          <w:p w14:paraId="7EDAB65F" w14:textId="1B5F56C0" w:rsidR="00A15EA2" w:rsidRPr="00D0294B" w:rsidRDefault="00C103B0" w:rsidP="00C103B0">
            <w:pPr>
              <w:pStyle w:val="TableCell"/>
              <w:jc w:val="left"/>
              <w:rPr>
                <w:sz w:val="20"/>
                <w:lang w:val="en-GB"/>
              </w:rPr>
            </w:pPr>
            <w:r w:rsidRPr="00662535">
              <w:rPr>
                <w:rFonts w:asciiTheme="majorHAnsi" w:hAnsiTheme="majorHAnsi"/>
                <w:sz w:val="20"/>
                <w:lang w:val="en-GB"/>
              </w:rPr>
              <w:t xml:space="preserve">• </w:t>
            </w:r>
            <w:r w:rsidR="204280F4" w:rsidRPr="00D0294B">
              <w:rPr>
                <w:rFonts w:cs="Arial"/>
                <w:noProof/>
                <w:sz w:val="20"/>
              </w:rPr>
              <w:t>Regional Smart Specialisation Strategies (RIS3)</w:t>
            </w:r>
            <w:r w:rsidR="0055618E" w:rsidRPr="00D0294B">
              <w:rPr>
                <w:rFonts w:cs="Arial"/>
                <w:noProof/>
                <w:sz w:val="20"/>
              </w:rPr>
              <w:t>.</w:t>
            </w:r>
          </w:p>
          <w:p w14:paraId="5D25B57E" w14:textId="0B7439E3" w:rsidR="00A15EA2" w:rsidRPr="00D0294B" w:rsidRDefault="00C103B0" w:rsidP="00C103B0">
            <w:pPr>
              <w:pStyle w:val="TableCell"/>
              <w:jc w:val="left"/>
              <w:rPr>
                <w:sz w:val="20"/>
                <w:lang w:val="en-GB"/>
              </w:rPr>
            </w:pPr>
            <w:r w:rsidRPr="00662535">
              <w:rPr>
                <w:rFonts w:asciiTheme="majorHAnsi" w:hAnsiTheme="majorHAnsi"/>
                <w:sz w:val="20"/>
                <w:lang w:val="en-GB"/>
              </w:rPr>
              <w:t xml:space="preserve">• </w:t>
            </w:r>
            <w:r w:rsidR="204280F4" w:rsidRPr="00D0294B">
              <w:rPr>
                <w:rFonts w:cs="Arial"/>
                <w:noProof/>
                <w:sz w:val="20"/>
              </w:rPr>
              <w:t>Territorial Instruments (</w:t>
            </w:r>
            <w:r w:rsidR="00CB4EF9" w:rsidRPr="00D0294B">
              <w:rPr>
                <w:rFonts w:cs="Arial"/>
                <w:noProof/>
                <w:sz w:val="20"/>
              </w:rPr>
              <w:t xml:space="preserve">e.g. </w:t>
            </w:r>
            <w:r w:rsidR="204280F4" w:rsidRPr="00D0294B">
              <w:rPr>
                <w:rFonts w:cs="Arial"/>
                <w:noProof/>
                <w:sz w:val="20"/>
              </w:rPr>
              <w:t>ITI</w:t>
            </w:r>
            <w:r w:rsidR="00CB4EF9" w:rsidRPr="00D0294B">
              <w:rPr>
                <w:rFonts w:cs="Arial"/>
                <w:noProof/>
                <w:sz w:val="20"/>
              </w:rPr>
              <w:t xml:space="preserve"> – Integrated Territorial Investments, Thematic ITI, Leader, etc.)</w:t>
            </w:r>
            <w:r w:rsidR="0055618E" w:rsidRPr="00D0294B">
              <w:rPr>
                <w:rFonts w:cs="Arial"/>
                <w:noProof/>
                <w:sz w:val="20"/>
              </w:rPr>
              <w:t>.</w:t>
            </w:r>
          </w:p>
        </w:tc>
      </w:tr>
      <w:tr w:rsidR="00594B16" w:rsidRPr="00D0294B" w14:paraId="56477370" w14:textId="77777777" w:rsidTr="00C103B0">
        <w:trPr>
          <w:trHeight w:val="238"/>
        </w:trPr>
        <w:tc>
          <w:tcPr>
            <w:tcW w:w="1750" w:type="pct"/>
          </w:tcPr>
          <w:p w14:paraId="50E937EB" w14:textId="691C515E" w:rsidR="00594B16" w:rsidRPr="00D0294B" w:rsidRDefault="005317DE" w:rsidP="005317DE">
            <w:pPr>
              <w:pStyle w:val="TableRow"/>
              <w:jc w:val="left"/>
              <w:rPr>
                <w:sz w:val="20"/>
                <w:lang w:val="en-GB"/>
              </w:rPr>
            </w:pPr>
            <w:r w:rsidRPr="00D0294B">
              <w:rPr>
                <w:sz w:val="20"/>
                <w:lang w:val="en-GB"/>
              </w:rPr>
              <w:t>Evaluation and monitoring</w:t>
            </w:r>
            <w:r w:rsidR="00B103D2" w:rsidRPr="00D0294B">
              <w:rPr>
                <w:sz w:val="20"/>
                <w:lang w:val="en-GB"/>
              </w:rPr>
              <w:t xml:space="preserve"> tools</w:t>
            </w:r>
          </w:p>
        </w:tc>
        <w:tc>
          <w:tcPr>
            <w:tcW w:w="3250" w:type="pct"/>
          </w:tcPr>
          <w:p w14:paraId="511F19B4" w14:textId="65CE5E09"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Reports on Territorial Instruments and Municipal Investments</w:t>
            </w:r>
            <w:r w:rsidR="0055618E" w:rsidRPr="00D0294B">
              <w:rPr>
                <w:sz w:val="20"/>
                <w:lang w:val="en-GB"/>
              </w:rPr>
              <w:t>.</w:t>
            </w:r>
          </w:p>
          <w:p w14:paraId="148D23B7" w14:textId="6DBDE7A5"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Monitoring and evaluation plans linked to the European Structural Funds (EU regulation 2021/1060)</w:t>
            </w:r>
            <w:r w:rsidR="0055618E" w:rsidRPr="00D0294B">
              <w:rPr>
                <w:sz w:val="20"/>
                <w:lang w:val="en-GB"/>
              </w:rPr>
              <w:t>.</w:t>
            </w:r>
          </w:p>
          <w:p w14:paraId="6FBEC20E" w14:textId="2B1FD48C"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rFonts w:cs="Arial"/>
                <w:noProof/>
                <w:sz w:val="20"/>
              </w:rPr>
              <w:t>Monitoring and Evaluation Network (RMA)</w:t>
            </w:r>
            <w:r w:rsidR="0055618E" w:rsidRPr="00D0294B">
              <w:rPr>
                <w:rFonts w:cs="Arial"/>
                <w:noProof/>
                <w:sz w:val="20"/>
              </w:rPr>
              <w:t>.</w:t>
            </w:r>
          </w:p>
          <w:p w14:paraId="1E131CFF" w14:textId="5255F3E3"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Mandatory</w:t>
            </w:r>
            <w:r w:rsidR="5F5FD41E" w:rsidRPr="00D0294B">
              <w:rPr>
                <w:sz w:val="20"/>
                <w:lang w:val="en-GB"/>
              </w:rPr>
              <w:t xml:space="preserve"> midterm review of all programmes of EU structural funds in 2025</w:t>
            </w:r>
            <w:r w:rsidR="0055618E" w:rsidRPr="00D0294B">
              <w:rPr>
                <w:sz w:val="20"/>
                <w:lang w:val="en-GB"/>
              </w:rPr>
              <w:t>.</w:t>
            </w:r>
          </w:p>
        </w:tc>
      </w:tr>
      <w:tr w:rsidR="00594B16" w:rsidRPr="00D0294B" w14:paraId="6E08705C" w14:textId="77777777" w:rsidTr="00C103B0">
        <w:trPr>
          <w:trHeight w:val="238"/>
        </w:trPr>
        <w:tc>
          <w:tcPr>
            <w:tcW w:w="1750" w:type="pct"/>
          </w:tcPr>
          <w:p w14:paraId="0E24760B" w14:textId="625EF3FA" w:rsidR="00594B16" w:rsidRPr="00D0294B" w:rsidRDefault="005317DE" w:rsidP="005317DE">
            <w:pPr>
              <w:pStyle w:val="TableRow"/>
              <w:jc w:val="left"/>
              <w:rPr>
                <w:sz w:val="20"/>
                <w:lang w:val="en-GB"/>
              </w:rPr>
            </w:pPr>
            <w:bookmarkStart w:id="0" w:name="_Hlk121751249"/>
            <w:r w:rsidRPr="00D0294B">
              <w:rPr>
                <w:sz w:val="20"/>
                <w:lang w:val="en-GB"/>
              </w:rPr>
              <w:t>Future orientations of regional policy</w:t>
            </w:r>
          </w:p>
        </w:tc>
        <w:tc>
          <w:tcPr>
            <w:tcW w:w="3250" w:type="pct"/>
          </w:tcPr>
          <w:p w14:paraId="56ED4FFC" w14:textId="19A2AB25" w:rsidR="00594B16" w:rsidRPr="00D0294B" w:rsidRDefault="00C103B0" w:rsidP="00C103B0">
            <w:pPr>
              <w:pStyle w:val="TableCell"/>
              <w:jc w:val="left"/>
              <w:rPr>
                <w:rFonts w:cs="Arial"/>
                <w:sz w:val="20"/>
              </w:rPr>
            </w:pPr>
            <w:r w:rsidRPr="00662535">
              <w:rPr>
                <w:rFonts w:asciiTheme="majorHAnsi" w:hAnsiTheme="majorHAnsi"/>
                <w:sz w:val="20"/>
                <w:lang w:val="en-GB"/>
              </w:rPr>
              <w:t xml:space="preserve">• </w:t>
            </w:r>
            <w:r w:rsidR="40DB85DB" w:rsidRPr="00D0294B">
              <w:rPr>
                <w:rFonts w:cs="Arial"/>
                <w:noProof/>
                <w:sz w:val="20"/>
              </w:rPr>
              <w:t>Portuguese</w:t>
            </w:r>
            <w:r w:rsidR="4D843C41" w:rsidRPr="00D0294B">
              <w:rPr>
                <w:rFonts w:cs="Arial"/>
                <w:sz w:val="20"/>
              </w:rPr>
              <w:t xml:space="preserve"> government programme </w:t>
            </w:r>
            <w:r w:rsidR="364B7489" w:rsidRPr="00D0294B">
              <w:rPr>
                <w:rFonts w:cs="Arial"/>
                <w:noProof/>
                <w:sz w:val="20"/>
              </w:rPr>
              <w:t>(</w:t>
            </w:r>
            <w:r w:rsidR="40DB85DB" w:rsidRPr="00D0294B">
              <w:rPr>
                <w:rFonts w:cs="Arial"/>
                <w:noProof/>
                <w:sz w:val="20"/>
              </w:rPr>
              <w:t>2022-2026</w:t>
            </w:r>
            <w:r w:rsidR="7EB29FF8" w:rsidRPr="00D0294B">
              <w:rPr>
                <w:rFonts w:cs="Arial"/>
                <w:noProof/>
                <w:sz w:val="20"/>
              </w:rPr>
              <w:t>)</w:t>
            </w:r>
            <w:r w:rsidR="32F63BB7" w:rsidRPr="00D0294B">
              <w:rPr>
                <w:rFonts w:cs="Arial"/>
                <w:noProof/>
                <w:sz w:val="20"/>
              </w:rPr>
              <w:t xml:space="preserve"> </w:t>
            </w:r>
            <w:r w:rsidR="4DB1C6A8" w:rsidRPr="00D0294B">
              <w:rPr>
                <w:rFonts w:cs="Arial"/>
                <w:noProof/>
                <w:sz w:val="20"/>
              </w:rPr>
              <w:t>has a chapter on</w:t>
            </w:r>
            <w:r w:rsidR="32F63BB7" w:rsidRPr="00D0294B">
              <w:rPr>
                <w:rFonts w:cs="Arial"/>
                <w:noProof/>
                <w:sz w:val="20"/>
              </w:rPr>
              <w:t xml:space="preserve"> </w:t>
            </w:r>
            <w:r w:rsidR="4DB1C6A8" w:rsidRPr="00D0294B">
              <w:rPr>
                <w:rFonts w:cs="Arial"/>
                <w:noProof/>
                <w:sz w:val="20"/>
              </w:rPr>
              <w:t>the</w:t>
            </w:r>
            <w:r w:rsidR="32F63BB7" w:rsidRPr="00D0294B">
              <w:rPr>
                <w:rFonts w:cs="Arial"/>
                <w:noProof/>
                <w:sz w:val="20"/>
              </w:rPr>
              <w:t xml:space="preserve"> strategic challenge related to inequalities</w:t>
            </w:r>
            <w:r w:rsidR="40DB85DB" w:rsidRPr="00D0294B">
              <w:rPr>
                <w:rFonts w:cs="Arial"/>
                <w:noProof/>
                <w:sz w:val="20"/>
              </w:rPr>
              <w:t>.</w:t>
            </w:r>
            <w:r w:rsidR="2A7BF749" w:rsidRPr="00D0294B">
              <w:rPr>
                <w:rFonts w:cs="Arial"/>
                <w:noProof/>
                <w:sz w:val="20"/>
              </w:rPr>
              <w:t xml:space="preserve"> </w:t>
            </w:r>
            <w:r w:rsidR="57A8217C" w:rsidRPr="00D0294B">
              <w:rPr>
                <w:rFonts w:cs="Arial"/>
                <w:noProof/>
                <w:sz w:val="20"/>
              </w:rPr>
              <w:t xml:space="preserve">It states the need to </w:t>
            </w:r>
            <w:r w:rsidR="2A7BF749" w:rsidRPr="00D0294B">
              <w:rPr>
                <w:rFonts w:cs="Arial"/>
                <w:noProof/>
                <w:sz w:val="20"/>
              </w:rPr>
              <w:t xml:space="preserve">correct regional assymetries and </w:t>
            </w:r>
            <w:r w:rsidR="00CB4EF9" w:rsidRPr="00D0294B">
              <w:rPr>
                <w:rFonts w:cs="Arial"/>
                <w:noProof/>
                <w:sz w:val="20"/>
              </w:rPr>
              <w:t>to</w:t>
            </w:r>
            <w:r w:rsidR="2A7BF749" w:rsidRPr="00D0294B">
              <w:rPr>
                <w:rFonts w:cs="Arial"/>
                <w:noProof/>
                <w:sz w:val="20"/>
              </w:rPr>
              <w:t xml:space="preserve"> promot</w:t>
            </w:r>
            <w:r w:rsidR="1C26D50E" w:rsidRPr="00D0294B">
              <w:rPr>
                <w:rFonts w:cs="Arial"/>
                <w:noProof/>
                <w:sz w:val="20"/>
              </w:rPr>
              <w:t>e</w:t>
            </w:r>
            <w:r w:rsidR="2A7BF749" w:rsidRPr="00D0294B">
              <w:rPr>
                <w:rFonts w:cs="Arial"/>
                <w:noProof/>
                <w:sz w:val="20"/>
              </w:rPr>
              <w:t xml:space="preserve"> territorial cohesion</w:t>
            </w:r>
            <w:r w:rsidR="03E150E4" w:rsidRPr="00D0294B">
              <w:rPr>
                <w:rFonts w:cs="Arial"/>
                <w:noProof/>
                <w:sz w:val="20"/>
              </w:rPr>
              <w:t>.</w:t>
            </w:r>
          </w:p>
          <w:p w14:paraId="25AE012D" w14:textId="438E96C4"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1B72FA15" w:rsidRPr="00D0294B">
              <w:rPr>
                <w:rFonts w:cs="Arial"/>
                <w:noProof/>
                <w:sz w:val="20"/>
              </w:rPr>
              <w:t xml:space="preserve">Administrative Decentralisation Reform </w:t>
            </w:r>
            <w:r w:rsidR="425EF4AB" w:rsidRPr="00D0294B">
              <w:rPr>
                <w:rFonts w:cs="Arial"/>
                <w:noProof/>
                <w:sz w:val="20"/>
              </w:rPr>
              <w:t>to</w:t>
            </w:r>
            <w:r w:rsidR="1B72FA15" w:rsidRPr="00D0294B">
              <w:rPr>
                <w:rFonts w:cs="Arial"/>
                <w:noProof/>
                <w:sz w:val="20"/>
              </w:rPr>
              <w:t xml:space="preserve"> the Municipalities (</w:t>
            </w:r>
            <w:r w:rsidR="73B89119" w:rsidRPr="00D0294B">
              <w:rPr>
                <w:rFonts w:cs="Arial"/>
                <w:noProof/>
                <w:sz w:val="20"/>
              </w:rPr>
              <w:t>L</w:t>
            </w:r>
            <w:r w:rsidR="5FE1AAEE" w:rsidRPr="00D0294B">
              <w:rPr>
                <w:rFonts w:cs="Arial"/>
                <w:noProof/>
                <w:sz w:val="20"/>
              </w:rPr>
              <w:t>aw n.º</w:t>
            </w:r>
            <w:r w:rsidR="73B89119" w:rsidRPr="00D0294B">
              <w:rPr>
                <w:rFonts w:cs="Arial"/>
                <w:noProof/>
                <w:sz w:val="20"/>
              </w:rPr>
              <w:t xml:space="preserve"> 50/2018, </w:t>
            </w:r>
            <w:r w:rsidR="1B1C864A" w:rsidRPr="00D0294B">
              <w:rPr>
                <w:rFonts w:cs="Arial"/>
                <w:noProof/>
                <w:sz w:val="20"/>
              </w:rPr>
              <w:t>16</w:t>
            </w:r>
            <w:r w:rsidR="1B1C864A" w:rsidRPr="00D0294B">
              <w:rPr>
                <w:rFonts w:cs="Arial"/>
                <w:noProof/>
                <w:sz w:val="20"/>
                <w:vertAlign w:val="superscript"/>
              </w:rPr>
              <w:t>th</w:t>
            </w:r>
            <w:r w:rsidR="1B1C864A" w:rsidRPr="00D0294B">
              <w:rPr>
                <w:rFonts w:cs="Arial"/>
                <w:noProof/>
                <w:sz w:val="20"/>
              </w:rPr>
              <w:t xml:space="preserve"> of August</w:t>
            </w:r>
            <w:r w:rsidR="60E4A872" w:rsidRPr="00D0294B">
              <w:rPr>
                <w:rFonts w:cs="Arial"/>
                <w:noProof/>
                <w:sz w:val="20"/>
              </w:rPr>
              <w:t>)</w:t>
            </w:r>
            <w:r w:rsidR="6B5EA41E" w:rsidRPr="00D0294B">
              <w:rPr>
                <w:rFonts w:cs="Arial"/>
                <w:noProof/>
                <w:sz w:val="20"/>
              </w:rPr>
              <w:t xml:space="preserve"> and related legislation</w:t>
            </w:r>
            <w:r w:rsidR="5A512D6C" w:rsidRPr="00D0294B">
              <w:rPr>
                <w:rFonts w:cs="Arial"/>
                <w:noProof/>
                <w:sz w:val="20"/>
              </w:rPr>
              <w:t>.</w:t>
            </w:r>
          </w:p>
          <w:p w14:paraId="27D13C1F" w14:textId="414178E7"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1B72FA15" w:rsidRPr="00D0294B">
              <w:rPr>
                <w:rFonts w:cs="Arial"/>
                <w:noProof/>
                <w:sz w:val="20"/>
              </w:rPr>
              <w:t xml:space="preserve">Administrative Deconcentration Reform </w:t>
            </w:r>
            <w:r w:rsidR="076741FA" w:rsidRPr="00D0294B">
              <w:rPr>
                <w:rFonts w:cs="Arial"/>
                <w:noProof/>
                <w:sz w:val="20"/>
              </w:rPr>
              <w:t>to</w:t>
            </w:r>
            <w:r w:rsidR="1B72FA15" w:rsidRPr="00D0294B">
              <w:rPr>
                <w:rFonts w:cs="Arial"/>
                <w:noProof/>
                <w:sz w:val="20"/>
              </w:rPr>
              <w:t xml:space="preserve"> the CCDR</w:t>
            </w:r>
            <w:r w:rsidR="0759F0AB" w:rsidRPr="00D0294B">
              <w:rPr>
                <w:rFonts w:cs="Arial"/>
                <w:noProof/>
                <w:sz w:val="20"/>
              </w:rPr>
              <w:t>.</w:t>
            </w:r>
            <w:r w:rsidR="00CB4EF9" w:rsidRPr="00D0294B">
              <w:rPr>
                <w:sz w:val="20"/>
                <w:lang w:val="en-GB"/>
              </w:rPr>
              <w:t xml:space="preserve"> </w:t>
            </w:r>
          </w:p>
        </w:tc>
      </w:tr>
    </w:tbl>
    <w:bookmarkEnd w:id="0"/>
    <w:p w14:paraId="3AA8CF31" w14:textId="70C948D8" w:rsidR="009070E8" w:rsidRDefault="009070E8" w:rsidP="00EF6224">
      <w:pPr>
        <w:pStyle w:val="Heading2"/>
      </w:pPr>
      <w:r w:rsidRPr="00D0294B">
        <w:t>Recent policy developments</w:t>
      </w:r>
    </w:p>
    <w:p w14:paraId="36302893" w14:textId="77777777" w:rsidR="00C103B0" w:rsidRPr="00C103B0" w:rsidRDefault="00C103B0" w:rsidP="00C103B0">
      <w:pPr>
        <w:pStyle w:val="Para0"/>
      </w:pPr>
      <w:bookmarkStart w:id="1" w:name="_Hlk119401590"/>
      <w:r w:rsidRPr="00C103B0">
        <w:t>The main components of the policy mix – institutional framework and cohesion policy priorities and investments – are established in order to promote a balanced territorial development between different regions, between rural and urban areas, between coastal and the hinterland zones, in order to reduce long-lasting asymmetries and inequalities in Portugal that persist. The goal of promote growth in all regions is reflected in the vision defined in Strategy Portugal 2030 “Recover the economy and protect jobs, and make the next decade a recovery and convergence of Portugal with the European Union, ensuring greater resilience and social and territorial cohesion.” Promoting territorial cohesion will be mandatory to counteract territorial inequalities, as established in the integrated strategy for the valorisation of inland territories (RCM nº 18/2020), based on attracting/fixing population, promoting private investment to create jobs, stimulating the knowledge and innovation transfer from the academy to the socioeconomic tissue, and guaranteeing the provision of services of general interest.</w:t>
      </w:r>
    </w:p>
    <w:p w14:paraId="1512061D" w14:textId="77777777" w:rsidR="00C103B0" w:rsidRPr="00C103B0" w:rsidRDefault="00C103B0" w:rsidP="00EF6224">
      <w:pPr>
        <w:pStyle w:val="Heading3"/>
      </w:pPr>
      <w:r w:rsidRPr="00C103B0">
        <w:lastRenderedPageBreak/>
        <w:t>Institutional changes</w:t>
      </w:r>
    </w:p>
    <w:p w14:paraId="6F813CB5" w14:textId="77777777" w:rsidR="00C103B0" w:rsidRPr="00C103B0" w:rsidRDefault="00C103B0" w:rsidP="00C103B0">
      <w:pPr>
        <w:pStyle w:val="Para0"/>
      </w:pPr>
      <w:r w:rsidRPr="00C103B0">
        <w:t>The current main developments related to the regional institutional framework, in Portugal, are the reforms on the administrative decentralization to the municipalites (as well to the intermunicipal cooperation and parishes) and administrative deconcentration to the CCDR (Regional Development and Coordination Commissions).</w:t>
      </w:r>
    </w:p>
    <w:p w14:paraId="23433472" w14:textId="77777777" w:rsidR="00C103B0" w:rsidRPr="00C103B0" w:rsidRDefault="00C103B0" w:rsidP="00C103B0">
      <w:pPr>
        <w:pStyle w:val="Para0"/>
      </w:pPr>
      <w:r w:rsidRPr="00C103B0">
        <w:t>Portugal is expanding its subnational policy footprint through decentralization. The Law n. º 50/2018, of 16th of August, and related legislation have provided municipalities (in</w:t>
      </w:r>
      <w:r w:rsidRPr="00C103B0">
        <w:rPr>
          <w:i/>
        </w:rPr>
        <w:t xml:space="preserve"> lato sensu</w:t>
      </w:r>
      <w:r w:rsidRPr="00C103B0">
        <w:rPr>
          <w:i/>
          <w:iCs/>
        </w:rPr>
        <w:t>,</w:t>
      </w:r>
      <w:r w:rsidRPr="00C103B0">
        <w:t xml:space="preserve"> including metropolitan areas, intermunicipal communities and parishes, as well) with new competences, responsibilities and resources granting more proximity to its citizens and efficiency to the public policy. Traditionally, Portugal has highly centralized governmental structure with a lower proportion of public spending in the subnational levels, than the EU and OECD averages. This process might change the </w:t>
      </w:r>
      <w:r w:rsidRPr="00C103B0">
        <w:rPr>
          <w:i/>
          <w:iCs/>
        </w:rPr>
        <w:t>status quo</w:t>
      </w:r>
      <w:r w:rsidRPr="00C103B0">
        <w:t>, reinforcing local-based policies and stakeholders.</w:t>
      </w:r>
    </w:p>
    <w:p w14:paraId="7C36FD35" w14:textId="77777777" w:rsidR="00C103B0" w:rsidRPr="00C103B0" w:rsidRDefault="00C103B0" w:rsidP="00C103B0">
      <w:pPr>
        <w:pStyle w:val="Para0"/>
      </w:pPr>
      <w:r w:rsidRPr="00C103B0">
        <w:t>Recently, the Portuguese government approved the administrative deconcentrating reform to the CCDRs, which will acquire the status of special public institutes, with the objective of carrying out deconcentrated competences of the central administration and provide better public services to citizens, working as one-stop-shop in a regional level, and provider of services of general interest (e.g., health, education, culture, agriculture, and others) in its territory. In a country without regional level, in the mainland, this process is considered a steppingstone to a future debate about regionalisation process. Along with this, a process of revision for NUTS II was developed to make them coherent with the area covered by CCDR.</w:t>
      </w:r>
    </w:p>
    <w:p w14:paraId="724FD6D6" w14:textId="77777777" w:rsidR="00C103B0" w:rsidRPr="00C103B0" w:rsidRDefault="00C103B0" w:rsidP="00EF6224">
      <w:pPr>
        <w:pStyle w:val="Heading3"/>
      </w:pPr>
      <w:r w:rsidRPr="00C103B0">
        <w:t>EU Structural Funds</w:t>
      </w:r>
    </w:p>
    <w:p w14:paraId="7BF1B3B1" w14:textId="77777777" w:rsidR="00C103B0" w:rsidRPr="00C103B0" w:rsidRDefault="00C103B0" w:rsidP="00C103B0">
      <w:pPr>
        <w:pStyle w:val="Para0"/>
      </w:pPr>
      <w:r w:rsidRPr="00C103B0">
        <w:t xml:space="preserve">The </w:t>
      </w:r>
      <w:hyperlink r:id="rId19" w:history="1">
        <w:r w:rsidRPr="00C103B0">
          <w:rPr>
            <w:rStyle w:val="Hyperlink"/>
          </w:rPr>
          <w:t>Cohesion Policy Partnership Agreement</w:t>
        </w:r>
      </w:hyperlink>
      <w:r w:rsidRPr="00C103B0">
        <w:t xml:space="preserve"> (Portugal 2030) between the EU Commission and Portugal, adopted in July 2022, sets out investment priorities for the period 2021-2027 with a total of €23 billion to support the economic, social and territorial cohesion until the end of the decade. The </w:t>
      </w:r>
      <w:hyperlink r:id="rId20" w:history="1">
        <w:r w:rsidRPr="00C103B0">
          <w:rPr>
            <w:rStyle w:val="Hyperlink"/>
          </w:rPr>
          <w:t>7 regional programmes</w:t>
        </w:r>
      </w:hyperlink>
      <w:r w:rsidRPr="00C103B0">
        <w:t xml:space="preserve"> will have a total of €9,7 billion and are particularly focused on territorial policies and investments, which are reinforced by the ongoing decentralization process in the mainland and contributes to the European strategic objectives: a Europe closer to citizens, a greener Europe and a more competitive Europe. The new Just Transition Fund will support three subregions impacted by the closure of two coal-fired power plant (in Médio Tejo and Alentejo Litoral) and one refinery (in Matosinhos, Metropolitan Area of Porto).</w:t>
      </w:r>
    </w:p>
    <w:p w14:paraId="27184AEB" w14:textId="77777777" w:rsidR="00C103B0" w:rsidRPr="00C103B0" w:rsidRDefault="00C103B0" w:rsidP="00C103B0">
      <w:pPr>
        <w:pStyle w:val="Para0"/>
      </w:pPr>
      <w:r w:rsidRPr="00C103B0">
        <w:t xml:space="preserve">As concerns the EU Recovery and Resilience Facility (RRF), one of its key objectives is to promote social and territorial cohesion. Portugal’s </w:t>
      </w:r>
      <w:hyperlink r:id="rId21" w:history="1">
        <w:r w:rsidRPr="00C103B0">
          <w:rPr>
            <w:rStyle w:val="Hyperlink"/>
          </w:rPr>
          <w:t>National Recovery and Resilience Plan</w:t>
        </w:r>
      </w:hyperlink>
      <w:r w:rsidRPr="00C103B0">
        <w:t xml:space="preserve"> (NRRP) accounts to almost €17 billion, with more than €11 billion allocated to the “resilience dimension”, more than €3 billion destined to the “climate transition” and almost €2,5 billion to the “digital transition”. In general, the use of the RRF versus Cohesion Policy funds is guided by eligibility, competences, timing and investment scale. The national government has focussed its investment on human resources within administrations, strengthening the capacities for effective management of public investment particularly at territorial level.</w:t>
      </w:r>
    </w:p>
    <w:bookmarkEnd w:id="1"/>
    <w:p w14:paraId="74AB6874" w14:textId="77777777" w:rsidR="00C103B0" w:rsidRPr="00C103B0" w:rsidRDefault="00C103B0" w:rsidP="00EF6224">
      <w:pPr>
        <w:pStyle w:val="Heading3"/>
      </w:pPr>
      <w:r w:rsidRPr="00C103B0">
        <w:t>Public policy</w:t>
      </w:r>
    </w:p>
    <w:p w14:paraId="6ED31F8D" w14:textId="77777777" w:rsidR="00C103B0" w:rsidRPr="00C103B0" w:rsidRDefault="00C103B0" w:rsidP="00C103B0">
      <w:pPr>
        <w:pStyle w:val="Para0"/>
      </w:pPr>
      <w:r w:rsidRPr="00C103B0">
        <w:t xml:space="preserve">The </w:t>
      </w:r>
      <w:hyperlink r:id="rId22" w:history="1">
        <w:r w:rsidRPr="00C103B0">
          <w:rPr>
            <w:rStyle w:val="Hyperlink"/>
          </w:rPr>
          <w:t>National Investment Programme 2030</w:t>
        </w:r>
      </w:hyperlink>
      <w:r w:rsidRPr="00C103B0">
        <w:t xml:space="preserve"> (PNI 2030) aims to be the planning tool for the next cycle of strategic and structural investments at national level, to meet the needs and challenges of the next decade and decades to come. The scope of the PNI 2030 is multisectoral, focusing on the mobility and transport sectors, key factors for the country’s external competitiveness and internal cohesion, the environment, energy and irrigation, fundamental to face the challenges of decarbonization and energy transition.</w:t>
      </w:r>
    </w:p>
    <w:p w14:paraId="74FC7596" w14:textId="77777777" w:rsidR="00C103B0" w:rsidRPr="00C103B0" w:rsidRDefault="00C103B0" w:rsidP="00C103B0">
      <w:pPr>
        <w:pStyle w:val="Para0"/>
      </w:pPr>
    </w:p>
    <w:p w14:paraId="584076E2" w14:textId="77777777" w:rsidR="00A47C9A" w:rsidRPr="00A47C9A" w:rsidRDefault="00A47C9A">
      <w:pPr>
        <w:pStyle w:val="Para0"/>
        <w:rPr>
          <w:color w:val="auto"/>
        </w:rPr>
      </w:pPr>
    </w:p>
    <w:sectPr w:rsidR="00A47C9A" w:rsidRPr="00A47C9A" w:rsidSect="003C4738">
      <w:headerReference w:type="even" r:id="rId23"/>
      <w:headerReference w:type="default" r:id="rId24"/>
      <w:footerReference w:type="even" r:id="rId25"/>
      <w:footerReference w:type="default" r:id="rId26"/>
      <w:headerReference w:type="first" r:id="rId27"/>
      <w:footerReference w:type="first" r:id="rId2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BE31" w14:textId="77777777" w:rsidR="00D8204A" w:rsidRDefault="00D8204A" w:rsidP="00CC3749"/>
  </w:endnote>
  <w:endnote w:type="continuationSeparator" w:id="0">
    <w:p w14:paraId="44CDD334" w14:textId="77777777" w:rsidR="00D8204A" w:rsidRPr="00CF4424" w:rsidRDefault="00D8204A" w:rsidP="00CF4424">
      <w:pPr>
        <w:pStyle w:val="Footer"/>
        <w:jc w:val="both"/>
      </w:pPr>
    </w:p>
  </w:endnote>
  <w:endnote w:type="continuationNotice" w:id="1">
    <w:p w14:paraId="6B2E01E9" w14:textId="77777777" w:rsidR="00D8204A" w:rsidRDefault="00D82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C49DD" w14:textId="77777777" w:rsidR="00D8204A" w:rsidRDefault="00D8204A" w:rsidP="00CC3749">
      <w:r>
        <w:separator/>
      </w:r>
    </w:p>
  </w:footnote>
  <w:footnote w:type="continuationSeparator" w:id="0">
    <w:p w14:paraId="1CA5D8D1" w14:textId="77777777" w:rsidR="00D8204A" w:rsidRDefault="00D8204A" w:rsidP="00CC3749">
      <w:r>
        <w:continuationSeparator/>
      </w:r>
    </w:p>
  </w:footnote>
  <w:footnote w:type="continuationNotice" w:id="1">
    <w:p w14:paraId="1D7D5C71" w14:textId="77777777" w:rsidR="00D8204A" w:rsidRDefault="00D820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FD7A29"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7" type="#_x0000_t136" alt="" style="position:absolute;left:0;text-align:left;margin-left:0;margin-top:0;width:468.2pt;height:187.2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FD7A29"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6" type="#_x0000_t136" alt="" style="position:absolute;left:0;text-align:left;margin-left:0;margin-top:0;width:468.2pt;height:187.2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FD7A29">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alt="" style="position:absolute;left:0;text-align:left;margin-left:0;margin-top:0;width:468.2pt;height:187.2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938"/>
    <w:multiLevelType w:val="hybridMultilevel"/>
    <w:tmpl w:val="FFFFFFFF"/>
    <w:lvl w:ilvl="0" w:tplc="D92AD27C">
      <w:start w:val="1"/>
      <w:numFmt w:val="bullet"/>
      <w:lvlText w:val=""/>
      <w:lvlJc w:val="left"/>
      <w:pPr>
        <w:ind w:left="720" w:hanging="360"/>
      </w:pPr>
      <w:rPr>
        <w:rFonts w:ascii="Symbol" w:hAnsi="Symbol" w:hint="default"/>
      </w:rPr>
    </w:lvl>
    <w:lvl w:ilvl="1" w:tplc="7C345E00">
      <w:start w:val="1"/>
      <w:numFmt w:val="bullet"/>
      <w:lvlText w:val="o"/>
      <w:lvlJc w:val="left"/>
      <w:pPr>
        <w:ind w:left="1440" w:hanging="360"/>
      </w:pPr>
      <w:rPr>
        <w:rFonts w:ascii="Courier New" w:hAnsi="Courier New" w:hint="default"/>
      </w:rPr>
    </w:lvl>
    <w:lvl w:ilvl="2" w:tplc="90C0822A">
      <w:start w:val="1"/>
      <w:numFmt w:val="bullet"/>
      <w:lvlText w:val=""/>
      <w:lvlJc w:val="left"/>
      <w:pPr>
        <w:ind w:left="2160" w:hanging="360"/>
      </w:pPr>
      <w:rPr>
        <w:rFonts w:ascii="Wingdings" w:hAnsi="Wingdings" w:hint="default"/>
      </w:rPr>
    </w:lvl>
    <w:lvl w:ilvl="3" w:tplc="143EE0EC">
      <w:start w:val="1"/>
      <w:numFmt w:val="bullet"/>
      <w:lvlText w:val=""/>
      <w:lvlJc w:val="left"/>
      <w:pPr>
        <w:ind w:left="2880" w:hanging="360"/>
      </w:pPr>
      <w:rPr>
        <w:rFonts w:ascii="Symbol" w:hAnsi="Symbol" w:hint="default"/>
      </w:rPr>
    </w:lvl>
    <w:lvl w:ilvl="4" w:tplc="59AEBC5C">
      <w:start w:val="1"/>
      <w:numFmt w:val="bullet"/>
      <w:lvlText w:val="o"/>
      <w:lvlJc w:val="left"/>
      <w:pPr>
        <w:ind w:left="3600" w:hanging="360"/>
      </w:pPr>
      <w:rPr>
        <w:rFonts w:ascii="Courier New" w:hAnsi="Courier New" w:hint="default"/>
      </w:rPr>
    </w:lvl>
    <w:lvl w:ilvl="5" w:tplc="C734913C">
      <w:start w:val="1"/>
      <w:numFmt w:val="bullet"/>
      <w:lvlText w:val=""/>
      <w:lvlJc w:val="left"/>
      <w:pPr>
        <w:ind w:left="4320" w:hanging="360"/>
      </w:pPr>
      <w:rPr>
        <w:rFonts w:ascii="Wingdings" w:hAnsi="Wingdings" w:hint="default"/>
      </w:rPr>
    </w:lvl>
    <w:lvl w:ilvl="6" w:tplc="1678759A">
      <w:start w:val="1"/>
      <w:numFmt w:val="bullet"/>
      <w:lvlText w:val=""/>
      <w:lvlJc w:val="left"/>
      <w:pPr>
        <w:ind w:left="5040" w:hanging="360"/>
      </w:pPr>
      <w:rPr>
        <w:rFonts w:ascii="Symbol" w:hAnsi="Symbol" w:hint="default"/>
      </w:rPr>
    </w:lvl>
    <w:lvl w:ilvl="7" w:tplc="F294AF18">
      <w:start w:val="1"/>
      <w:numFmt w:val="bullet"/>
      <w:lvlText w:val="o"/>
      <w:lvlJc w:val="left"/>
      <w:pPr>
        <w:ind w:left="5760" w:hanging="360"/>
      </w:pPr>
      <w:rPr>
        <w:rFonts w:ascii="Courier New" w:hAnsi="Courier New" w:hint="default"/>
      </w:rPr>
    </w:lvl>
    <w:lvl w:ilvl="8" w:tplc="C2D02234">
      <w:start w:val="1"/>
      <w:numFmt w:val="bullet"/>
      <w:lvlText w:val=""/>
      <w:lvlJc w:val="left"/>
      <w:pPr>
        <w:ind w:left="648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0A7C7232"/>
    <w:multiLevelType w:val="hybridMultilevel"/>
    <w:tmpl w:val="5AFC08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97195"/>
    <w:multiLevelType w:val="hybridMultilevel"/>
    <w:tmpl w:val="417233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7" w15:restartNumberingAfterBreak="0">
    <w:nsid w:val="28B45CD4"/>
    <w:multiLevelType w:val="hybridMultilevel"/>
    <w:tmpl w:val="FFFFFFFF"/>
    <w:lvl w:ilvl="0" w:tplc="604E1070">
      <w:start w:val="1"/>
      <w:numFmt w:val="bullet"/>
      <w:lvlText w:val=""/>
      <w:lvlJc w:val="left"/>
      <w:pPr>
        <w:ind w:left="720" w:hanging="360"/>
      </w:pPr>
      <w:rPr>
        <w:rFonts w:ascii="Symbol" w:hAnsi="Symbol" w:hint="default"/>
      </w:rPr>
    </w:lvl>
    <w:lvl w:ilvl="1" w:tplc="DBC46CAA">
      <w:start w:val="1"/>
      <w:numFmt w:val="bullet"/>
      <w:lvlText w:val="o"/>
      <w:lvlJc w:val="left"/>
      <w:pPr>
        <w:ind w:left="1440" w:hanging="360"/>
      </w:pPr>
      <w:rPr>
        <w:rFonts w:ascii="Courier New" w:hAnsi="Courier New" w:hint="default"/>
      </w:rPr>
    </w:lvl>
    <w:lvl w:ilvl="2" w:tplc="372E4F5C">
      <w:start w:val="1"/>
      <w:numFmt w:val="bullet"/>
      <w:lvlText w:val=""/>
      <w:lvlJc w:val="left"/>
      <w:pPr>
        <w:ind w:left="2160" w:hanging="360"/>
      </w:pPr>
      <w:rPr>
        <w:rFonts w:ascii="Wingdings" w:hAnsi="Wingdings" w:hint="default"/>
      </w:rPr>
    </w:lvl>
    <w:lvl w:ilvl="3" w:tplc="D8AE1D36">
      <w:start w:val="1"/>
      <w:numFmt w:val="bullet"/>
      <w:lvlText w:val=""/>
      <w:lvlJc w:val="left"/>
      <w:pPr>
        <w:ind w:left="2880" w:hanging="360"/>
      </w:pPr>
      <w:rPr>
        <w:rFonts w:ascii="Symbol" w:hAnsi="Symbol" w:hint="default"/>
      </w:rPr>
    </w:lvl>
    <w:lvl w:ilvl="4" w:tplc="2612F588">
      <w:start w:val="1"/>
      <w:numFmt w:val="bullet"/>
      <w:lvlText w:val="o"/>
      <w:lvlJc w:val="left"/>
      <w:pPr>
        <w:ind w:left="3600" w:hanging="360"/>
      </w:pPr>
      <w:rPr>
        <w:rFonts w:ascii="Courier New" w:hAnsi="Courier New" w:hint="default"/>
      </w:rPr>
    </w:lvl>
    <w:lvl w:ilvl="5" w:tplc="F970FD7C">
      <w:start w:val="1"/>
      <w:numFmt w:val="bullet"/>
      <w:lvlText w:val=""/>
      <w:lvlJc w:val="left"/>
      <w:pPr>
        <w:ind w:left="4320" w:hanging="360"/>
      </w:pPr>
      <w:rPr>
        <w:rFonts w:ascii="Wingdings" w:hAnsi="Wingdings" w:hint="default"/>
      </w:rPr>
    </w:lvl>
    <w:lvl w:ilvl="6" w:tplc="416E9D1E">
      <w:start w:val="1"/>
      <w:numFmt w:val="bullet"/>
      <w:lvlText w:val=""/>
      <w:lvlJc w:val="left"/>
      <w:pPr>
        <w:ind w:left="5040" w:hanging="360"/>
      </w:pPr>
      <w:rPr>
        <w:rFonts w:ascii="Symbol" w:hAnsi="Symbol" w:hint="default"/>
      </w:rPr>
    </w:lvl>
    <w:lvl w:ilvl="7" w:tplc="F44EE82E">
      <w:start w:val="1"/>
      <w:numFmt w:val="bullet"/>
      <w:lvlText w:val="o"/>
      <w:lvlJc w:val="left"/>
      <w:pPr>
        <w:ind w:left="5760" w:hanging="360"/>
      </w:pPr>
      <w:rPr>
        <w:rFonts w:ascii="Courier New" w:hAnsi="Courier New" w:hint="default"/>
      </w:rPr>
    </w:lvl>
    <w:lvl w:ilvl="8" w:tplc="AE6CD09A">
      <w:start w:val="1"/>
      <w:numFmt w:val="bullet"/>
      <w:lvlText w:val=""/>
      <w:lvlJc w:val="left"/>
      <w:pPr>
        <w:ind w:left="6480" w:hanging="360"/>
      </w:pPr>
      <w:rPr>
        <w:rFonts w:ascii="Wingdings" w:hAnsi="Wingdings" w:hint="default"/>
      </w:rPr>
    </w:lvl>
  </w:abstractNum>
  <w:abstractNum w:abstractNumId="8" w15:restartNumberingAfterBreak="0">
    <w:nsid w:val="2A926B40"/>
    <w:multiLevelType w:val="hybridMultilevel"/>
    <w:tmpl w:val="7D9893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C65297"/>
    <w:multiLevelType w:val="hybridMultilevel"/>
    <w:tmpl w:val="4498E1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F0405A5"/>
    <w:multiLevelType w:val="hybridMultilevel"/>
    <w:tmpl w:val="FFFFFFFF"/>
    <w:lvl w:ilvl="0" w:tplc="EE9217AC">
      <w:start w:val="1"/>
      <w:numFmt w:val="bullet"/>
      <w:lvlText w:val=""/>
      <w:lvlJc w:val="left"/>
      <w:pPr>
        <w:ind w:left="720" w:hanging="360"/>
      </w:pPr>
      <w:rPr>
        <w:rFonts w:ascii="Symbol" w:hAnsi="Symbol" w:hint="default"/>
      </w:rPr>
    </w:lvl>
    <w:lvl w:ilvl="1" w:tplc="96663E74">
      <w:start w:val="1"/>
      <w:numFmt w:val="bullet"/>
      <w:lvlText w:val="o"/>
      <w:lvlJc w:val="left"/>
      <w:pPr>
        <w:ind w:left="1440" w:hanging="360"/>
      </w:pPr>
      <w:rPr>
        <w:rFonts w:ascii="Courier New" w:hAnsi="Courier New" w:hint="default"/>
      </w:rPr>
    </w:lvl>
    <w:lvl w:ilvl="2" w:tplc="4F76D266">
      <w:start w:val="1"/>
      <w:numFmt w:val="bullet"/>
      <w:lvlText w:val=""/>
      <w:lvlJc w:val="left"/>
      <w:pPr>
        <w:ind w:left="2160" w:hanging="360"/>
      </w:pPr>
      <w:rPr>
        <w:rFonts w:ascii="Wingdings" w:hAnsi="Wingdings" w:hint="default"/>
      </w:rPr>
    </w:lvl>
    <w:lvl w:ilvl="3" w:tplc="518CD3B6">
      <w:start w:val="1"/>
      <w:numFmt w:val="bullet"/>
      <w:lvlText w:val=""/>
      <w:lvlJc w:val="left"/>
      <w:pPr>
        <w:ind w:left="2880" w:hanging="360"/>
      </w:pPr>
      <w:rPr>
        <w:rFonts w:ascii="Symbol" w:hAnsi="Symbol" w:hint="default"/>
      </w:rPr>
    </w:lvl>
    <w:lvl w:ilvl="4" w:tplc="6E342CF0">
      <w:start w:val="1"/>
      <w:numFmt w:val="bullet"/>
      <w:lvlText w:val="o"/>
      <w:lvlJc w:val="left"/>
      <w:pPr>
        <w:ind w:left="3600" w:hanging="360"/>
      </w:pPr>
      <w:rPr>
        <w:rFonts w:ascii="Courier New" w:hAnsi="Courier New" w:hint="default"/>
      </w:rPr>
    </w:lvl>
    <w:lvl w:ilvl="5" w:tplc="798C80D8">
      <w:start w:val="1"/>
      <w:numFmt w:val="bullet"/>
      <w:lvlText w:val=""/>
      <w:lvlJc w:val="left"/>
      <w:pPr>
        <w:ind w:left="4320" w:hanging="360"/>
      </w:pPr>
      <w:rPr>
        <w:rFonts w:ascii="Wingdings" w:hAnsi="Wingdings" w:hint="default"/>
      </w:rPr>
    </w:lvl>
    <w:lvl w:ilvl="6" w:tplc="5B08A9D0">
      <w:start w:val="1"/>
      <w:numFmt w:val="bullet"/>
      <w:lvlText w:val=""/>
      <w:lvlJc w:val="left"/>
      <w:pPr>
        <w:ind w:left="5040" w:hanging="360"/>
      </w:pPr>
      <w:rPr>
        <w:rFonts w:ascii="Symbol" w:hAnsi="Symbol" w:hint="default"/>
      </w:rPr>
    </w:lvl>
    <w:lvl w:ilvl="7" w:tplc="12AA64AA">
      <w:start w:val="1"/>
      <w:numFmt w:val="bullet"/>
      <w:lvlText w:val="o"/>
      <w:lvlJc w:val="left"/>
      <w:pPr>
        <w:ind w:left="5760" w:hanging="360"/>
      </w:pPr>
      <w:rPr>
        <w:rFonts w:ascii="Courier New" w:hAnsi="Courier New" w:hint="default"/>
      </w:rPr>
    </w:lvl>
    <w:lvl w:ilvl="8" w:tplc="5D6C544A">
      <w:start w:val="1"/>
      <w:numFmt w:val="bullet"/>
      <w:lvlText w:val=""/>
      <w:lvlJc w:val="left"/>
      <w:pPr>
        <w:ind w:left="6480" w:hanging="360"/>
      </w:pPr>
      <w:rPr>
        <w:rFonts w:ascii="Wingdings" w:hAnsi="Wingdings" w:hint="default"/>
      </w:rPr>
    </w:lvl>
  </w:abstractNum>
  <w:abstractNum w:abstractNumId="12" w15:restartNumberingAfterBreak="0">
    <w:nsid w:val="364A70AE"/>
    <w:multiLevelType w:val="hybridMultilevel"/>
    <w:tmpl w:val="15B88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B905AD7"/>
    <w:multiLevelType w:val="hybridMultilevel"/>
    <w:tmpl w:val="FFFFFFFF"/>
    <w:lvl w:ilvl="0" w:tplc="2708BD92">
      <w:start w:val="1"/>
      <w:numFmt w:val="bullet"/>
      <w:lvlText w:val="·"/>
      <w:lvlJc w:val="left"/>
      <w:pPr>
        <w:ind w:left="720" w:hanging="360"/>
      </w:pPr>
      <w:rPr>
        <w:rFonts w:ascii="Symbol" w:hAnsi="Symbol" w:hint="default"/>
      </w:rPr>
    </w:lvl>
    <w:lvl w:ilvl="1" w:tplc="09DC926E">
      <w:start w:val="1"/>
      <w:numFmt w:val="bullet"/>
      <w:lvlText w:val="o"/>
      <w:lvlJc w:val="left"/>
      <w:pPr>
        <w:ind w:left="1440" w:hanging="360"/>
      </w:pPr>
      <w:rPr>
        <w:rFonts w:ascii="Courier New" w:hAnsi="Courier New" w:hint="default"/>
      </w:rPr>
    </w:lvl>
    <w:lvl w:ilvl="2" w:tplc="F8A0A810">
      <w:start w:val="1"/>
      <w:numFmt w:val="bullet"/>
      <w:lvlText w:val=""/>
      <w:lvlJc w:val="left"/>
      <w:pPr>
        <w:ind w:left="2160" w:hanging="360"/>
      </w:pPr>
      <w:rPr>
        <w:rFonts w:ascii="Wingdings" w:hAnsi="Wingdings" w:hint="default"/>
      </w:rPr>
    </w:lvl>
    <w:lvl w:ilvl="3" w:tplc="D7067E88">
      <w:start w:val="1"/>
      <w:numFmt w:val="bullet"/>
      <w:lvlText w:val=""/>
      <w:lvlJc w:val="left"/>
      <w:pPr>
        <w:ind w:left="2880" w:hanging="360"/>
      </w:pPr>
      <w:rPr>
        <w:rFonts w:ascii="Symbol" w:hAnsi="Symbol" w:hint="default"/>
      </w:rPr>
    </w:lvl>
    <w:lvl w:ilvl="4" w:tplc="C1209ECE">
      <w:start w:val="1"/>
      <w:numFmt w:val="bullet"/>
      <w:lvlText w:val="o"/>
      <w:lvlJc w:val="left"/>
      <w:pPr>
        <w:ind w:left="3600" w:hanging="360"/>
      </w:pPr>
      <w:rPr>
        <w:rFonts w:ascii="Courier New" w:hAnsi="Courier New" w:hint="default"/>
      </w:rPr>
    </w:lvl>
    <w:lvl w:ilvl="5" w:tplc="CCAA135E">
      <w:start w:val="1"/>
      <w:numFmt w:val="bullet"/>
      <w:lvlText w:val=""/>
      <w:lvlJc w:val="left"/>
      <w:pPr>
        <w:ind w:left="4320" w:hanging="360"/>
      </w:pPr>
      <w:rPr>
        <w:rFonts w:ascii="Wingdings" w:hAnsi="Wingdings" w:hint="default"/>
      </w:rPr>
    </w:lvl>
    <w:lvl w:ilvl="6" w:tplc="629A01C6">
      <w:start w:val="1"/>
      <w:numFmt w:val="bullet"/>
      <w:lvlText w:val=""/>
      <w:lvlJc w:val="left"/>
      <w:pPr>
        <w:ind w:left="5040" w:hanging="360"/>
      </w:pPr>
      <w:rPr>
        <w:rFonts w:ascii="Symbol" w:hAnsi="Symbol" w:hint="default"/>
      </w:rPr>
    </w:lvl>
    <w:lvl w:ilvl="7" w:tplc="73B2DAEE">
      <w:start w:val="1"/>
      <w:numFmt w:val="bullet"/>
      <w:lvlText w:val="o"/>
      <w:lvlJc w:val="left"/>
      <w:pPr>
        <w:ind w:left="5760" w:hanging="360"/>
      </w:pPr>
      <w:rPr>
        <w:rFonts w:ascii="Courier New" w:hAnsi="Courier New" w:hint="default"/>
      </w:rPr>
    </w:lvl>
    <w:lvl w:ilvl="8" w:tplc="78026C4C">
      <w:start w:val="1"/>
      <w:numFmt w:val="bullet"/>
      <w:lvlText w:val=""/>
      <w:lvlJc w:val="left"/>
      <w:pPr>
        <w:ind w:left="6480" w:hanging="360"/>
      </w:pPr>
      <w:rPr>
        <w:rFonts w:ascii="Wingdings" w:hAnsi="Wingdings" w:hint="default"/>
      </w:rPr>
    </w:lvl>
  </w:abstractNum>
  <w:abstractNum w:abstractNumId="14"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6"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7" w15:restartNumberingAfterBreak="0">
    <w:nsid w:val="536640CD"/>
    <w:multiLevelType w:val="hybridMultilevel"/>
    <w:tmpl w:val="26E8FF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71ECC90"/>
    <w:multiLevelType w:val="hybridMultilevel"/>
    <w:tmpl w:val="FFFFFFFF"/>
    <w:lvl w:ilvl="0" w:tplc="6B2612A6">
      <w:start w:val="1"/>
      <w:numFmt w:val="bullet"/>
      <w:lvlText w:val="·"/>
      <w:lvlJc w:val="left"/>
      <w:pPr>
        <w:ind w:left="720" w:hanging="360"/>
      </w:pPr>
      <w:rPr>
        <w:rFonts w:ascii="Symbol" w:hAnsi="Symbol" w:hint="default"/>
      </w:rPr>
    </w:lvl>
    <w:lvl w:ilvl="1" w:tplc="D5A0FBEE">
      <w:start w:val="1"/>
      <w:numFmt w:val="bullet"/>
      <w:lvlText w:val="o"/>
      <w:lvlJc w:val="left"/>
      <w:pPr>
        <w:ind w:left="1440" w:hanging="360"/>
      </w:pPr>
      <w:rPr>
        <w:rFonts w:ascii="Courier New" w:hAnsi="Courier New" w:hint="default"/>
      </w:rPr>
    </w:lvl>
    <w:lvl w:ilvl="2" w:tplc="9E0CB63C">
      <w:start w:val="1"/>
      <w:numFmt w:val="bullet"/>
      <w:lvlText w:val=""/>
      <w:lvlJc w:val="left"/>
      <w:pPr>
        <w:ind w:left="2160" w:hanging="360"/>
      </w:pPr>
      <w:rPr>
        <w:rFonts w:ascii="Wingdings" w:hAnsi="Wingdings" w:hint="default"/>
      </w:rPr>
    </w:lvl>
    <w:lvl w:ilvl="3" w:tplc="97C8570A">
      <w:start w:val="1"/>
      <w:numFmt w:val="bullet"/>
      <w:lvlText w:val=""/>
      <w:lvlJc w:val="left"/>
      <w:pPr>
        <w:ind w:left="2880" w:hanging="360"/>
      </w:pPr>
      <w:rPr>
        <w:rFonts w:ascii="Symbol" w:hAnsi="Symbol" w:hint="default"/>
      </w:rPr>
    </w:lvl>
    <w:lvl w:ilvl="4" w:tplc="88104304">
      <w:start w:val="1"/>
      <w:numFmt w:val="bullet"/>
      <w:lvlText w:val="o"/>
      <w:lvlJc w:val="left"/>
      <w:pPr>
        <w:ind w:left="3600" w:hanging="360"/>
      </w:pPr>
      <w:rPr>
        <w:rFonts w:ascii="Courier New" w:hAnsi="Courier New" w:hint="default"/>
      </w:rPr>
    </w:lvl>
    <w:lvl w:ilvl="5" w:tplc="3F10C796">
      <w:start w:val="1"/>
      <w:numFmt w:val="bullet"/>
      <w:lvlText w:val=""/>
      <w:lvlJc w:val="left"/>
      <w:pPr>
        <w:ind w:left="4320" w:hanging="360"/>
      </w:pPr>
      <w:rPr>
        <w:rFonts w:ascii="Wingdings" w:hAnsi="Wingdings" w:hint="default"/>
      </w:rPr>
    </w:lvl>
    <w:lvl w:ilvl="6" w:tplc="4114EC8C">
      <w:start w:val="1"/>
      <w:numFmt w:val="bullet"/>
      <w:lvlText w:val=""/>
      <w:lvlJc w:val="left"/>
      <w:pPr>
        <w:ind w:left="5040" w:hanging="360"/>
      </w:pPr>
      <w:rPr>
        <w:rFonts w:ascii="Symbol" w:hAnsi="Symbol" w:hint="default"/>
      </w:rPr>
    </w:lvl>
    <w:lvl w:ilvl="7" w:tplc="44EA4D80">
      <w:start w:val="1"/>
      <w:numFmt w:val="bullet"/>
      <w:lvlText w:val="o"/>
      <w:lvlJc w:val="left"/>
      <w:pPr>
        <w:ind w:left="5760" w:hanging="360"/>
      </w:pPr>
      <w:rPr>
        <w:rFonts w:ascii="Courier New" w:hAnsi="Courier New" w:hint="default"/>
      </w:rPr>
    </w:lvl>
    <w:lvl w:ilvl="8" w:tplc="7AB016FC">
      <w:start w:val="1"/>
      <w:numFmt w:val="bullet"/>
      <w:lvlText w:val=""/>
      <w:lvlJc w:val="left"/>
      <w:pPr>
        <w:ind w:left="6480" w:hanging="360"/>
      </w:pPr>
      <w:rPr>
        <w:rFonts w:ascii="Wingdings" w:hAnsi="Wingdings" w:hint="default"/>
      </w:rPr>
    </w:lvl>
  </w:abstractNum>
  <w:abstractNum w:abstractNumId="19" w15:restartNumberingAfterBreak="0">
    <w:nsid w:val="5C2A2E90"/>
    <w:multiLevelType w:val="hybridMultilevel"/>
    <w:tmpl w:val="FFFFFFFF"/>
    <w:lvl w:ilvl="0" w:tplc="D4A69260">
      <w:start w:val="1"/>
      <w:numFmt w:val="bullet"/>
      <w:lvlText w:val="·"/>
      <w:lvlJc w:val="left"/>
      <w:pPr>
        <w:ind w:left="720" w:hanging="360"/>
      </w:pPr>
      <w:rPr>
        <w:rFonts w:ascii="Symbol" w:hAnsi="Symbol" w:hint="default"/>
      </w:rPr>
    </w:lvl>
    <w:lvl w:ilvl="1" w:tplc="06F2CCD4">
      <w:start w:val="1"/>
      <w:numFmt w:val="bullet"/>
      <w:lvlText w:val="o"/>
      <w:lvlJc w:val="left"/>
      <w:pPr>
        <w:ind w:left="1440" w:hanging="360"/>
      </w:pPr>
      <w:rPr>
        <w:rFonts w:ascii="Courier New" w:hAnsi="Courier New" w:hint="default"/>
      </w:rPr>
    </w:lvl>
    <w:lvl w:ilvl="2" w:tplc="697AF95A">
      <w:start w:val="1"/>
      <w:numFmt w:val="bullet"/>
      <w:lvlText w:val=""/>
      <w:lvlJc w:val="left"/>
      <w:pPr>
        <w:ind w:left="2160" w:hanging="360"/>
      </w:pPr>
      <w:rPr>
        <w:rFonts w:ascii="Wingdings" w:hAnsi="Wingdings" w:hint="default"/>
      </w:rPr>
    </w:lvl>
    <w:lvl w:ilvl="3" w:tplc="7D1C4222">
      <w:start w:val="1"/>
      <w:numFmt w:val="bullet"/>
      <w:lvlText w:val=""/>
      <w:lvlJc w:val="left"/>
      <w:pPr>
        <w:ind w:left="2880" w:hanging="360"/>
      </w:pPr>
      <w:rPr>
        <w:rFonts w:ascii="Symbol" w:hAnsi="Symbol" w:hint="default"/>
      </w:rPr>
    </w:lvl>
    <w:lvl w:ilvl="4" w:tplc="882ECBC2">
      <w:start w:val="1"/>
      <w:numFmt w:val="bullet"/>
      <w:lvlText w:val="o"/>
      <w:lvlJc w:val="left"/>
      <w:pPr>
        <w:ind w:left="3600" w:hanging="360"/>
      </w:pPr>
      <w:rPr>
        <w:rFonts w:ascii="Courier New" w:hAnsi="Courier New" w:hint="default"/>
      </w:rPr>
    </w:lvl>
    <w:lvl w:ilvl="5" w:tplc="6008A942">
      <w:start w:val="1"/>
      <w:numFmt w:val="bullet"/>
      <w:lvlText w:val=""/>
      <w:lvlJc w:val="left"/>
      <w:pPr>
        <w:ind w:left="4320" w:hanging="360"/>
      </w:pPr>
      <w:rPr>
        <w:rFonts w:ascii="Wingdings" w:hAnsi="Wingdings" w:hint="default"/>
      </w:rPr>
    </w:lvl>
    <w:lvl w:ilvl="6" w:tplc="FA181A46">
      <w:start w:val="1"/>
      <w:numFmt w:val="bullet"/>
      <w:lvlText w:val=""/>
      <w:lvlJc w:val="left"/>
      <w:pPr>
        <w:ind w:left="5040" w:hanging="360"/>
      </w:pPr>
      <w:rPr>
        <w:rFonts w:ascii="Symbol" w:hAnsi="Symbol" w:hint="default"/>
      </w:rPr>
    </w:lvl>
    <w:lvl w:ilvl="7" w:tplc="70F87736">
      <w:start w:val="1"/>
      <w:numFmt w:val="bullet"/>
      <w:lvlText w:val="o"/>
      <w:lvlJc w:val="left"/>
      <w:pPr>
        <w:ind w:left="5760" w:hanging="360"/>
      </w:pPr>
      <w:rPr>
        <w:rFonts w:ascii="Courier New" w:hAnsi="Courier New" w:hint="default"/>
      </w:rPr>
    </w:lvl>
    <w:lvl w:ilvl="8" w:tplc="EF1A4B68">
      <w:start w:val="1"/>
      <w:numFmt w:val="bullet"/>
      <w:lvlText w:val=""/>
      <w:lvlJc w:val="left"/>
      <w:pPr>
        <w:ind w:left="6480" w:hanging="360"/>
      </w:pPr>
      <w:rPr>
        <w:rFonts w:ascii="Wingdings" w:hAnsi="Wingdings" w:hint="default"/>
      </w:rPr>
    </w:lvl>
  </w:abstractNum>
  <w:abstractNum w:abstractNumId="20" w15:restartNumberingAfterBreak="0">
    <w:nsid w:val="61037669"/>
    <w:multiLevelType w:val="hybridMultilevel"/>
    <w:tmpl w:val="B7DAA0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70268E1"/>
    <w:multiLevelType w:val="hybridMultilevel"/>
    <w:tmpl w:val="FFFFFFFF"/>
    <w:lvl w:ilvl="0" w:tplc="B7106E7A">
      <w:start w:val="1"/>
      <w:numFmt w:val="bullet"/>
      <w:lvlText w:val=""/>
      <w:lvlJc w:val="left"/>
      <w:pPr>
        <w:ind w:left="720" w:hanging="360"/>
      </w:pPr>
      <w:rPr>
        <w:rFonts w:ascii="Symbol" w:hAnsi="Symbol" w:hint="default"/>
      </w:rPr>
    </w:lvl>
    <w:lvl w:ilvl="1" w:tplc="B190702A">
      <w:start w:val="1"/>
      <w:numFmt w:val="bullet"/>
      <w:lvlText w:val="o"/>
      <w:lvlJc w:val="left"/>
      <w:pPr>
        <w:ind w:left="1440" w:hanging="360"/>
      </w:pPr>
      <w:rPr>
        <w:rFonts w:ascii="Courier New" w:hAnsi="Courier New" w:hint="default"/>
      </w:rPr>
    </w:lvl>
    <w:lvl w:ilvl="2" w:tplc="7C4E51F4">
      <w:start w:val="1"/>
      <w:numFmt w:val="bullet"/>
      <w:lvlText w:val=""/>
      <w:lvlJc w:val="left"/>
      <w:pPr>
        <w:ind w:left="2160" w:hanging="360"/>
      </w:pPr>
      <w:rPr>
        <w:rFonts w:ascii="Wingdings" w:hAnsi="Wingdings" w:hint="default"/>
      </w:rPr>
    </w:lvl>
    <w:lvl w:ilvl="3" w:tplc="6C986E44">
      <w:start w:val="1"/>
      <w:numFmt w:val="bullet"/>
      <w:lvlText w:val=""/>
      <w:lvlJc w:val="left"/>
      <w:pPr>
        <w:ind w:left="2880" w:hanging="360"/>
      </w:pPr>
      <w:rPr>
        <w:rFonts w:ascii="Symbol" w:hAnsi="Symbol" w:hint="default"/>
      </w:rPr>
    </w:lvl>
    <w:lvl w:ilvl="4" w:tplc="9E4EA80A">
      <w:start w:val="1"/>
      <w:numFmt w:val="bullet"/>
      <w:lvlText w:val="o"/>
      <w:lvlJc w:val="left"/>
      <w:pPr>
        <w:ind w:left="3600" w:hanging="360"/>
      </w:pPr>
      <w:rPr>
        <w:rFonts w:ascii="Courier New" w:hAnsi="Courier New" w:hint="default"/>
      </w:rPr>
    </w:lvl>
    <w:lvl w:ilvl="5" w:tplc="0EDC603C">
      <w:start w:val="1"/>
      <w:numFmt w:val="bullet"/>
      <w:lvlText w:val=""/>
      <w:lvlJc w:val="left"/>
      <w:pPr>
        <w:ind w:left="4320" w:hanging="360"/>
      </w:pPr>
      <w:rPr>
        <w:rFonts w:ascii="Wingdings" w:hAnsi="Wingdings" w:hint="default"/>
      </w:rPr>
    </w:lvl>
    <w:lvl w:ilvl="6" w:tplc="733E6FD0">
      <w:start w:val="1"/>
      <w:numFmt w:val="bullet"/>
      <w:lvlText w:val=""/>
      <w:lvlJc w:val="left"/>
      <w:pPr>
        <w:ind w:left="5040" w:hanging="360"/>
      </w:pPr>
      <w:rPr>
        <w:rFonts w:ascii="Symbol" w:hAnsi="Symbol" w:hint="default"/>
      </w:rPr>
    </w:lvl>
    <w:lvl w:ilvl="7" w:tplc="20FA9C0A">
      <w:start w:val="1"/>
      <w:numFmt w:val="bullet"/>
      <w:lvlText w:val="o"/>
      <w:lvlJc w:val="left"/>
      <w:pPr>
        <w:ind w:left="5760" w:hanging="360"/>
      </w:pPr>
      <w:rPr>
        <w:rFonts w:ascii="Courier New" w:hAnsi="Courier New" w:hint="default"/>
      </w:rPr>
    </w:lvl>
    <w:lvl w:ilvl="8" w:tplc="B8B81DB8">
      <w:start w:val="1"/>
      <w:numFmt w:val="bullet"/>
      <w:lvlText w:val=""/>
      <w:lvlJc w:val="left"/>
      <w:pPr>
        <w:ind w:left="6480" w:hanging="360"/>
      </w:pPr>
      <w:rPr>
        <w:rFonts w:ascii="Wingdings" w:hAnsi="Wingdings" w:hint="default"/>
      </w:rPr>
    </w:lvl>
  </w:abstractNum>
  <w:abstractNum w:abstractNumId="22"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B1842"/>
    <w:multiLevelType w:val="hybridMultilevel"/>
    <w:tmpl w:val="1346B9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13929002">
    <w:abstractNumId w:val="6"/>
  </w:num>
  <w:num w:numId="2" w16cid:durableId="1322931495">
    <w:abstractNumId w:val="10"/>
  </w:num>
  <w:num w:numId="3" w16cid:durableId="550919279">
    <w:abstractNumId w:val="4"/>
  </w:num>
  <w:num w:numId="4" w16cid:durableId="1228884448">
    <w:abstractNumId w:val="14"/>
  </w:num>
  <w:num w:numId="5" w16cid:durableId="1680305189">
    <w:abstractNumId w:val="3"/>
  </w:num>
  <w:num w:numId="6" w16cid:durableId="19863456">
    <w:abstractNumId w:val="16"/>
  </w:num>
  <w:num w:numId="7" w16cid:durableId="424225272">
    <w:abstractNumId w:val="15"/>
  </w:num>
  <w:num w:numId="8" w16cid:durableId="497036988">
    <w:abstractNumId w:val="1"/>
  </w:num>
  <w:num w:numId="9" w16cid:durableId="805589285">
    <w:abstractNumId w:val="22"/>
  </w:num>
  <w:num w:numId="10" w16cid:durableId="425151440">
    <w:abstractNumId w:val="2"/>
  </w:num>
  <w:num w:numId="11" w16cid:durableId="437454985">
    <w:abstractNumId w:val="12"/>
  </w:num>
  <w:num w:numId="12" w16cid:durableId="1708600907">
    <w:abstractNumId w:val="5"/>
  </w:num>
  <w:num w:numId="13" w16cid:durableId="345638948">
    <w:abstractNumId w:val="17"/>
  </w:num>
  <w:num w:numId="14" w16cid:durableId="1023290974">
    <w:abstractNumId w:val="20"/>
  </w:num>
  <w:num w:numId="15" w16cid:durableId="1465082663">
    <w:abstractNumId w:val="23"/>
  </w:num>
  <w:num w:numId="16" w16cid:durableId="786312560">
    <w:abstractNumId w:val="8"/>
  </w:num>
  <w:num w:numId="17" w16cid:durableId="658507874">
    <w:abstractNumId w:val="0"/>
  </w:num>
  <w:num w:numId="18" w16cid:durableId="367729529">
    <w:abstractNumId w:val="9"/>
  </w:num>
  <w:num w:numId="19" w16cid:durableId="60325590">
    <w:abstractNumId w:val="18"/>
  </w:num>
  <w:num w:numId="20" w16cid:durableId="2013142875">
    <w:abstractNumId w:val="11"/>
  </w:num>
  <w:num w:numId="21" w16cid:durableId="1353922017">
    <w:abstractNumId w:val="7"/>
  </w:num>
  <w:num w:numId="22" w16cid:durableId="804616565">
    <w:abstractNumId w:val="13"/>
  </w:num>
  <w:num w:numId="23" w16cid:durableId="1986158862">
    <w:abstractNumId w:val="19"/>
  </w:num>
  <w:num w:numId="24" w16cid:durableId="1542397231">
    <w:abstractNumId w:val="21"/>
  </w:num>
  <w:num w:numId="25" w16cid:durableId="1521436550">
    <w:abstractNumId w:val="15"/>
  </w:num>
  <w:num w:numId="26" w16cid:durableId="179308666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177F"/>
    <w:rsid w:val="000037D9"/>
    <w:rsid w:val="00004DAB"/>
    <w:rsid w:val="00004EAB"/>
    <w:rsid w:val="000064D6"/>
    <w:rsid w:val="000074F5"/>
    <w:rsid w:val="0001359D"/>
    <w:rsid w:val="00015387"/>
    <w:rsid w:val="00017230"/>
    <w:rsid w:val="000213E9"/>
    <w:rsid w:val="00024178"/>
    <w:rsid w:val="00026CEC"/>
    <w:rsid w:val="00027A6D"/>
    <w:rsid w:val="00027D14"/>
    <w:rsid w:val="0003076E"/>
    <w:rsid w:val="00030E8C"/>
    <w:rsid w:val="00030F8B"/>
    <w:rsid w:val="00031D9A"/>
    <w:rsid w:val="00032206"/>
    <w:rsid w:val="000324D6"/>
    <w:rsid w:val="000338B2"/>
    <w:rsid w:val="00033E50"/>
    <w:rsid w:val="000348F5"/>
    <w:rsid w:val="00035501"/>
    <w:rsid w:val="00035A97"/>
    <w:rsid w:val="00040735"/>
    <w:rsid w:val="00040D76"/>
    <w:rsid w:val="0004402D"/>
    <w:rsid w:val="00044517"/>
    <w:rsid w:val="00044B72"/>
    <w:rsid w:val="00044FDE"/>
    <w:rsid w:val="000454E8"/>
    <w:rsid w:val="000469CE"/>
    <w:rsid w:val="00046DAE"/>
    <w:rsid w:val="0005102C"/>
    <w:rsid w:val="000523FB"/>
    <w:rsid w:val="00052575"/>
    <w:rsid w:val="00052588"/>
    <w:rsid w:val="0005294D"/>
    <w:rsid w:val="00052AF9"/>
    <w:rsid w:val="000542B8"/>
    <w:rsid w:val="00055124"/>
    <w:rsid w:val="00055536"/>
    <w:rsid w:val="000569AE"/>
    <w:rsid w:val="00057397"/>
    <w:rsid w:val="00064C7A"/>
    <w:rsid w:val="00064F25"/>
    <w:rsid w:val="00066353"/>
    <w:rsid w:val="00070410"/>
    <w:rsid w:val="00073414"/>
    <w:rsid w:val="000759B8"/>
    <w:rsid w:val="0007622D"/>
    <w:rsid w:val="0007759B"/>
    <w:rsid w:val="000812D1"/>
    <w:rsid w:val="00081B67"/>
    <w:rsid w:val="00083BCB"/>
    <w:rsid w:val="00085197"/>
    <w:rsid w:val="00086B50"/>
    <w:rsid w:val="0009196C"/>
    <w:rsid w:val="00092266"/>
    <w:rsid w:val="0009312A"/>
    <w:rsid w:val="000949AD"/>
    <w:rsid w:val="000A33C7"/>
    <w:rsid w:val="000A44BB"/>
    <w:rsid w:val="000A5133"/>
    <w:rsid w:val="000A655C"/>
    <w:rsid w:val="000A69AD"/>
    <w:rsid w:val="000B03E2"/>
    <w:rsid w:val="000B74AE"/>
    <w:rsid w:val="000B75F3"/>
    <w:rsid w:val="000B7621"/>
    <w:rsid w:val="000B7665"/>
    <w:rsid w:val="000B7B86"/>
    <w:rsid w:val="000C00F5"/>
    <w:rsid w:val="000C05D5"/>
    <w:rsid w:val="000C0B95"/>
    <w:rsid w:val="000C0FE0"/>
    <w:rsid w:val="000C1D34"/>
    <w:rsid w:val="000C1DF4"/>
    <w:rsid w:val="000C203E"/>
    <w:rsid w:val="000C2DB8"/>
    <w:rsid w:val="000C3046"/>
    <w:rsid w:val="000C47D7"/>
    <w:rsid w:val="000C4EB9"/>
    <w:rsid w:val="000C5804"/>
    <w:rsid w:val="000C7342"/>
    <w:rsid w:val="000D3045"/>
    <w:rsid w:val="000D34F9"/>
    <w:rsid w:val="000D4550"/>
    <w:rsid w:val="000D470D"/>
    <w:rsid w:val="000D65EB"/>
    <w:rsid w:val="000E0DC7"/>
    <w:rsid w:val="000E24C7"/>
    <w:rsid w:val="000E2815"/>
    <w:rsid w:val="000E4EB2"/>
    <w:rsid w:val="000E5F57"/>
    <w:rsid w:val="000E61AB"/>
    <w:rsid w:val="000F040F"/>
    <w:rsid w:val="000F1644"/>
    <w:rsid w:val="000F17E6"/>
    <w:rsid w:val="000F2033"/>
    <w:rsid w:val="000F2925"/>
    <w:rsid w:val="000F4CB2"/>
    <w:rsid w:val="000F6863"/>
    <w:rsid w:val="000F68AF"/>
    <w:rsid w:val="000F6AFE"/>
    <w:rsid w:val="00101323"/>
    <w:rsid w:val="00101EC0"/>
    <w:rsid w:val="001042CC"/>
    <w:rsid w:val="00105EC1"/>
    <w:rsid w:val="00107154"/>
    <w:rsid w:val="00107CF2"/>
    <w:rsid w:val="00110710"/>
    <w:rsid w:val="001109B7"/>
    <w:rsid w:val="001114D1"/>
    <w:rsid w:val="00111592"/>
    <w:rsid w:val="00111A19"/>
    <w:rsid w:val="00115E58"/>
    <w:rsid w:val="00116BCD"/>
    <w:rsid w:val="0011701E"/>
    <w:rsid w:val="0011730B"/>
    <w:rsid w:val="00120387"/>
    <w:rsid w:val="001214BB"/>
    <w:rsid w:val="00123A0D"/>
    <w:rsid w:val="001261D1"/>
    <w:rsid w:val="00130104"/>
    <w:rsid w:val="00130556"/>
    <w:rsid w:val="00130894"/>
    <w:rsid w:val="00130B1E"/>
    <w:rsid w:val="001313D9"/>
    <w:rsid w:val="00132E78"/>
    <w:rsid w:val="00134B08"/>
    <w:rsid w:val="0013595F"/>
    <w:rsid w:val="001376CA"/>
    <w:rsid w:val="00140F99"/>
    <w:rsid w:val="00144BC1"/>
    <w:rsid w:val="00146063"/>
    <w:rsid w:val="001473EB"/>
    <w:rsid w:val="0015046E"/>
    <w:rsid w:val="0015065F"/>
    <w:rsid w:val="00150FAB"/>
    <w:rsid w:val="00151AE5"/>
    <w:rsid w:val="001535B9"/>
    <w:rsid w:val="001537B3"/>
    <w:rsid w:val="001538C5"/>
    <w:rsid w:val="00154DE8"/>
    <w:rsid w:val="00155F1D"/>
    <w:rsid w:val="001560E9"/>
    <w:rsid w:val="00157A58"/>
    <w:rsid w:val="00160B10"/>
    <w:rsid w:val="00160D78"/>
    <w:rsid w:val="00161B48"/>
    <w:rsid w:val="00163951"/>
    <w:rsid w:val="0016403A"/>
    <w:rsid w:val="00164193"/>
    <w:rsid w:val="001641D6"/>
    <w:rsid w:val="001659AC"/>
    <w:rsid w:val="00166271"/>
    <w:rsid w:val="0016780B"/>
    <w:rsid w:val="001701E6"/>
    <w:rsid w:val="00170C55"/>
    <w:rsid w:val="00171ACE"/>
    <w:rsid w:val="00173418"/>
    <w:rsid w:val="00173761"/>
    <w:rsid w:val="00173A12"/>
    <w:rsid w:val="00175AA7"/>
    <w:rsid w:val="00183469"/>
    <w:rsid w:val="00183AF9"/>
    <w:rsid w:val="00186CC4"/>
    <w:rsid w:val="0019072C"/>
    <w:rsid w:val="00190F21"/>
    <w:rsid w:val="001920C0"/>
    <w:rsid w:val="00192BE9"/>
    <w:rsid w:val="001931F5"/>
    <w:rsid w:val="001933C5"/>
    <w:rsid w:val="00196642"/>
    <w:rsid w:val="00196D77"/>
    <w:rsid w:val="0019942D"/>
    <w:rsid w:val="001A014E"/>
    <w:rsid w:val="001A0AA9"/>
    <w:rsid w:val="001A253D"/>
    <w:rsid w:val="001A696F"/>
    <w:rsid w:val="001B01FE"/>
    <w:rsid w:val="001B2144"/>
    <w:rsid w:val="001B2F4B"/>
    <w:rsid w:val="001B2FAD"/>
    <w:rsid w:val="001B4A6C"/>
    <w:rsid w:val="001B4E01"/>
    <w:rsid w:val="001B5724"/>
    <w:rsid w:val="001B5BEC"/>
    <w:rsid w:val="001B7534"/>
    <w:rsid w:val="001C0B13"/>
    <w:rsid w:val="001C1F73"/>
    <w:rsid w:val="001C23CF"/>
    <w:rsid w:val="001C3062"/>
    <w:rsid w:val="001C3BA3"/>
    <w:rsid w:val="001C4E4F"/>
    <w:rsid w:val="001C4E93"/>
    <w:rsid w:val="001C617B"/>
    <w:rsid w:val="001C74CD"/>
    <w:rsid w:val="001C79DD"/>
    <w:rsid w:val="001D1772"/>
    <w:rsid w:val="001D3952"/>
    <w:rsid w:val="001D3AE4"/>
    <w:rsid w:val="001D65BF"/>
    <w:rsid w:val="001D75EE"/>
    <w:rsid w:val="001E1F22"/>
    <w:rsid w:val="001E4BEC"/>
    <w:rsid w:val="001E6BC0"/>
    <w:rsid w:val="001F007D"/>
    <w:rsid w:val="001F11B3"/>
    <w:rsid w:val="001F18A8"/>
    <w:rsid w:val="001F2694"/>
    <w:rsid w:val="001F5163"/>
    <w:rsid w:val="001F63FD"/>
    <w:rsid w:val="001F6920"/>
    <w:rsid w:val="001F76B3"/>
    <w:rsid w:val="002011CF"/>
    <w:rsid w:val="00201266"/>
    <w:rsid w:val="00201642"/>
    <w:rsid w:val="00202409"/>
    <w:rsid w:val="00203113"/>
    <w:rsid w:val="00203CC1"/>
    <w:rsid w:val="00203CF4"/>
    <w:rsid w:val="00210A5D"/>
    <w:rsid w:val="00210B86"/>
    <w:rsid w:val="00210D74"/>
    <w:rsid w:val="00211809"/>
    <w:rsid w:val="0021187A"/>
    <w:rsid w:val="00212506"/>
    <w:rsid w:val="0021434F"/>
    <w:rsid w:val="00215050"/>
    <w:rsid w:val="002152E2"/>
    <w:rsid w:val="002169BF"/>
    <w:rsid w:val="0021713D"/>
    <w:rsid w:val="00223677"/>
    <w:rsid w:val="00224AC3"/>
    <w:rsid w:val="0022556E"/>
    <w:rsid w:val="00232250"/>
    <w:rsid w:val="00233082"/>
    <w:rsid w:val="00234572"/>
    <w:rsid w:val="002353A8"/>
    <w:rsid w:val="00236389"/>
    <w:rsid w:val="00237A1B"/>
    <w:rsid w:val="00240C43"/>
    <w:rsid w:val="00241CE5"/>
    <w:rsid w:val="00243C08"/>
    <w:rsid w:val="00247A7E"/>
    <w:rsid w:val="00250D1C"/>
    <w:rsid w:val="00254599"/>
    <w:rsid w:val="0025481A"/>
    <w:rsid w:val="002565E1"/>
    <w:rsid w:val="00257E4A"/>
    <w:rsid w:val="002611F9"/>
    <w:rsid w:val="00263627"/>
    <w:rsid w:val="00264A78"/>
    <w:rsid w:val="00265630"/>
    <w:rsid w:val="00265DB6"/>
    <w:rsid w:val="00271061"/>
    <w:rsid w:val="00272780"/>
    <w:rsid w:val="0027449D"/>
    <w:rsid w:val="00274FE3"/>
    <w:rsid w:val="00275477"/>
    <w:rsid w:val="00280D51"/>
    <w:rsid w:val="002818F4"/>
    <w:rsid w:val="002819D1"/>
    <w:rsid w:val="002837A9"/>
    <w:rsid w:val="002847F7"/>
    <w:rsid w:val="00287ED5"/>
    <w:rsid w:val="00291C71"/>
    <w:rsid w:val="00296CE1"/>
    <w:rsid w:val="00297E6E"/>
    <w:rsid w:val="002A1E04"/>
    <w:rsid w:val="002A2091"/>
    <w:rsid w:val="002A226D"/>
    <w:rsid w:val="002A305F"/>
    <w:rsid w:val="002A53AA"/>
    <w:rsid w:val="002A5FB3"/>
    <w:rsid w:val="002A6698"/>
    <w:rsid w:val="002A6B56"/>
    <w:rsid w:val="002B0DF0"/>
    <w:rsid w:val="002B353F"/>
    <w:rsid w:val="002B5D89"/>
    <w:rsid w:val="002B749A"/>
    <w:rsid w:val="002C0E59"/>
    <w:rsid w:val="002C0E77"/>
    <w:rsid w:val="002C0ED1"/>
    <w:rsid w:val="002C1DD6"/>
    <w:rsid w:val="002C4144"/>
    <w:rsid w:val="002C643B"/>
    <w:rsid w:val="002C6590"/>
    <w:rsid w:val="002D624E"/>
    <w:rsid w:val="002E0230"/>
    <w:rsid w:val="002E24D4"/>
    <w:rsid w:val="002E4009"/>
    <w:rsid w:val="002E55AD"/>
    <w:rsid w:val="002F107A"/>
    <w:rsid w:val="002F3A06"/>
    <w:rsid w:val="002F605B"/>
    <w:rsid w:val="00303173"/>
    <w:rsid w:val="00304ECB"/>
    <w:rsid w:val="00305C43"/>
    <w:rsid w:val="00306BB7"/>
    <w:rsid w:val="00307A8C"/>
    <w:rsid w:val="00307C6B"/>
    <w:rsid w:val="00310601"/>
    <w:rsid w:val="0031066D"/>
    <w:rsid w:val="00314869"/>
    <w:rsid w:val="003165AC"/>
    <w:rsid w:val="00316E1B"/>
    <w:rsid w:val="00317300"/>
    <w:rsid w:val="003176D9"/>
    <w:rsid w:val="00322CB9"/>
    <w:rsid w:val="00323108"/>
    <w:rsid w:val="0032330D"/>
    <w:rsid w:val="00324483"/>
    <w:rsid w:val="00326CAE"/>
    <w:rsid w:val="003276FA"/>
    <w:rsid w:val="00330E4A"/>
    <w:rsid w:val="0033319E"/>
    <w:rsid w:val="00333261"/>
    <w:rsid w:val="0033553B"/>
    <w:rsid w:val="00337396"/>
    <w:rsid w:val="0034052C"/>
    <w:rsid w:val="00342BD0"/>
    <w:rsid w:val="00344820"/>
    <w:rsid w:val="00344851"/>
    <w:rsid w:val="00347AA2"/>
    <w:rsid w:val="00350662"/>
    <w:rsid w:val="00350963"/>
    <w:rsid w:val="00350CCC"/>
    <w:rsid w:val="00352882"/>
    <w:rsid w:val="0035293B"/>
    <w:rsid w:val="00352E0A"/>
    <w:rsid w:val="003540CF"/>
    <w:rsid w:val="003549EE"/>
    <w:rsid w:val="00355024"/>
    <w:rsid w:val="00356071"/>
    <w:rsid w:val="00356171"/>
    <w:rsid w:val="003570CA"/>
    <w:rsid w:val="003578FC"/>
    <w:rsid w:val="00357A5D"/>
    <w:rsid w:val="00357F57"/>
    <w:rsid w:val="0036064F"/>
    <w:rsid w:val="003615EE"/>
    <w:rsid w:val="0036265F"/>
    <w:rsid w:val="00365E7F"/>
    <w:rsid w:val="0036666C"/>
    <w:rsid w:val="00366BED"/>
    <w:rsid w:val="00370B22"/>
    <w:rsid w:val="00372918"/>
    <w:rsid w:val="00372BD5"/>
    <w:rsid w:val="00372EA8"/>
    <w:rsid w:val="003751A4"/>
    <w:rsid w:val="00375A7C"/>
    <w:rsid w:val="00376570"/>
    <w:rsid w:val="00381AB2"/>
    <w:rsid w:val="00381E69"/>
    <w:rsid w:val="00384353"/>
    <w:rsid w:val="003851A4"/>
    <w:rsid w:val="00385768"/>
    <w:rsid w:val="003869F9"/>
    <w:rsid w:val="00386F03"/>
    <w:rsid w:val="00390CC4"/>
    <w:rsid w:val="00390E9A"/>
    <w:rsid w:val="00394313"/>
    <w:rsid w:val="003946E1"/>
    <w:rsid w:val="00395194"/>
    <w:rsid w:val="003957E7"/>
    <w:rsid w:val="003965AA"/>
    <w:rsid w:val="0039683A"/>
    <w:rsid w:val="00397618"/>
    <w:rsid w:val="003A066F"/>
    <w:rsid w:val="003A238C"/>
    <w:rsid w:val="003A25C2"/>
    <w:rsid w:val="003A336B"/>
    <w:rsid w:val="003A3A69"/>
    <w:rsid w:val="003A4EB8"/>
    <w:rsid w:val="003A5F58"/>
    <w:rsid w:val="003A72FB"/>
    <w:rsid w:val="003A773E"/>
    <w:rsid w:val="003AB4D2"/>
    <w:rsid w:val="003B0CCB"/>
    <w:rsid w:val="003B0FCE"/>
    <w:rsid w:val="003B227E"/>
    <w:rsid w:val="003B2EF0"/>
    <w:rsid w:val="003B312C"/>
    <w:rsid w:val="003B42F8"/>
    <w:rsid w:val="003B51D1"/>
    <w:rsid w:val="003C1516"/>
    <w:rsid w:val="003C156A"/>
    <w:rsid w:val="003C45D8"/>
    <w:rsid w:val="003C4738"/>
    <w:rsid w:val="003C4F41"/>
    <w:rsid w:val="003C6E42"/>
    <w:rsid w:val="003D0071"/>
    <w:rsid w:val="003D0145"/>
    <w:rsid w:val="003D0718"/>
    <w:rsid w:val="003D0D81"/>
    <w:rsid w:val="003D283F"/>
    <w:rsid w:val="003D2EAC"/>
    <w:rsid w:val="003E0362"/>
    <w:rsid w:val="003E09EA"/>
    <w:rsid w:val="003E2E5C"/>
    <w:rsid w:val="003E35A6"/>
    <w:rsid w:val="003E3B54"/>
    <w:rsid w:val="003E4F1F"/>
    <w:rsid w:val="003E5BE5"/>
    <w:rsid w:val="003E60EE"/>
    <w:rsid w:val="003E6393"/>
    <w:rsid w:val="003E7235"/>
    <w:rsid w:val="003E7800"/>
    <w:rsid w:val="003EC611"/>
    <w:rsid w:val="003F3341"/>
    <w:rsid w:val="003F3E9F"/>
    <w:rsid w:val="003F73D6"/>
    <w:rsid w:val="0040292E"/>
    <w:rsid w:val="004036CB"/>
    <w:rsid w:val="004037DB"/>
    <w:rsid w:val="00403A1F"/>
    <w:rsid w:val="00404A52"/>
    <w:rsid w:val="00407712"/>
    <w:rsid w:val="00411B48"/>
    <w:rsid w:val="004120ED"/>
    <w:rsid w:val="004143B0"/>
    <w:rsid w:val="004166EE"/>
    <w:rsid w:val="004167FA"/>
    <w:rsid w:val="00416C11"/>
    <w:rsid w:val="0042263D"/>
    <w:rsid w:val="004230BA"/>
    <w:rsid w:val="004234CE"/>
    <w:rsid w:val="004243B4"/>
    <w:rsid w:val="00425925"/>
    <w:rsid w:val="004259A6"/>
    <w:rsid w:val="00426194"/>
    <w:rsid w:val="00430E49"/>
    <w:rsid w:val="004317E9"/>
    <w:rsid w:val="00431DE9"/>
    <w:rsid w:val="004320EE"/>
    <w:rsid w:val="00433AE8"/>
    <w:rsid w:val="004348F1"/>
    <w:rsid w:val="00437396"/>
    <w:rsid w:val="00440FA5"/>
    <w:rsid w:val="00444C08"/>
    <w:rsid w:val="00446060"/>
    <w:rsid w:val="0044741C"/>
    <w:rsid w:val="00450945"/>
    <w:rsid w:val="00452264"/>
    <w:rsid w:val="00452556"/>
    <w:rsid w:val="004529B7"/>
    <w:rsid w:val="00452CC0"/>
    <w:rsid w:val="00452DA0"/>
    <w:rsid w:val="004555D9"/>
    <w:rsid w:val="00456142"/>
    <w:rsid w:val="00456636"/>
    <w:rsid w:val="00456BCB"/>
    <w:rsid w:val="00456E03"/>
    <w:rsid w:val="00461C3F"/>
    <w:rsid w:val="0046201C"/>
    <w:rsid w:val="004622CF"/>
    <w:rsid w:val="00462721"/>
    <w:rsid w:val="00464ED3"/>
    <w:rsid w:val="004661B2"/>
    <w:rsid w:val="004676E2"/>
    <w:rsid w:val="00467C30"/>
    <w:rsid w:val="004743BD"/>
    <w:rsid w:val="00474F63"/>
    <w:rsid w:val="00477E7B"/>
    <w:rsid w:val="00480614"/>
    <w:rsid w:val="00483AA4"/>
    <w:rsid w:val="00484282"/>
    <w:rsid w:val="004854A4"/>
    <w:rsid w:val="0048557D"/>
    <w:rsid w:val="00485A2E"/>
    <w:rsid w:val="00487711"/>
    <w:rsid w:val="0048788B"/>
    <w:rsid w:val="00490DB7"/>
    <w:rsid w:val="0049125A"/>
    <w:rsid w:val="004918D5"/>
    <w:rsid w:val="00492932"/>
    <w:rsid w:val="00492DF9"/>
    <w:rsid w:val="00493060"/>
    <w:rsid w:val="00494F47"/>
    <w:rsid w:val="00495BEB"/>
    <w:rsid w:val="00497C7F"/>
    <w:rsid w:val="00497F71"/>
    <w:rsid w:val="004A00A8"/>
    <w:rsid w:val="004A117A"/>
    <w:rsid w:val="004A169B"/>
    <w:rsid w:val="004A1A3F"/>
    <w:rsid w:val="004A1A7B"/>
    <w:rsid w:val="004A3E70"/>
    <w:rsid w:val="004A42ED"/>
    <w:rsid w:val="004A51F0"/>
    <w:rsid w:val="004A6F9B"/>
    <w:rsid w:val="004B104D"/>
    <w:rsid w:val="004B163D"/>
    <w:rsid w:val="004B1F0C"/>
    <w:rsid w:val="004B24E9"/>
    <w:rsid w:val="004B3675"/>
    <w:rsid w:val="004B5F52"/>
    <w:rsid w:val="004B7B10"/>
    <w:rsid w:val="004C01A6"/>
    <w:rsid w:val="004C0F00"/>
    <w:rsid w:val="004C102F"/>
    <w:rsid w:val="004C3408"/>
    <w:rsid w:val="004C359E"/>
    <w:rsid w:val="004C47B3"/>
    <w:rsid w:val="004C48E3"/>
    <w:rsid w:val="004C79B7"/>
    <w:rsid w:val="004D33B0"/>
    <w:rsid w:val="004D3DF4"/>
    <w:rsid w:val="004D5840"/>
    <w:rsid w:val="004D62DE"/>
    <w:rsid w:val="004E100F"/>
    <w:rsid w:val="004E2AFD"/>
    <w:rsid w:val="004E2D43"/>
    <w:rsid w:val="004E3712"/>
    <w:rsid w:val="004E4993"/>
    <w:rsid w:val="004E6105"/>
    <w:rsid w:val="004F0BCD"/>
    <w:rsid w:val="004F0C12"/>
    <w:rsid w:val="004F1552"/>
    <w:rsid w:val="004F1D9C"/>
    <w:rsid w:val="004F2BDB"/>
    <w:rsid w:val="004F43FF"/>
    <w:rsid w:val="004F4FC8"/>
    <w:rsid w:val="004F644E"/>
    <w:rsid w:val="004F64AF"/>
    <w:rsid w:val="004F6874"/>
    <w:rsid w:val="004F6908"/>
    <w:rsid w:val="004F6BF2"/>
    <w:rsid w:val="004F6CB7"/>
    <w:rsid w:val="004F6F15"/>
    <w:rsid w:val="004F8616"/>
    <w:rsid w:val="005011D9"/>
    <w:rsid w:val="00501408"/>
    <w:rsid w:val="00502163"/>
    <w:rsid w:val="00502342"/>
    <w:rsid w:val="005028AC"/>
    <w:rsid w:val="0050292E"/>
    <w:rsid w:val="005059C6"/>
    <w:rsid w:val="00510B9C"/>
    <w:rsid w:val="00510E93"/>
    <w:rsid w:val="00511263"/>
    <w:rsid w:val="005116AB"/>
    <w:rsid w:val="00511FA2"/>
    <w:rsid w:val="00512445"/>
    <w:rsid w:val="0051346C"/>
    <w:rsid w:val="005137B4"/>
    <w:rsid w:val="00513BE1"/>
    <w:rsid w:val="005141C7"/>
    <w:rsid w:val="00516843"/>
    <w:rsid w:val="00517C19"/>
    <w:rsid w:val="00522207"/>
    <w:rsid w:val="00523639"/>
    <w:rsid w:val="00523806"/>
    <w:rsid w:val="00524708"/>
    <w:rsid w:val="00524825"/>
    <w:rsid w:val="005248AE"/>
    <w:rsid w:val="00524DAE"/>
    <w:rsid w:val="00526BD1"/>
    <w:rsid w:val="0052749E"/>
    <w:rsid w:val="00530998"/>
    <w:rsid w:val="005317DE"/>
    <w:rsid w:val="00532FB1"/>
    <w:rsid w:val="00533065"/>
    <w:rsid w:val="00533439"/>
    <w:rsid w:val="00535F2B"/>
    <w:rsid w:val="005360A8"/>
    <w:rsid w:val="005361EC"/>
    <w:rsid w:val="00543135"/>
    <w:rsid w:val="005432D7"/>
    <w:rsid w:val="0054685E"/>
    <w:rsid w:val="0055005A"/>
    <w:rsid w:val="005515AF"/>
    <w:rsid w:val="005527A6"/>
    <w:rsid w:val="0055591A"/>
    <w:rsid w:val="0055618E"/>
    <w:rsid w:val="00557B12"/>
    <w:rsid w:val="00561BDD"/>
    <w:rsid w:val="0056288C"/>
    <w:rsid w:val="00563F3E"/>
    <w:rsid w:val="0056606B"/>
    <w:rsid w:val="00566B15"/>
    <w:rsid w:val="00567146"/>
    <w:rsid w:val="00575855"/>
    <w:rsid w:val="00576984"/>
    <w:rsid w:val="00576C2B"/>
    <w:rsid w:val="00582AC5"/>
    <w:rsid w:val="00582D40"/>
    <w:rsid w:val="00585385"/>
    <w:rsid w:val="00590221"/>
    <w:rsid w:val="005908DB"/>
    <w:rsid w:val="00591488"/>
    <w:rsid w:val="00591F60"/>
    <w:rsid w:val="00593D13"/>
    <w:rsid w:val="00594B16"/>
    <w:rsid w:val="005959F5"/>
    <w:rsid w:val="005A0A55"/>
    <w:rsid w:val="005A116C"/>
    <w:rsid w:val="005A1272"/>
    <w:rsid w:val="005A3EAF"/>
    <w:rsid w:val="005A41B4"/>
    <w:rsid w:val="005A4A42"/>
    <w:rsid w:val="005A6B81"/>
    <w:rsid w:val="005A7D09"/>
    <w:rsid w:val="005B2A40"/>
    <w:rsid w:val="005B3A69"/>
    <w:rsid w:val="005B40F2"/>
    <w:rsid w:val="005B42AE"/>
    <w:rsid w:val="005B5650"/>
    <w:rsid w:val="005B734D"/>
    <w:rsid w:val="005B79BF"/>
    <w:rsid w:val="005B7CA2"/>
    <w:rsid w:val="005C2A3A"/>
    <w:rsid w:val="005C46A0"/>
    <w:rsid w:val="005C5966"/>
    <w:rsid w:val="005C7D1F"/>
    <w:rsid w:val="005C7EB4"/>
    <w:rsid w:val="005D0A03"/>
    <w:rsid w:val="005D25FC"/>
    <w:rsid w:val="005D4165"/>
    <w:rsid w:val="005D450E"/>
    <w:rsid w:val="005D4F17"/>
    <w:rsid w:val="005D517E"/>
    <w:rsid w:val="005D561A"/>
    <w:rsid w:val="005D5C32"/>
    <w:rsid w:val="005D5F8F"/>
    <w:rsid w:val="005D7D42"/>
    <w:rsid w:val="005E2133"/>
    <w:rsid w:val="005E3782"/>
    <w:rsid w:val="005E4B63"/>
    <w:rsid w:val="005E6993"/>
    <w:rsid w:val="005F71BC"/>
    <w:rsid w:val="00603681"/>
    <w:rsid w:val="00605427"/>
    <w:rsid w:val="00605E45"/>
    <w:rsid w:val="0061078D"/>
    <w:rsid w:val="0061216A"/>
    <w:rsid w:val="006128C8"/>
    <w:rsid w:val="00613E1D"/>
    <w:rsid w:val="00613EAD"/>
    <w:rsid w:val="00616527"/>
    <w:rsid w:val="00620B0B"/>
    <w:rsid w:val="006218BD"/>
    <w:rsid w:val="00622E0C"/>
    <w:rsid w:val="00623BE2"/>
    <w:rsid w:val="0062485A"/>
    <w:rsid w:val="00625626"/>
    <w:rsid w:val="00625805"/>
    <w:rsid w:val="0062763F"/>
    <w:rsid w:val="00627818"/>
    <w:rsid w:val="006304BF"/>
    <w:rsid w:val="006312E7"/>
    <w:rsid w:val="00633CA3"/>
    <w:rsid w:val="00635AEE"/>
    <w:rsid w:val="00640529"/>
    <w:rsid w:val="00640F69"/>
    <w:rsid w:val="00641028"/>
    <w:rsid w:val="00641EE9"/>
    <w:rsid w:val="00644510"/>
    <w:rsid w:val="00644FCE"/>
    <w:rsid w:val="00646483"/>
    <w:rsid w:val="00647729"/>
    <w:rsid w:val="00651AA2"/>
    <w:rsid w:val="00651DED"/>
    <w:rsid w:val="00652D7B"/>
    <w:rsid w:val="0065460A"/>
    <w:rsid w:val="00655874"/>
    <w:rsid w:val="00661A56"/>
    <w:rsid w:val="0066606E"/>
    <w:rsid w:val="00666C12"/>
    <w:rsid w:val="00667AC8"/>
    <w:rsid w:val="00670FAA"/>
    <w:rsid w:val="0067144D"/>
    <w:rsid w:val="00671578"/>
    <w:rsid w:val="006741E9"/>
    <w:rsid w:val="006746B4"/>
    <w:rsid w:val="0067B254"/>
    <w:rsid w:val="00680162"/>
    <w:rsid w:val="006832AE"/>
    <w:rsid w:val="0068361F"/>
    <w:rsid w:val="006836A6"/>
    <w:rsid w:val="00683D10"/>
    <w:rsid w:val="00692301"/>
    <w:rsid w:val="00693144"/>
    <w:rsid w:val="00693674"/>
    <w:rsid w:val="00694628"/>
    <w:rsid w:val="006954F3"/>
    <w:rsid w:val="00695BB1"/>
    <w:rsid w:val="0069693A"/>
    <w:rsid w:val="006A1060"/>
    <w:rsid w:val="006A1139"/>
    <w:rsid w:val="006A62C7"/>
    <w:rsid w:val="006B15A1"/>
    <w:rsid w:val="006B38E2"/>
    <w:rsid w:val="006B3C37"/>
    <w:rsid w:val="006B4BAA"/>
    <w:rsid w:val="006B4D21"/>
    <w:rsid w:val="006B5667"/>
    <w:rsid w:val="006B7345"/>
    <w:rsid w:val="006B7A61"/>
    <w:rsid w:val="006C16EF"/>
    <w:rsid w:val="006C1D52"/>
    <w:rsid w:val="006C34FD"/>
    <w:rsid w:val="006C35CC"/>
    <w:rsid w:val="006C4E8B"/>
    <w:rsid w:val="006C553A"/>
    <w:rsid w:val="006C5D52"/>
    <w:rsid w:val="006C61B0"/>
    <w:rsid w:val="006C7B61"/>
    <w:rsid w:val="006D1C15"/>
    <w:rsid w:val="006D2B23"/>
    <w:rsid w:val="006D42AC"/>
    <w:rsid w:val="006E0CD8"/>
    <w:rsid w:val="006E1E1C"/>
    <w:rsid w:val="006E25CC"/>
    <w:rsid w:val="006E50BA"/>
    <w:rsid w:val="006E5124"/>
    <w:rsid w:val="006E5803"/>
    <w:rsid w:val="006E5AA5"/>
    <w:rsid w:val="006E7B8D"/>
    <w:rsid w:val="006F05B5"/>
    <w:rsid w:val="006F0A20"/>
    <w:rsid w:val="006F176B"/>
    <w:rsid w:val="006F4B8B"/>
    <w:rsid w:val="006F5A70"/>
    <w:rsid w:val="006F62BF"/>
    <w:rsid w:val="0070016E"/>
    <w:rsid w:val="0070033F"/>
    <w:rsid w:val="00701631"/>
    <w:rsid w:val="007017D2"/>
    <w:rsid w:val="0070270E"/>
    <w:rsid w:val="0070300B"/>
    <w:rsid w:val="00704EEF"/>
    <w:rsid w:val="00705DEE"/>
    <w:rsid w:val="0070741D"/>
    <w:rsid w:val="00710E8C"/>
    <w:rsid w:val="0071176D"/>
    <w:rsid w:val="00711F1B"/>
    <w:rsid w:val="00712B15"/>
    <w:rsid w:val="007135D0"/>
    <w:rsid w:val="00713F63"/>
    <w:rsid w:val="00714587"/>
    <w:rsid w:val="007162B1"/>
    <w:rsid w:val="00717159"/>
    <w:rsid w:val="0072025E"/>
    <w:rsid w:val="0072116A"/>
    <w:rsid w:val="00721CFE"/>
    <w:rsid w:val="00722206"/>
    <w:rsid w:val="00722339"/>
    <w:rsid w:val="00722A82"/>
    <w:rsid w:val="00724820"/>
    <w:rsid w:val="0072513F"/>
    <w:rsid w:val="007261CD"/>
    <w:rsid w:val="0072794A"/>
    <w:rsid w:val="00730653"/>
    <w:rsid w:val="007306FA"/>
    <w:rsid w:val="007314ED"/>
    <w:rsid w:val="00731836"/>
    <w:rsid w:val="007323ED"/>
    <w:rsid w:val="00733ED1"/>
    <w:rsid w:val="00734135"/>
    <w:rsid w:val="007350EA"/>
    <w:rsid w:val="00735C39"/>
    <w:rsid w:val="00743058"/>
    <w:rsid w:val="00743381"/>
    <w:rsid w:val="007506EE"/>
    <w:rsid w:val="00751153"/>
    <w:rsid w:val="00751307"/>
    <w:rsid w:val="00751A9E"/>
    <w:rsid w:val="00753095"/>
    <w:rsid w:val="00753EEE"/>
    <w:rsid w:val="00754C15"/>
    <w:rsid w:val="00755892"/>
    <w:rsid w:val="0075621E"/>
    <w:rsid w:val="00757D43"/>
    <w:rsid w:val="00761613"/>
    <w:rsid w:val="007616D4"/>
    <w:rsid w:val="00761CA8"/>
    <w:rsid w:val="00761F91"/>
    <w:rsid w:val="007622EA"/>
    <w:rsid w:val="00762B89"/>
    <w:rsid w:val="00764D1B"/>
    <w:rsid w:val="00766D26"/>
    <w:rsid w:val="007712AC"/>
    <w:rsid w:val="00771361"/>
    <w:rsid w:val="007728EB"/>
    <w:rsid w:val="0077601A"/>
    <w:rsid w:val="00776A66"/>
    <w:rsid w:val="00780EFA"/>
    <w:rsid w:val="007823FE"/>
    <w:rsid w:val="007836B4"/>
    <w:rsid w:val="00785A1E"/>
    <w:rsid w:val="00793D20"/>
    <w:rsid w:val="00794167"/>
    <w:rsid w:val="007941B3"/>
    <w:rsid w:val="00796525"/>
    <w:rsid w:val="00796BA1"/>
    <w:rsid w:val="007970EE"/>
    <w:rsid w:val="00797ACB"/>
    <w:rsid w:val="007A5CE9"/>
    <w:rsid w:val="007A6AAA"/>
    <w:rsid w:val="007A76BA"/>
    <w:rsid w:val="007A77DF"/>
    <w:rsid w:val="007B00F6"/>
    <w:rsid w:val="007B1A88"/>
    <w:rsid w:val="007B1E35"/>
    <w:rsid w:val="007B31F6"/>
    <w:rsid w:val="007B32B0"/>
    <w:rsid w:val="007B350B"/>
    <w:rsid w:val="007B3B28"/>
    <w:rsid w:val="007B64FE"/>
    <w:rsid w:val="007B6810"/>
    <w:rsid w:val="007C0DB7"/>
    <w:rsid w:val="007C1883"/>
    <w:rsid w:val="007C2DC5"/>
    <w:rsid w:val="007C2E26"/>
    <w:rsid w:val="007C3714"/>
    <w:rsid w:val="007C5CAD"/>
    <w:rsid w:val="007C6866"/>
    <w:rsid w:val="007D09AE"/>
    <w:rsid w:val="007D21CF"/>
    <w:rsid w:val="007D2D56"/>
    <w:rsid w:val="007D6550"/>
    <w:rsid w:val="007D7784"/>
    <w:rsid w:val="007E12EC"/>
    <w:rsid w:val="007E260E"/>
    <w:rsid w:val="007E4C84"/>
    <w:rsid w:val="007E6CC6"/>
    <w:rsid w:val="007E7080"/>
    <w:rsid w:val="007E7F5A"/>
    <w:rsid w:val="007F2C9A"/>
    <w:rsid w:val="007F34A4"/>
    <w:rsid w:val="007F41F9"/>
    <w:rsid w:val="007F4955"/>
    <w:rsid w:val="007F4D42"/>
    <w:rsid w:val="008035EC"/>
    <w:rsid w:val="00803F69"/>
    <w:rsid w:val="00804ACC"/>
    <w:rsid w:val="00806909"/>
    <w:rsid w:val="0080761E"/>
    <w:rsid w:val="0080780B"/>
    <w:rsid w:val="00811EE8"/>
    <w:rsid w:val="008127CA"/>
    <w:rsid w:val="008129C4"/>
    <w:rsid w:val="00814FD3"/>
    <w:rsid w:val="0081502B"/>
    <w:rsid w:val="00815EF9"/>
    <w:rsid w:val="00816695"/>
    <w:rsid w:val="008171B8"/>
    <w:rsid w:val="00820362"/>
    <w:rsid w:val="008206F1"/>
    <w:rsid w:val="00821370"/>
    <w:rsid w:val="008230ED"/>
    <w:rsid w:val="008232BC"/>
    <w:rsid w:val="00823456"/>
    <w:rsid w:val="00824C86"/>
    <w:rsid w:val="00825AC5"/>
    <w:rsid w:val="00825BF9"/>
    <w:rsid w:val="00826521"/>
    <w:rsid w:val="0082747D"/>
    <w:rsid w:val="00827FB5"/>
    <w:rsid w:val="00831EF6"/>
    <w:rsid w:val="00832DEA"/>
    <w:rsid w:val="008336CE"/>
    <w:rsid w:val="00833FF5"/>
    <w:rsid w:val="00835614"/>
    <w:rsid w:val="00835A9A"/>
    <w:rsid w:val="00842536"/>
    <w:rsid w:val="00842542"/>
    <w:rsid w:val="008460B0"/>
    <w:rsid w:val="00846824"/>
    <w:rsid w:val="008516ED"/>
    <w:rsid w:val="008525B4"/>
    <w:rsid w:val="008542C2"/>
    <w:rsid w:val="00854D5A"/>
    <w:rsid w:val="00855842"/>
    <w:rsid w:val="008566CB"/>
    <w:rsid w:val="00857920"/>
    <w:rsid w:val="00860486"/>
    <w:rsid w:val="00862177"/>
    <w:rsid w:val="00862356"/>
    <w:rsid w:val="00862A7C"/>
    <w:rsid w:val="008631D7"/>
    <w:rsid w:val="0086742E"/>
    <w:rsid w:val="008728E0"/>
    <w:rsid w:val="00874703"/>
    <w:rsid w:val="00874822"/>
    <w:rsid w:val="008757C6"/>
    <w:rsid w:val="008802E6"/>
    <w:rsid w:val="00880E82"/>
    <w:rsid w:val="00882314"/>
    <w:rsid w:val="008841EB"/>
    <w:rsid w:val="008843C4"/>
    <w:rsid w:val="00886B08"/>
    <w:rsid w:val="008923D0"/>
    <w:rsid w:val="00892B1B"/>
    <w:rsid w:val="00895D73"/>
    <w:rsid w:val="00896DC3"/>
    <w:rsid w:val="008A27F0"/>
    <w:rsid w:val="008A37A3"/>
    <w:rsid w:val="008B03F1"/>
    <w:rsid w:val="008B3684"/>
    <w:rsid w:val="008B3F7B"/>
    <w:rsid w:val="008B5E8B"/>
    <w:rsid w:val="008B7A4A"/>
    <w:rsid w:val="008C38B5"/>
    <w:rsid w:val="008C5973"/>
    <w:rsid w:val="008C7702"/>
    <w:rsid w:val="008C7907"/>
    <w:rsid w:val="008D39AE"/>
    <w:rsid w:val="008D6006"/>
    <w:rsid w:val="008D62B3"/>
    <w:rsid w:val="008D744A"/>
    <w:rsid w:val="008E1A8F"/>
    <w:rsid w:val="008E284D"/>
    <w:rsid w:val="008E2C7C"/>
    <w:rsid w:val="008E2F6C"/>
    <w:rsid w:val="008E5008"/>
    <w:rsid w:val="008E6710"/>
    <w:rsid w:val="008F0F36"/>
    <w:rsid w:val="008F0F84"/>
    <w:rsid w:val="008F1437"/>
    <w:rsid w:val="008F356A"/>
    <w:rsid w:val="008F3ABD"/>
    <w:rsid w:val="008F44AF"/>
    <w:rsid w:val="008F5456"/>
    <w:rsid w:val="008F632C"/>
    <w:rsid w:val="008F66D2"/>
    <w:rsid w:val="008F6F27"/>
    <w:rsid w:val="008F7A96"/>
    <w:rsid w:val="008F7B1F"/>
    <w:rsid w:val="0090183E"/>
    <w:rsid w:val="00902254"/>
    <w:rsid w:val="00903269"/>
    <w:rsid w:val="00904F11"/>
    <w:rsid w:val="009063DC"/>
    <w:rsid w:val="009070E8"/>
    <w:rsid w:val="00907E59"/>
    <w:rsid w:val="009106FA"/>
    <w:rsid w:val="00911081"/>
    <w:rsid w:val="009123F3"/>
    <w:rsid w:val="009148D6"/>
    <w:rsid w:val="00916A8A"/>
    <w:rsid w:val="00916BDE"/>
    <w:rsid w:val="009224C7"/>
    <w:rsid w:val="00922AC4"/>
    <w:rsid w:val="00922E80"/>
    <w:rsid w:val="0092327D"/>
    <w:rsid w:val="009234F4"/>
    <w:rsid w:val="00923D1F"/>
    <w:rsid w:val="009250BA"/>
    <w:rsid w:val="009266EC"/>
    <w:rsid w:val="00927547"/>
    <w:rsid w:val="009278AD"/>
    <w:rsid w:val="009305C4"/>
    <w:rsid w:val="009321E4"/>
    <w:rsid w:val="0093281A"/>
    <w:rsid w:val="009372D7"/>
    <w:rsid w:val="00937AF1"/>
    <w:rsid w:val="00943271"/>
    <w:rsid w:val="009443B4"/>
    <w:rsid w:val="00946122"/>
    <w:rsid w:val="0094705D"/>
    <w:rsid w:val="009471AC"/>
    <w:rsid w:val="009477BD"/>
    <w:rsid w:val="009531A8"/>
    <w:rsid w:val="00955A07"/>
    <w:rsid w:val="00957F54"/>
    <w:rsid w:val="00961C60"/>
    <w:rsid w:val="0096257A"/>
    <w:rsid w:val="00962A93"/>
    <w:rsid w:val="0096394A"/>
    <w:rsid w:val="009648AA"/>
    <w:rsid w:val="00964F47"/>
    <w:rsid w:val="0096519D"/>
    <w:rsid w:val="009666BD"/>
    <w:rsid w:val="00966A58"/>
    <w:rsid w:val="0096728F"/>
    <w:rsid w:val="00970295"/>
    <w:rsid w:val="0097116C"/>
    <w:rsid w:val="00972F5B"/>
    <w:rsid w:val="00973573"/>
    <w:rsid w:val="00974BC5"/>
    <w:rsid w:val="00974DC9"/>
    <w:rsid w:val="00976277"/>
    <w:rsid w:val="009762E4"/>
    <w:rsid w:val="009806E4"/>
    <w:rsid w:val="009811DE"/>
    <w:rsid w:val="0098276E"/>
    <w:rsid w:val="00982C10"/>
    <w:rsid w:val="009833D8"/>
    <w:rsid w:val="0098377F"/>
    <w:rsid w:val="009837A3"/>
    <w:rsid w:val="00987248"/>
    <w:rsid w:val="00987617"/>
    <w:rsid w:val="009877F0"/>
    <w:rsid w:val="00991A9A"/>
    <w:rsid w:val="0099203B"/>
    <w:rsid w:val="00992AB5"/>
    <w:rsid w:val="0099301A"/>
    <w:rsid w:val="009936E4"/>
    <w:rsid w:val="009A22AE"/>
    <w:rsid w:val="009A2AD7"/>
    <w:rsid w:val="009A3363"/>
    <w:rsid w:val="009A34B2"/>
    <w:rsid w:val="009A4284"/>
    <w:rsid w:val="009A5279"/>
    <w:rsid w:val="009B2350"/>
    <w:rsid w:val="009B32CD"/>
    <w:rsid w:val="009B36EC"/>
    <w:rsid w:val="009B3725"/>
    <w:rsid w:val="009B3EA5"/>
    <w:rsid w:val="009B4679"/>
    <w:rsid w:val="009B4FD4"/>
    <w:rsid w:val="009B618A"/>
    <w:rsid w:val="009B6D44"/>
    <w:rsid w:val="009C07F3"/>
    <w:rsid w:val="009C1302"/>
    <w:rsid w:val="009C31BA"/>
    <w:rsid w:val="009C532B"/>
    <w:rsid w:val="009C697D"/>
    <w:rsid w:val="009C7977"/>
    <w:rsid w:val="009D0A30"/>
    <w:rsid w:val="009D0EC4"/>
    <w:rsid w:val="009D1D66"/>
    <w:rsid w:val="009D250E"/>
    <w:rsid w:val="009D3056"/>
    <w:rsid w:val="009D30C1"/>
    <w:rsid w:val="009D314D"/>
    <w:rsid w:val="009D44DC"/>
    <w:rsid w:val="009D52B4"/>
    <w:rsid w:val="009D595D"/>
    <w:rsid w:val="009D6989"/>
    <w:rsid w:val="009D7829"/>
    <w:rsid w:val="009D7F3A"/>
    <w:rsid w:val="009E05F9"/>
    <w:rsid w:val="009E1A99"/>
    <w:rsid w:val="009E1FF0"/>
    <w:rsid w:val="009E3337"/>
    <w:rsid w:val="009E6DB5"/>
    <w:rsid w:val="009E72F2"/>
    <w:rsid w:val="009E7C04"/>
    <w:rsid w:val="009F5466"/>
    <w:rsid w:val="009F7287"/>
    <w:rsid w:val="00A003C3"/>
    <w:rsid w:val="00A01981"/>
    <w:rsid w:val="00A02E5C"/>
    <w:rsid w:val="00A06C86"/>
    <w:rsid w:val="00A07401"/>
    <w:rsid w:val="00A07625"/>
    <w:rsid w:val="00A104FC"/>
    <w:rsid w:val="00A10767"/>
    <w:rsid w:val="00A108A8"/>
    <w:rsid w:val="00A1253E"/>
    <w:rsid w:val="00A12B7B"/>
    <w:rsid w:val="00A13280"/>
    <w:rsid w:val="00A13AE5"/>
    <w:rsid w:val="00A14277"/>
    <w:rsid w:val="00A14DC4"/>
    <w:rsid w:val="00A15EA2"/>
    <w:rsid w:val="00A1735A"/>
    <w:rsid w:val="00A20967"/>
    <w:rsid w:val="00A21E27"/>
    <w:rsid w:val="00A23701"/>
    <w:rsid w:val="00A254FB"/>
    <w:rsid w:val="00A25AFD"/>
    <w:rsid w:val="00A268BC"/>
    <w:rsid w:val="00A319D0"/>
    <w:rsid w:val="00A33D14"/>
    <w:rsid w:val="00A34DC1"/>
    <w:rsid w:val="00A36022"/>
    <w:rsid w:val="00A36B6A"/>
    <w:rsid w:val="00A37030"/>
    <w:rsid w:val="00A37D0A"/>
    <w:rsid w:val="00A40263"/>
    <w:rsid w:val="00A40AF6"/>
    <w:rsid w:val="00A411BE"/>
    <w:rsid w:val="00A42716"/>
    <w:rsid w:val="00A42DEC"/>
    <w:rsid w:val="00A432F9"/>
    <w:rsid w:val="00A437BA"/>
    <w:rsid w:val="00A44EE0"/>
    <w:rsid w:val="00A451A2"/>
    <w:rsid w:val="00A47C9A"/>
    <w:rsid w:val="00A506C1"/>
    <w:rsid w:val="00A50C85"/>
    <w:rsid w:val="00A515A6"/>
    <w:rsid w:val="00A5478F"/>
    <w:rsid w:val="00A57A00"/>
    <w:rsid w:val="00A61BDE"/>
    <w:rsid w:val="00A61DC4"/>
    <w:rsid w:val="00A62536"/>
    <w:rsid w:val="00A64730"/>
    <w:rsid w:val="00A6478B"/>
    <w:rsid w:val="00A66D10"/>
    <w:rsid w:val="00A7074D"/>
    <w:rsid w:val="00A72A98"/>
    <w:rsid w:val="00A72AD4"/>
    <w:rsid w:val="00A72BDC"/>
    <w:rsid w:val="00A7352F"/>
    <w:rsid w:val="00A73BFF"/>
    <w:rsid w:val="00A74AFD"/>
    <w:rsid w:val="00A752EA"/>
    <w:rsid w:val="00A76482"/>
    <w:rsid w:val="00A76883"/>
    <w:rsid w:val="00A7767A"/>
    <w:rsid w:val="00A77920"/>
    <w:rsid w:val="00A77B98"/>
    <w:rsid w:val="00A8126B"/>
    <w:rsid w:val="00A8156B"/>
    <w:rsid w:val="00A81F07"/>
    <w:rsid w:val="00A83E0B"/>
    <w:rsid w:val="00A906AB"/>
    <w:rsid w:val="00A91661"/>
    <w:rsid w:val="00A919A7"/>
    <w:rsid w:val="00A92F3D"/>
    <w:rsid w:val="00A957A4"/>
    <w:rsid w:val="00A95B06"/>
    <w:rsid w:val="00A95E5B"/>
    <w:rsid w:val="00A961E9"/>
    <w:rsid w:val="00AA07CE"/>
    <w:rsid w:val="00AA0B8B"/>
    <w:rsid w:val="00AA166A"/>
    <w:rsid w:val="00AA180A"/>
    <w:rsid w:val="00AA1A73"/>
    <w:rsid w:val="00AA2B75"/>
    <w:rsid w:val="00AA39CD"/>
    <w:rsid w:val="00AA466A"/>
    <w:rsid w:val="00AA591D"/>
    <w:rsid w:val="00AA60A2"/>
    <w:rsid w:val="00AA7673"/>
    <w:rsid w:val="00AB0198"/>
    <w:rsid w:val="00AB0840"/>
    <w:rsid w:val="00AB1918"/>
    <w:rsid w:val="00AB2764"/>
    <w:rsid w:val="00AB329E"/>
    <w:rsid w:val="00AB34FF"/>
    <w:rsid w:val="00AB44D0"/>
    <w:rsid w:val="00AB5A6F"/>
    <w:rsid w:val="00AC1AAE"/>
    <w:rsid w:val="00AC4AE2"/>
    <w:rsid w:val="00AC586C"/>
    <w:rsid w:val="00AC5E9B"/>
    <w:rsid w:val="00AC6727"/>
    <w:rsid w:val="00AC6F06"/>
    <w:rsid w:val="00AC793B"/>
    <w:rsid w:val="00AC7B0C"/>
    <w:rsid w:val="00AD08D5"/>
    <w:rsid w:val="00AD15C4"/>
    <w:rsid w:val="00AD196B"/>
    <w:rsid w:val="00AD2321"/>
    <w:rsid w:val="00AD32A7"/>
    <w:rsid w:val="00AD373D"/>
    <w:rsid w:val="00AD67F5"/>
    <w:rsid w:val="00AD6C30"/>
    <w:rsid w:val="00AE376C"/>
    <w:rsid w:val="00AE48DF"/>
    <w:rsid w:val="00AE599D"/>
    <w:rsid w:val="00AE5FED"/>
    <w:rsid w:val="00AE73F2"/>
    <w:rsid w:val="00AE788D"/>
    <w:rsid w:val="00AE7EA9"/>
    <w:rsid w:val="00AF050A"/>
    <w:rsid w:val="00AF0DEF"/>
    <w:rsid w:val="00AF2C9A"/>
    <w:rsid w:val="00AF342A"/>
    <w:rsid w:val="00AF5669"/>
    <w:rsid w:val="00AF59B3"/>
    <w:rsid w:val="00AF7BAE"/>
    <w:rsid w:val="00AF7F3C"/>
    <w:rsid w:val="00B00C54"/>
    <w:rsid w:val="00B0250B"/>
    <w:rsid w:val="00B03567"/>
    <w:rsid w:val="00B046B7"/>
    <w:rsid w:val="00B05FEB"/>
    <w:rsid w:val="00B064FF"/>
    <w:rsid w:val="00B06D82"/>
    <w:rsid w:val="00B1030F"/>
    <w:rsid w:val="00B103D2"/>
    <w:rsid w:val="00B11352"/>
    <w:rsid w:val="00B11E2C"/>
    <w:rsid w:val="00B12F75"/>
    <w:rsid w:val="00B134CB"/>
    <w:rsid w:val="00B162F7"/>
    <w:rsid w:val="00B16E93"/>
    <w:rsid w:val="00B229FA"/>
    <w:rsid w:val="00B2531E"/>
    <w:rsid w:val="00B33D1F"/>
    <w:rsid w:val="00B33F5C"/>
    <w:rsid w:val="00B34036"/>
    <w:rsid w:val="00B34A68"/>
    <w:rsid w:val="00B34CF7"/>
    <w:rsid w:val="00B3576A"/>
    <w:rsid w:val="00B363EB"/>
    <w:rsid w:val="00B37194"/>
    <w:rsid w:val="00B375CF"/>
    <w:rsid w:val="00B42B3E"/>
    <w:rsid w:val="00B45805"/>
    <w:rsid w:val="00B45C6E"/>
    <w:rsid w:val="00B466AF"/>
    <w:rsid w:val="00B46C8D"/>
    <w:rsid w:val="00B47EF7"/>
    <w:rsid w:val="00B54CD8"/>
    <w:rsid w:val="00B55EC2"/>
    <w:rsid w:val="00B561F4"/>
    <w:rsid w:val="00B572E6"/>
    <w:rsid w:val="00B60055"/>
    <w:rsid w:val="00B6419C"/>
    <w:rsid w:val="00B654A0"/>
    <w:rsid w:val="00B667AF"/>
    <w:rsid w:val="00B66B2E"/>
    <w:rsid w:val="00B67859"/>
    <w:rsid w:val="00B71DCD"/>
    <w:rsid w:val="00B720F6"/>
    <w:rsid w:val="00B72A1F"/>
    <w:rsid w:val="00B7351B"/>
    <w:rsid w:val="00B76B39"/>
    <w:rsid w:val="00B81CD0"/>
    <w:rsid w:val="00BA01C3"/>
    <w:rsid w:val="00BA1ADD"/>
    <w:rsid w:val="00BA28FD"/>
    <w:rsid w:val="00BA5CC9"/>
    <w:rsid w:val="00BA619B"/>
    <w:rsid w:val="00BB12E9"/>
    <w:rsid w:val="00BB5646"/>
    <w:rsid w:val="00BB5673"/>
    <w:rsid w:val="00BC0389"/>
    <w:rsid w:val="00BC212F"/>
    <w:rsid w:val="00BC2BB8"/>
    <w:rsid w:val="00BC3059"/>
    <w:rsid w:val="00BC74B1"/>
    <w:rsid w:val="00BD01CD"/>
    <w:rsid w:val="00BD2BDD"/>
    <w:rsid w:val="00BD3764"/>
    <w:rsid w:val="00BD4F7D"/>
    <w:rsid w:val="00BD584D"/>
    <w:rsid w:val="00BD6146"/>
    <w:rsid w:val="00BD6893"/>
    <w:rsid w:val="00BD7B14"/>
    <w:rsid w:val="00BD7F15"/>
    <w:rsid w:val="00BE09E0"/>
    <w:rsid w:val="00BE0C2E"/>
    <w:rsid w:val="00BE268B"/>
    <w:rsid w:val="00BE29EF"/>
    <w:rsid w:val="00BE2ECB"/>
    <w:rsid w:val="00BE7A36"/>
    <w:rsid w:val="00BF0701"/>
    <w:rsid w:val="00BF0FF1"/>
    <w:rsid w:val="00BF1697"/>
    <w:rsid w:val="00BF42D4"/>
    <w:rsid w:val="00BF53D8"/>
    <w:rsid w:val="00BF5672"/>
    <w:rsid w:val="00BF5EEA"/>
    <w:rsid w:val="00BF773A"/>
    <w:rsid w:val="00BF7C15"/>
    <w:rsid w:val="00C0190E"/>
    <w:rsid w:val="00C03067"/>
    <w:rsid w:val="00C062A7"/>
    <w:rsid w:val="00C06544"/>
    <w:rsid w:val="00C078FC"/>
    <w:rsid w:val="00C10298"/>
    <w:rsid w:val="00C103B0"/>
    <w:rsid w:val="00C10911"/>
    <w:rsid w:val="00C10B4F"/>
    <w:rsid w:val="00C14278"/>
    <w:rsid w:val="00C14D7C"/>
    <w:rsid w:val="00C15F90"/>
    <w:rsid w:val="00C232A0"/>
    <w:rsid w:val="00C24704"/>
    <w:rsid w:val="00C26135"/>
    <w:rsid w:val="00C26DD0"/>
    <w:rsid w:val="00C3172F"/>
    <w:rsid w:val="00C3174D"/>
    <w:rsid w:val="00C3513F"/>
    <w:rsid w:val="00C35BE4"/>
    <w:rsid w:val="00C36074"/>
    <w:rsid w:val="00C40110"/>
    <w:rsid w:val="00C42894"/>
    <w:rsid w:val="00C43213"/>
    <w:rsid w:val="00C45E14"/>
    <w:rsid w:val="00C50BF2"/>
    <w:rsid w:val="00C52B27"/>
    <w:rsid w:val="00C5382F"/>
    <w:rsid w:val="00C541BD"/>
    <w:rsid w:val="00C549BA"/>
    <w:rsid w:val="00C5537A"/>
    <w:rsid w:val="00C611FD"/>
    <w:rsid w:val="00C6171E"/>
    <w:rsid w:val="00C61D4A"/>
    <w:rsid w:val="00C63F79"/>
    <w:rsid w:val="00C6478F"/>
    <w:rsid w:val="00C6595B"/>
    <w:rsid w:val="00C672B3"/>
    <w:rsid w:val="00C70020"/>
    <w:rsid w:val="00C708CB"/>
    <w:rsid w:val="00C710A7"/>
    <w:rsid w:val="00C71392"/>
    <w:rsid w:val="00C732F4"/>
    <w:rsid w:val="00C755DE"/>
    <w:rsid w:val="00C77599"/>
    <w:rsid w:val="00C83CC5"/>
    <w:rsid w:val="00C85314"/>
    <w:rsid w:val="00C902CA"/>
    <w:rsid w:val="00C919A8"/>
    <w:rsid w:val="00C92DDF"/>
    <w:rsid w:val="00C9339D"/>
    <w:rsid w:val="00C93CC9"/>
    <w:rsid w:val="00C96B56"/>
    <w:rsid w:val="00C96C65"/>
    <w:rsid w:val="00CA10B3"/>
    <w:rsid w:val="00CA1A65"/>
    <w:rsid w:val="00CA2765"/>
    <w:rsid w:val="00CA27CC"/>
    <w:rsid w:val="00CA3AF0"/>
    <w:rsid w:val="00CA49AE"/>
    <w:rsid w:val="00CA6653"/>
    <w:rsid w:val="00CB10E2"/>
    <w:rsid w:val="00CB14E3"/>
    <w:rsid w:val="00CB2742"/>
    <w:rsid w:val="00CB3851"/>
    <w:rsid w:val="00CB47C7"/>
    <w:rsid w:val="00CB4B68"/>
    <w:rsid w:val="00CB4EF9"/>
    <w:rsid w:val="00CB6B34"/>
    <w:rsid w:val="00CC130C"/>
    <w:rsid w:val="00CC1A99"/>
    <w:rsid w:val="00CC3749"/>
    <w:rsid w:val="00CC41F7"/>
    <w:rsid w:val="00CC5C7D"/>
    <w:rsid w:val="00CD276A"/>
    <w:rsid w:val="00CD3CD2"/>
    <w:rsid w:val="00CD4C9A"/>
    <w:rsid w:val="00CD6A6F"/>
    <w:rsid w:val="00CE055B"/>
    <w:rsid w:val="00CE14DB"/>
    <w:rsid w:val="00CE1513"/>
    <w:rsid w:val="00CE2207"/>
    <w:rsid w:val="00CE240A"/>
    <w:rsid w:val="00CE2427"/>
    <w:rsid w:val="00CE269F"/>
    <w:rsid w:val="00CE347A"/>
    <w:rsid w:val="00CE4143"/>
    <w:rsid w:val="00CE4798"/>
    <w:rsid w:val="00CE5789"/>
    <w:rsid w:val="00CE6996"/>
    <w:rsid w:val="00CE6E7E"/>
    <w:rsid w:val="00CF39B9"/>
    <w:rsid w:val="00CF4424"/>
    <w:rsid w:val="00CF4C60"/>
    <w:rsid w:val="00CF6762"/>
    <w:rsid w:val="00CF74CA"/>
    <w:rsid w:val="00D02666"/>
    <w:rsid w:val="00D0294B"/>
    <w:rsid w:val="00D03CC5"/>
    <w:rsid w:val="00D047D4"/>
    <w:rsid w:val="00D048EC"/>
    <w:rsid w:val="00D05A24"/>
    <w:rsid w:val="00D06785"/>
    <w:rsid w:val="00D07AF4"/>
    <w:rsid w:val="00D10116"/>
    <w:rsid w:val="00D11A50"/>
    <w:rsid w:val="00D15234"/>
    <w:rsid w:val="00D1740C"/>
    <w:rsid w:val="00D20610"/>
    <w:rsid w:val="00D20C3E"/>
    <w:rsid w:val="00D216F4"/>
    <w:rsid w:val="00D21923"/>
    <w:rsid w:val="00D21A1A"/>
    <w:rsid w:val="00D21B35"/>
    <w:rsid w:val="00D22B80"/>
    <w:rsid w:val="00D22EC8"/>
    <w:rsid w:val="00D25A53"/>
    <w:rsid w:val="00D25D01"/>
    <w:rsid w:val="00D25D07"/>
    <w:rsid w:val="00D27612"/>
    <w:rsid w:val="00D27A8B"/>
    <w:rsid w:val="00D30D7B"/>
    <w:rsid w:val="00D31177"/>
    <w:rsid w:val="00D32CDA"/>
    <w:rsid w:val="00D33BA3"/>
    <w:rsid w:val="00D34E37"/>
    <w:rsid w:val="00D354EF"/>
    <w:rsid w:val="00D35C51"/>
    <w:rsid w:val="00D416B9"/>
    <w:rsid w:val="00D42512"/>
    <w:rsid w:val="00D431B2"/>
    <w:rsid w:val="00D4366D"/>
    <w:rsid w:val="00D43B52"/>
    <w:rsid w:val="00D4485E"/>
    <w:rsid w:val="00D45551"/>
    <w:rsid w:val="00D45CDB"/>
    <w:rsid w:val="00D46347"/>
    <w:rsid w:val="00D5095B"/>
    <w:rsid w:val="00D52504"/>
    <w:rsid w:val="00D5281D"/>
    <w:rsid w:val="00D53A87"/>
    <w:rsid w:val="00D544C1"/>
    <w:rsid w:val="00D5651D"/>
    <w:rsid w:val="00D576E7"/>
    <w:rsid w:val="00D71CEA"/>
    <w:rsid w:val="00D736CA"/>
    <w:rsid w:val="00D738B5"/>
    <w:rsid w:val="00D73C3A"/>
    <w:rsid w:val="00D80093"/>
    <w:rsid w:val="00D807BD"/>
    <w:rsid w:val="00D8160B"/>
    <w:rsid w:val="00D81E01"/>
    <w:rsid w:val="00D8204A"/>
    <w:rsid w:val="00D854FA"/>
    <w:rsid w:val="00D919C2"/>
    <w:rsid w:val="00D91B1C"/>
    <w:rsid w:val="00D942EC"/>
    <w:rsid w:val="00D95933"/>
    <w:rsid w:val="00D96407"/>
    <w:rsid w:val="00D972AE"/>
    <w:rsid w:val="00DA0B36"/>
    <w:rsid w:val="00DA12AF"/>
    <w:rsid w:val="00DA1FD6"/>
    <w:rsid w:val="00DA3284"/>
    <w:rsid w:val="00DA70B9"/>
    <w:rsid w:val="00DA79F8"/>
    <w:rsid w:val="00DAB90F"/>
    <w:rsid w:val="00DB5EA7"/>
    <w:rsid w:val="00DB68A3"/>
    <w:rsid w:val="00DB6B55"/>
    <w:rsid w:val="00DB7564"/>
    <w:rsid w:val="00DC015E"/>
    <w:rsid w:val="00DC108F"/>
    <w:rsid w:val="00DC1837"/>
    <w:rsid w:val="00DC1C77"/>
    <w:rsid w:val="00DC227F"/>
    <w:rsid w:val="00DC314E"/>
    <w:rsid w:val="00DC4A8C"/>
    <w:rsid w:val="00DC5938"/>
    <w:rsid w:val="00DC5B87"/>
    <w:rsid w:val="00DC7E9E"/>
    <w:rsid w:val="00DD234A"/>
    <w:rsid w:val="00DD35C1"/>
    <w:rsid w:val="00DD417E"/>
    <w:rsid w:val="00DD518A"/>
    <w:rsid w:val="00DE3D1B"/>
    <w:rsid w:val="00DE53C5"/>
    <w:rsid w:val="00DE5B7C"/>
    <w:rsid w:val="00DE5CFD"/>
    <w:rsid w:val="00DE6083"/>
    <w:rsid w:val="00DF085B"/>
    <w:rsid w:val="00DF086F"/>
    <w:rsid w:val="00DF1A57"/>
    <w:rsid w:val="00DF1D7E"/>
    <w:rsid w:val="00DF664E"/>
    <w:rsid w:val="00DF67FE"/>
    <w:rsid w:val="00E00E25"/>
    <w:rsid w:val="00E02F2E"/>
    <w:rsid w:val="00E04250"/>
    <w:rsid w:val="00E04495"/>
    <w:rsid w:val="00E0497F"/>
    <w:rsid w:val="00E0662F"/>
    <w:rsid w:val="00E10B8D"/>
    <w:rsid w:val="00E12534"/>
    <w:rsid w:val="00E1286D"/>
    <w:rsid w:val="00E14045"/>
    <w:rsid w:val="00E14850"/>
    <w:rsid w:val="00E158B1"/>
    <w:rsid w:val="00E17FF3"/>
    <w:rsid w:val="00E20864"/>
    <w:rsid w:val="00E20D25"/>
    <w:rsid w:val="00E26382"/>
    <w:rsid w:val="00E26438"/>
    <w:rsid w:val="00E3399A"/>
    <w:rsid w:val="00E33CCF"/>
    <w:rsid w:val="00E34052"/>
    <w:rsid w:val="00E345F9"/>
    <w:rsid w:val="00E34ED9"/>
    <w:rsid w:val="00E35131"/>
    <w:rsid w:val="00E406F7"/>
    <w:rsid w:val="00E41B6D"/>
    <w:rsid w:val="00E426E1"/>
    <w:rsid w:val="00E4492C"/>
    <w:rsid w:val="00E4695C"/>
    <w:rsid w:val="00E47CBB"/>
    <w:rsid w:val="00E50233"/>
    <w:rsid w:val="00E5161C"/>
    <w:rsid w:val="00E51F82"/>
    <w:rsid w:val="00E53877"/>
    <w:rsid w:val="00E54BDD"/>
    <w:rsid w:val="00E55444"/>
    <w:rsid w:val="00E554E3"/>
    <w:rsid w:val="00E5617E"/>
    <w:rsid w:val="00E57666"/>
    <w:rsid w:val="00E604FC"/>
    <w:rsid w:val="00E61099"/>
    <w:rsid w:val="00E62D2A"/>
    <w:rsid w:val="00E63016"/>
    <w:rsid w:val="00E630BD"/>
    <w:rsid w:val="00E630F4"/>
    <w:rsid w:val="00E635DD"/>
    <w:rsid w:val="00E643D2"/>
    <w:rsid w:val="00E64752"/>
    <w:rsid w:val="00E6592E"/>
    <w:rsid w:val="00E67FB6"/>
    <w:rsid w:val="00E71E47"/>
    <w:rsid w:val="00E73C65"/>
    <w:rsid w:val="00E7474A"/>
    <w:rsid w:val="00E765CE"/>
    <w:rsid w:val="00E81C65"/>
    <w:rsid w:val="00E82D9D"/>
    <w:rsid w:val="00E83500"/>
    <w:rsid w:val="00E83540"/>
    <w:rsid w:val="00E83571"/>
    <w:rsid w:val="00E83E58"/>
    <w:rsid w:val="00E852E3"/>
    <w:rsid w:val="00E855C5"/>
    <w:rsid w:val="00E8719C"/>
    <w:rsid w:val="00E87B80"/>
    <w:rsid w:val="00E90680"/>
    <w:rsid w:val="00E91511"/>
    <w:rsid w:val="00E926A1"/>
    <w:rsid w:val="00E931C2"/>
    <w:rsid w:val="00E94622"/>
    <w:rsid w:val="00E951AC"/>
    <w:rsid w:val="00E96377"/>
    <w:rsid w:val="00EA477D"/>
    <w:rsid w:val="00EA5348"/>
    <w:rsid w:val="00EA6A82"/>
    <w:rsid w:val="00EB0608"/>
    <w:rsid w:val="00EB1A52"/>
    <w:rsid w:val="00EB1A84"/>
    <w:rsid w:val="00EB24D5"/>
    <w:rsid w:val="00EB410B"/>
    <w:rsid w:val="00EB41AB"/>
    <w:rsid w:val="00EB54D6"/>
    <w:rsid w:val="00EB6949"/>
    <w:rsid w:val="00EC28A2"/>
    <w:rsid w:val="00EC45EF"/>
    <w:rsid w:val="00EC53AA"/>
    <w:rsid w:val="00EC5AE4"/>
    <w:rsid w:val="00EC61F0"/>
    <w:rsid w:val="00EC79C8"/>
    <w:rsid w:val="00ED00DD"/>
    <w:rsid w:val="00ED119A"/>
    <w:rsid w:val="00ED1FCF"/>
    <w:rsid w:val="00ED300D"/>
    <w:rsid w:val="00ED431A"/>
    <w:rsid w:val="00ED4D09"/>
    <w:rsid w:val="00ED7AD3"/>
    <w:rsid w:val="00ED7E4F"/>
    <w:rsid w:val="00ED7FBB"/>
    <w:rsid w:val="00EE1BA5"/>
    <w:rsid w:val="00EE26E3"/>
    <w:rsid w:val="00EE2E27"/>
    <w:rsid w:val="00EE5B62"/>
    <w:rsid w:val="00EE64E3"/>
    <w:rsid w:val="00EE6A08"/>
    <w:rsid w:val="00EE6DA8"/>
    <w:rsid w:val="00EE7624"/>
    <w:rsid w:val="00EF2062"/>
    <w:rsid w:val="00EF244D"/>
    <w:rsid w:val="00EF332B"/>
    <w:rsid w:val="00EF4CA1"/>
    <w:rsid w:val="00EF57A3"/>
    <w:rsid w:val="00EF6224"/>
    <w:rsid w:val="00EF6B7C"/>
    <w:rsid w:val="00F00802"/>
    <w:rsid w:val="00F01EAF"/>
    <w:rsid w:val="00F03AF3"/>
    <w:rsid w:val="00F0434A"/>
    <w:rsid w:val="00F0650F"/>
    <w:rsid w:val="00F066DD"/>
    <w:rsid w:val="00F0771E"/>
    <w:rsid w:val="00F07AE5"/>
    <w:rsid w:val="00F07BAA"/>
    <w:rsid w:val="00F10CBF"/>
    <w:rsid w:val="00F1491E"/>
    <w:rsid w:val="00F15814"/>
    <w:rsid w:val="00F15B0A"/>
    <w:rsid w:val="00F15BC9"/>
    <w:rsid w:val="00F15C8C"/>
    <w:rsid w:val="00F16C6F"/>
    <w:rsid w:val="00F20069"/>
    <w:rsid w:val="00F20906"/>
    <w:rsid w:val="00F21326"/>
    <w:rsid w:val="00F2231D"/>
    <w:rsid w:val="00F22D02"/>
    <w:rsid w:val="00F2346C"/>
    <w:rsid w:val="00F24F1E"/>
    <w:rsid w:val="00F31E25"/>
    <w:rsid w:val="00F3212E"/>
    <w:rsid w:val="00F32338"/>
    <w:rsid w:val="00F32575"/>
    <w:rsid w:val="00F328C8"/>
    <w:rsid w:val="00F33C07"/>
    <w:rsid w:val="00F34274"/>
    <w:rsid w:val="00F344F0"/>
    <w:rsid w:val="00F40E07"/>
    <w:rsid w:val="00F41278"/>
    <w:rsid w:val="00F41A75"/>
    <w:rsid w:val="00F41FF8"/>
    <w:rsid w:val="00F4273D"/>
    <w:rsid w:val="00F42AD8"/>
    <w:rsid w:val="00F443C5"/>
    <w:rsid w:val="00F47BCF"/>
    <w:rsid w:val="00F47D46"/>
    <w:rsid w:val="00F502C8"/>
    <w:rsid w:val="00F509A8"/>
    <w:rsid w:val="00F50A9F"/>
    <w:rsid w:val="00F51171"/>
    <w:rsid w:val="00F51387"/>
    <w:rsid w:val="00F533B4"/>
    <w:rsid w:val="00F57279"/>
    <w:rsid w:val="00F6022E"/>
    <w:rsid w:val="00F60449"/>
    <w:rsid w:val="00F607AD"/>
    <w:rsid w:val="00F60898"/>
    <w:rsid w:val="00F60C97"/>
    <w:rsid w:val="00F62B44"/>
    <w:rsid w:val="00F641C1"/>
    <w:rsid w:val="00F645D4"/>
    <w:rsid w:val="00F648C9"/>
    <w:rsid w:val="00F656F0"/>
    <w:rsid w:val="00F66528"/>
    <w:rsid w:val="00F70FC8"/>
    <w:rsid w:val="00F71E0B"/>
    <w:rsid w:val="00F732E2"/>
    <w:rsid w:val="00F733B8"/>
    <w:rsid w:val="00F73678"/>
    <w:rsid w:val="00F76350"/>
    <w:rsid w:val="00F7680F"/>
    <w:rsid w:val="00F76FA7"/>
    <w:rsid w:val="00F82B3D"/>
    <w:rsid w:val="00F83989"/>
    <w:rsid w:val="00F83E94"/>
    <w:rsid w:val="00F84F5A"/>
    <w:rsid w:val="00F85065"/>
    <w:rsid w:val="00F85C55"/>
    <w:rsid w:val="00F86193"/>
    <w:rsid w:val="00F9011F"/>
    <w:rsid w:val="00F90C20"/>
    <w:rsid w:val="00F92107"/>
    <w:rsid w:val="00F92475"/>
    <w:rsid w:val="00F925DC"/>
    <w:rsid w:val="00F92967"/>
    <w:rsid w:val="00F9308A"/>
    <w:rsid w:val="00F936EA"/>
    <w:rsid w:val="00F93D0E"/>
    <w:rsid w:val="00F93F48"/>
    <w:rsid w:val="00F943A8"/>
    <w:rsid w:val="00F95E8C"/>
    <w:rsid w:val="00F972C9"/>
    <w:rsid w:val="00FA3A60"/>
    <w:rsid w:val="00FA4C91"/>
    <w:rsid w:val="00FA4D10"/>
    <w:rsid w:val="00FA61DA"/>
    <w:rsid w:val="00FA6349"/>
    <w:rsid w:val="00FA7528"/>
    <w:rsid w:val="00FA7E95"/>
    <w:rsid w:val="00FB0923"/>
    <w:rsid w:val="00FB0CE9"/>
    <w:rsid w:val="00FB3174"/>
    <w:rsid w:val="00FB51EC"/>
    <w:rsid w:val="00FB5E31"/>
    <w:rsid w:val="00FB6B7B"/>
    <w:rsid w:val="00FB6DA4"/>
    <w:rsid w:val="00FC51DA"/>
    <w:rsid w:val="00FD2983"/>
    <w:rsid w:val="00FD33A7"/>
    <w:rsid w:val="00FD4945"/>
    <w:rsid w:val="00FD55BA"/>
    <w:rsid w:val="00FD659A"/>
    <w:rsid w:val="00FD6C4D"/>
    <w:rsid w:val="00FD7A29"/>
    <w:rsid w:val="00FD7BD8"/>
    <w:rsid w:val="00FE1278"/>
    <w:rsid w:val="00FE164A"/>
    <w:rsid w:val="00FE1D5D"/>
    <w:rsid w:val="00FE295C"/>
    <w:rsid w:val="00FE3D26"/>
    <w:rsid w:val="00FE72E5"/>
    <w:rsid w:val="00FF11B1"/>
    <w:rsid w:val="00FF228F"/>
    <w:rsid w:val="00FF2512"/>
    <w:rsid w:val="00FF25F6"/>
    <w:rsid w:val="00FF381E"/>
    <w:rsid w:val="011532C2"/>
    <w:rsid w:val="0124CE45"/>
    <w:rsid w:val="0125A9A1"/>
    <w:rsid w:val="012D0791"/>
    <w:rsid w:val="01488F89"/>
    <w:rsid w:val="0149E061"/>
    <w:rsid w:val="0152A723"/>
    <w:rsid w:val="0182CCCE"/>
    <w:rsid w:val="01B17ED4"/>
    <w:rsid w:val="01D25E47"/>
    <w:rsid w:val="01E30545"/>
    <w:rsid w:val="0209A942"/>
    <w:rsid w:val="027F6720"/>
    <w:rsid w:val="028357FE"/>
    <w:rsid w:val="02952A4D"/>
    <w:rsid w:val="029B0845"/>
    <w:rsid w:val="02C20C24"/>
    <w:rsid w:val="02E04DAD"/>
    <w:rsid w:val="030BD959"/>
    <w:rsid w:val="031C0728"/>
    <w:rsid w:val="0322666D"/>
    <w:rsid w:val="0327C342"/>
    <w:rsid w:val="03509D77"/>
    <w:rsid w:val="036FA420"/>
    <w:rsid w:val="039EFC9D"/>
    <w:rsid w:val="03D00F3E"/>
    <w:rsid w:val="03DCEDC8"/>
    <w:rsid w:val="03E150E4"/>
    <w:rsid w:val="0450C4FB"/>
    <w:rsid w:val="045E412C"/>
    <w:rsid w:val="0461C269"/>
    <w:rsid w:val="047C343C"/>
    <w:rsid w:val="047EDC56"/>
    <w:rsid w:val="04ABE89A"/>
    <w:rsid w:val="04BA83D2"/>
    <w:rsid w:val="04D37971"/>
    <w:rsid w:val="04E0F5A2"/>
    <w:rsid w:val="05069E11"/>
    <w:rsid w:val="050AAF50"/>
    <w:rsid w:val="05110E95"/>
    <w:rsid w:val="051403ED"/>
    <w:rsid w:val="051B262F"/>
    <w:rsid w:val="052D1908"/>
    <w:rsid w:val="05339B93"/>
    <w:rsid w:val="059797DC"/>
    <w:rsid w:val="05A34911"/>
    <w:rsid w:val="05C51155"/>
    <w:rsid w:val="05D881D3"/>
    <w:rsid w:val="05ECC0DE"/>
    <w:rsid w:val="060B495E"/>
    <w:rsid w:val="061478C8"/>
    <w:rsid w:val="0619D59D"/>
    <w:rsid w:val="061D78C2"/>
    <w:rsid w:val="063D310E"/>
    <w:rsid w:val="067D1050"/>
    <w:rsid w:val="068AA6DB"/>
    <w:rsid w:val="06996827"/>
    <w:rsid w:val="06AEF9B1"/>
    <w:rsid w:val="06AF03E5"/>
    <w:rsid w:val="06BC2C27"/>
    <w:rsid w:val="06BDB526"/>
    <w:rsid w:val="06E1E053"/>
    <w:rsid w:val="06F20265"/>
    <w:rsid w:val="07010795"/>
    <w:rsid w:val="074EF817"/>
    <w:rsid w:val="0754222B"/>
    <w:rsid w:val="0759F0AB"/>
    <w:rsid w:val="076741FA"/>
    <w:rsid w:val="07830148"/>
    <w:rsid w:val="0783F302"/>
    <w:rsid w:val="07C11F59"/>
    <w:rsid w:val="07CB69C4"/>
    <w:rsid w:val="07EE4FAC"/>
    <w:rsid w:val="07F3AC81"/>
    <w:rsid w:val="07F8B06C"/>
    <w:rsid w:val="081954F0"/>
    <w:rsid w:val="082CE756"/>
    <w:rsid w:val="0853BDBA"/>
    <w:rsid w:val="0863E215"/>
    <w:rsid w:val="086AB841"/>
    <w:rsid w:val="086CEA44"/>
    <w:rsid w:val="08978C0A"/>
    <w:rsid w:val="08B95123"/>
    <w:rsid w:val="08DADE79"/>
    <w:rsid w:val="0914AD42"/>
    <w:rsid w:val="0928CEFB"/>
    <w:rsid w:val="095AA92A"/>
    <w:rsid w:val="099C1EDC"/>
    <w:rsid w:val="09A99B0D"/>
    <w:rsid w:val="09AE2646"/>
    <w:rsid w:val="09C4FE67"/>
    <w:rsid w:val="09C7F3BF"/>
    <w:rsid w:val="09DE642D"/>
    <w:rsid w:val="09DF95A6"/>
    <w:rsid w:val="09E13176"/>
    <w:rsid w:val="09F36842"/>
    <w:rsid w:val="09FD6EF3"/>
    <w:rsid w:val="09FF3BAC"/>
    <w:rsid w:val="0A4CA2B5"/>
    <w:rsid w:val="0A73FD3C"/>
    <w:rsid w:val="0A788530"/>
    <w:rsid w:val="0A8EE4B5"/>
    <w:rsid w:val="0AA4020C"/>
    <w:rsid w:val="0ADA02C2"/>
    <w:rsid w:val="0AE5BEDC"/>
    <w:rsid w:val="0AF69FA4"/>
    <w:rsid w:val="0B16059E"/>
    <w:rsid w:val="0B23AAC2"/>
    <w:rsid w:val="0B35E0D4"/>
    <w:rsid w:val="0B3FECB1"/>
    <w:rsid w:val="0B4EF1E1"/>
    <w:rsid w:val="0B56901A"/>
    <w:rsid w:val="0B8C38B3"/>
    <w:rsid w:val="0B937445"/>
    <w:rsid w:val="0BA9360B"/>
    <w:rsid w:val="0BE58A0B"/>
    <w:rsid w:val="0C152705"/>
    <w:rsid w:val="0C2D2072"/>
    <w:rsid w:val="0C2E52CF"/>
    <w:rsid w:val="0C3EA6B7"/>
    <w:rsid w:val="0C525C14"/>
    <w:rsid w:val="0C59FA4D"/>
    <w:rsid w:val="0C6365F4"/>
    <w:rsid w:val="0CA1535C"/>
    <w:rsid w:val="0CAD48A7"/>
    <w:rsid w:val="0CF74CEC"/>
    <w:rsid w:val="0D1E7E5A"/>
    <w:rsid w:val="0D232836"/>
    <w:rsid w:val="0D6C25CC"/>
    <w:rsid w:val="0DC96F3C"/>
    <w:rsid w:val="0DEEFDE9"/>
    <w:rsid w:val="0E308D5D"/>
    <w:rsid w:val="0E33D131"/>
    <w:rsid w:val="0E494153"/>
    <w:rsid w:val="0E65567D"/>
    <w:rsid w:val="0E867722"/>
    <w:rsid w:val="0E9886DA"/>
    <w:rsid w:val="0E9AFF40"/>
    <w:rsid w:val="0EA5C5A2"/>
    <w:rsid w:val="0EC845E8"/>
    <w:rsid w:val="0EF163D7"/>
    <w:rsid w:val="0EF8226D"/>
    <w:rsid w:val="0F2F8995"/>
    <w:rsid w:val="0F446E6F"/>
    <w:rsid w:val="0F7D91F4"/>
    <w:rsid w:val="0F7F1AF3"/>
    <w:rsid w:val="0FB662E0"/>
    <w:rsid w:val="0FC26D62"/>
    <w:rsid w:val="0FCBB01B"/>
    <w:rsid w:val="0FDD826A"/>
    <w:rsid w:val="10105DE4"/>
    <w:rsid w:val="103761C3"/>
    <w:rsid w:val="10431DDD"/>
    <w:rsid w:val="1044DDF4"/>
    <w:rsid w:val="104688F4"/>
    <w:rsid w:val="104F76DB"/>
    <w:rsid w:val="10771BB6"/>
    <w:rsid w:val="107B65DA"/>
    <w:rsid w:val="10860A62"/>
    <w:rsid w:val="108EE63E"/>
    <w:rsid w:val="10A21CCC"/>
    <w:rsid w:val="10A8315F"/>
    <w:rsid w:val="10F97E5C"/>
    <w:rsid w:val="1107A756"/>
    <w:rsid w:val="1114113D"/>
    <w:rsid w:val="116796A7"/>
    <w:rsid w:val="116C6CED"/>
    <w:rsid w:val="117C9ABC"/>
    <w:rsid w:val="118717F8"/>
    <w:rsid w:val="119C9298"/>
    <w:rsid w:val="11B214C2"/>
    <w:rsid w:val="11D57BB7"/>
    <w:rsid w:val="11DAEBDE"/>
    <w:rsid w:val="11DC85C6"/>
    <w:rsid w:val="12098348"/>
    <w:rsid w:val="1221AF86"/>
    <w:rsid w:val="122609EB"/>
    <w:rsid w:val="122DD589"/>
    <w:rsid w:val="123680CA"/>
    <w:rsid w:val="12380F0B"/>
    <w:rsid w:val="1250618C"/>
    <w:rsid w:val="1253076D"/>
    <w:rsid w:val="1255CE4B"/>
    <w:rsid w:val="125C5C0A"/>
    <w:rsid w:val="125C725F"/>
    <w:rsid w:val="128EE932"/>
    <w:rsid w:val="12C7F68C"/>
    <w:rsid w:val="12DFEFF9"/>
    <w:rsid w:val="13255627"/>
    <w:rsid w:val="132D59ED"/>
    <w:rsid w:val="1330C931"/>
    <w:rsid w:val="13461100"/>
    <w:rsid w:val="1360EEDC"/>
    <w:rsid w:val="136731A5"/>
    <w:rsid w:val="13C15625"/>
    <w:rsid w:val="13DC17DC"/>
    <w:rsid w:val="13E82B46"/>
    <w:rsid w:val="14060D43"/>
    <w:rsid w:val="14062398"/>
    <w:rsid w:val="14194BEB"/>
    <w:rsid w:val="142CDE51"/>
    <w:rsid w:val="1437B4A1"/>
    <w:rsid w:val="143A5A82"/>
    <w:rsid w:val="1444D7BE"/>
    <w:rsid w:val="1453D131"/>
    <w:rsid w:val="150AA015"/>
    <w:rsid w:val="152715B9"/>
    <w:rsid w:val="152ADBA1"/>
    <w:rsid w:val="153674F8"/>
    <w:rsid w:val="154D1837"/>
    <w:rsid w:val="15680294"/>
    <w:rsid w:val="1591DC55"/>
    <w:rsid w:val="15ACD5DC"/>
    <w:rsid w:val="16266606"/>
    <w:rsid w:val="164EE340"/>
    <w:rsid w:val="165B47A7"/>
    <w:rsid w:val="1671703E"/>
    <w:rsid w:val="16907598"/>
    <w:rsid w:val="1694EC79"/>
    <w:rsid w:val="16BD731A"/>
    <w:rsid w:val="16BDD4B4"/>
    <w:rsid w:val="16E34E5A"/>
    <w:rsid w:val="16EF0360"/>
    <w:rsid w:val="16F1F32A"/>
    <w:rsid w:val="1703F84A"/>
    <w:rsid w:val="1714F5B8"/>
    <w:rsid w:val="1717B744"/>
    <w:rsid w:val="1718D2B6"/>
    <w:rsid w:val="171EF0AC"/>
    <w:rsid w:val="1726BC4A"/>
    <w:rsid w:val="1729C6FC"/>
    <w:rsid w:val="172E8C2F"/>
    <w:rsid w:val="174E0D80"/>
    <w:rsid w:val="17ABD938"/>
    <w:rsid w:val="17BB3CBE"/>
    <w:rsid w:val="1826AF76"/>
    <w:rsid w:val="1826E2D3"/>
    <w:rsid w:val="1829AFF2"/>
    <w:rsid w:val="18382A00"/>
    <w:rsid w:val="184CA4DA"/>
    <w:rsid w:val="18700BCF"/>
    <w:rsid w:val="1891A96F"/>
    <w:rsid w:val="189BA463"/>
    <w:rsid w:val="18A97738"/>
    <w:rsid w:val="18CE2D44"/>
    <w:rsid w:val="18D490D0"/>
    <w:rsid w:val="18E84B6F"/>
    <w:rsid w:val="18E9C39A"/>
    <w:rsid w:val="1910BC0F"/>
    <w:rsid w:val="1911004F"/>
    <w:rsid w:val="19159743"/>
    <w:rsid w:val="1925C512"/>
    <w:rsid w:val="1927E464"/>
    <w:rsid w:val="195463A7"/>
    <w:rsid w:val="1984E940"/>
    <w:rsid w:val="1992AC48"/>
    <w:rsid w:val="1A2DD2BA"/>
    <w:rsid w:val="1A31A417"/>
    <w:rsid w:val="1A66ECCC"/>
    <w:rsid w:val="1A6B8053"/>
    <w:rsid w:val="1A7120E2"/>
    <w:rsid w:val="1A757B47"/>
    <w:rsid w:val="1A85F226"/>
    <w:rsid w:val="1A8DEB69"/>
    <w:rsid w:val="1A93EA4E"/>
    <w:rsid w:val="1AD61926"/>
    <w:rsid w:val="1AD9F387"/>
    <w:rsid w:val="1AE31553"/>
    <w:rsid w:val="1B1C864A"/>
    <w:rsid w:val="1B24E419"/>
    <w:rsid w:val="1B42BAF1"/>
    <w:rsid w:val="1B4631A9"/>
    <w:rsid w:val="1B72FA15"/>
    <w:rsid w:val="1B7A5729"/>
    <w:rsid w:val="1BA8B0B4"/>
    <w:rsid w:val="1BB07BE3"/>
    <w:rsid w:val="1BC91086"/>
    <w:rsid w:val="1BF37A85"/>
    <w:rsid w:val="1C0FDE70"/>
    <w:rsid w:val="1C26D50E"/>
    <w:rsid w:val="1C57FA6D"/>
    <w:rsid w:val="1C65F4E1"/>
    <w:rsid w:val="1C6DC132"/>
    <w:rsid w:val="1C6E4A0F"/>
    <w:rsid w:val="1C9782B0"/>
    <w:rsid w:val="1CA127FF"/>
    <w:rsid w:val="1CA15E92"/>
    <w:rsid w:val="1CB4237F"/>
    <w:rsid w:val="1CD0400F"/>
    <w:rsid w:val="1CE18633"/>
    <w:rsid w:val="1CFC7D9B"/>
    <w:rsid w:val="1D0AC57F"/>
    <w:rsid w:val="1D0B13D1"/>
    <w:rsid w:val="1D58B601"/>
    <w:rsid w:val="1D58E8D2"/>
    <w:rsid w:val="1D61DD0F"/>
    <w:rsid w:val="1D63333D"/>
    <w:rsid w:val="1D7B2CAA"/>
    <w:rsid w:val="1D8D3611"/>
    <w:rsid w:val="1DB2819E"/>
    <w:rsid w:val="1DB2E3D6"/>
    <w:rsid w:val="1DB34C0D"/>
    <w:rsid w:val="1DBC16A1"/>
    <w:rsid w:val="1DC69D7E"/>
    <w:rsid w:val="1DE13230"/>
    <w:rsid w:val="1DEA74E9"/>
    <w:rsid w:val="1E4E7132"/>
    <w:rsid w:val="1E57A3B4"/>
    <w:rsid w:val="1E5D7BA4"/>
    <w:rsid w:val="1E6E3BA9"/>
    <w:rsid w:val="1E7419A1"/>
    <w:rsid w:val="1E924417"/>
    <w:rsid w:val="1E97F557"/>
    <w:rsid w:val="1EC3877B"/>
    <w:rsid w:val="1EC57521"/>
    <w:rsid w:val="1ECB521E"/>
    <w:rsid w:val="1ED7B685"/>
    <w:rsid w:val="1F646714"/>
    <w:rsid w:val="1F819C7A"/>
    <w:rsid w:val="203D9551"/>
    <w:rsid w:val="204280F4"/>
    <w:rsid w:val="2053EF6A"/>
    <w:rsid w:val="20B09C0C"/>
    <w:rsid w:val="20D2E532"/>
    <w:rsid w:val="20F12345"/>
    <w:rsid w:val="21005D8E"/>
    <w:rsid w:val="2105A533"/>
    <w:rsid w:val="215A1C24"/>
    <w:rsid w:val="21636975"/>
    <w:rsid w:val="216A8A40"/>
    <w:rsid w:val="21711877"/>
    <w:rsid w:val="217DE1CE"/>
    <w:rsid w:val="21800CBE"/>
    <w:rsid w:val="2191B7CF"/>
    <w:rsid w:val="219D93FF"/>
    <w:rsid w:val="219F2C13"/>
    <w:rsid w:val="21A89335"/>
    <w:rsid w:val="21BA2D5D"/>
    <w:rsid w:val="21BD7131"/>
    <w:rsid w:val="21C75548"/>
    <w:rsid w:val="21D989A6"/>
    <w:rsid w:val="21DFF177"/>
    <w:rsid w:val="21E103C1"/>
    <w:rsid w:val="21F7A1BE"/>
    <w:rsid w:val="221C4A0C"/>
    <w:rsid w:val="2251CF93"/>
    <w:rsid w:val="225C19FE"/>
    <w:rsid w:val="22607463"/>
    <w:rsid w:val="227129ED"/>
    <w:rsid w:val="228D71E5"/>
    <w:rsid w:val="22C89110"/>
    <w:rsid w:val="22C953AA"/>
    <w:rsid w:val="22E2C882"/>
    <w:rsid w:val="230468F9"/>
    <w:rsid w:val="23127F0A"/>
    <w:rsid w:val="2326FB46"/>
    <w:rsid w:val="23283C44"/>
    <w:rsid w:val="2345DA87"/>
    <w:rsid w:val="2359485B"/>
    <w:rsid w:val="238CCAD9"/>
    <w:rsid w:val="23A19C1D"/>
    <w:rsid w:val="23B0A123"/>
    <w:rsid w:val="23BF374B"/>
    <w:rsid w:val="23D4DD39"/>
    <w:rsid w:val="23DB3401"/>
    <w:rsid w:val="24002AA8"/>
    <w:rsid w:val="2407A740"/>
    <w:rsid w:val="242CCF16"/>
    <w:rsid w:val="243A4B47"/>
    <w:rsid w:val="2477BFA8"/>
    <w:rsid w:val="249AE64C"/>
    <w:rsid w:val="249C7DFF"/>
    <w:rsid w:val="24AF838C"/>
    <w:rsid w:val="24F43155"/>
    <w:rsid w:val="24F5BE9B"/>
    <w:rsid w:val="250394DB"/>
    <w:rsid w:val="25168CEC"/>
    <w:rsid w:val="2516B19B"/>
    <w:rsid w:val="2543E1EE"/>
    <w:rsid w:val="25458118"/>
    <w:rsid w:val="2575894C"/>
    <w:rsid w:val="259E0FC3"/>
    <w:rsid w:val="25D292B7"/>
    <w:rsid w:val="25E89658"/>
    <w:rsid w:val="2608958D"/>
    <w:rsid w:val="261CE8ED"/>
    <w:rsid w:val="26231B9E"/>
    <w:rsid w:val="264CDBC7"/>
    <w:rsid w:val="265163BB"/>
    <w:rsid w:val="265DBC8F"/>
    <w:rsid w:val="26644CB8"/>
    <w:rsid w:val="2679D949"/>
    <w:rsid w:val="267E940E"/>
    <w:rsid w:val="26E13542"/>
    <w:rsid w:val="2718B60C"/>
    <w:rsid w:val="2743F23C"/>
    <w:rsid w:val="278E08C3"/>
    <w:rsid w:val="27B3D870"/>
    <w:rsid w:val="27BD6FA2"/>
    <w:rsid w:val="27C6F530"/>
    <w:rsid w:val="27FB47C5"/>
    <w:rsid w:val="28072F23"/>
    <w:rsid w:val="281C6840"/>
    <w:rsid w:val="282872C2"/>
    <w:rsid w:val="28330BA9"/>
    <w:rsid w:val="2863249C"/>
    <w:rsid w:val="286C60DA"/>
    <w:rsid w:val="286F63FC"/>
    <w:rsid w:val="2870A53F"/>
    <w:rsid w:val="2890221E"/>
    <w:rsid w:val="2898A71C"/>
    <w:rsid w:val="29063486"/>
    <w:rsid w:val="2916AB65"/>
    <w:rsid w:val="2922D41B"/>
    <w:rsid w:val="29668ECF"/>
    <w:rsid w:val="296F8EC9"/>
    <w:rsid w:val="2970A669"/>
    <w:rsid w:val="29CF40B1"/>
    <w:rsid w:val="29E21DA6"/>
    <w:rsid w:val="29EB7E2E"/>
    <w:rsid w:val="29EB9AAA"/>
    <w:rsid w:val="2A0E422E"/>
    <w:rsid w:val="2A23DCCF"/>
    <w:rsid w:val="2A32FF19"/>
    <w:rsid w:val="2A3CFB80"/>
    <w:rsid w:val="2A69F902"/>
    <w:rsid w:val="2A74109C"/>
    <w:rsid w:val="2A7BF749"/>
    <w:rsid w:val="2AA10E1E"/>
    <w:rsid w:val="2AAA352C"/>
    <w:rsid w:val="2AD58E2E"/>
    <w:rsid w:val="2AD8D202"/>
    <w:rsid w:val="2AEF2C1B"/>
    <w:rsid w:val="2B251E04"/>
    <w:rsid w:val="2B45C288"/>
    <w:rsid w:val="2BA0E1E4"/>
    <w:rsid w:val="2BA5D3C1"/>
    <w:rsid w:val="2BB34FF2"/>
    <w:rsid w:val="2BC270A3"/>
    <w:rsid w:val="2BF28FB4"/>
    <w:rsid w:val="2C08842A"/>
    <w:rsid w:val="2C1DEF50"/>
    <w:rsid w:val="2C35BB42"/>
    <w:rsid w:val="2C7AE502"/>
    <w:rsid w:val="2C81EBAE"/>
    <w:rsid w:val="2C9A3382"/>
    <w:rsid w:val="2CAF6512"/>
    <w:rsid w:val="2CCF35CD"/>
    <w:rsid w:val="2CEE34E3"/>
    <w:rsid w:val="2CFBB114"/>
    <w:rsid w:val="2D16FACE"/>
    <w:rsid w:val="2D241B0F"/>
    <w:rsid w:val="2D307A34"/>
    <w:rsid w:val="2D4F84FA"/>
    <w:rsid w:val="2D5151B3"/>
    <w:rsid w:val="2D6D113F"/>
    <w:rsid w:val="2D7FAAA5"/>
    <w:rsid w:val="2DB4D0F0"/>
    <w:rsid w:val="2DC7A089"/>
    <w:rsid w:val="2DCA9B37"/>
    <w:rsid w:val="2DE0FABC"/>
    <w:rsid w:val="2E48B5AB"/>
    <w:rsid w:val="2E54D773"/>
    <w:rsid w:val="2E69B15A"/>
    <w:rsid w:val="2E93D967"/>
    <w:rsid w:val="2F31A24E"/>
    <w:rsid w:val="2F6CEA36"/>
    <w:rsid w:val="2F98D404"/>
    <w:rsid w:val="2FB1FA58"/>
    <w:rsid w:val="2FBED3CA"/>
    <w:rsid w:val="2FC2379C"/>
    <w:rsid w:val="2FF661BB"/>
    <w:rsid w:val="3005EFAD"/>
    <w:rsid w:val="30108894"/>
    <w:rsid w:val="30158B30"/>
    <w:rsid w:val="301E04C5"/>
    <w:rsid w:val="3043640E"/>
    <w:rsid w:val="304840BB"/>
    <w:rsid w:val="30635A3F"/>
    <w:rsid w:val="307ADECC"/>
    <w:rsid w:val="3098D71E"/>
    <w:rsid w:val="30B40251"/>
    <w:rsid w:val="30ECD33D"/>
    <w:rsid w:val="3111863B"/>
    <w:rsid w:val="311B8543"/>
    <w:rsid w:val="3129E73E"/>
    <w:rsid w:val="3134542B"/>
    <w:rsid w:val="3185E738"/>
    <w:rsid w:val="31919CD7"/>
    <w:rsid w:val="31A4F4B8"/>
    <w:rsid w:val="31BD1D17"/>
    <w:rsid w:val="31D693C6"/>
    <w:rsid w:val="31F079DE"/>
    <w:rsid w:val="31F7DBA9"/>
    <w:rsid w:val="31FD0DBB"/>
    <w:rsid w:val="324379DE"/>
    <w:rsid w:val="324A819A"/>
    <w:rsid w:val="325A9C11"/>
    <w:rsid w:val="328C3C31"/>
    <w:rsid w:val="32968476"/>
    <w:rsid w:val="32A16562"/>
    <w:rsid w:val="32F0C8A0"/>
    <w:rsid w:val="32F63BB7"/>
    <w:rsid w:val="33079D8B"/>
    <w:rsid w:val="33148369"/>
    <w:rsid w:val="3314D1BB"/>
    <w:rsid w:val="3314FBB8"/>
    <w:rsid w:val="3316EF55"/>
    <w:rsid w:val="3319B06C"/>
    <w:rsid w:val="33357669"/>
    <w:rsid w:val="335C7A48"/>
    <w:rsid w:val="3395AEE0"/>
    <w:rsid w:val="33A614AC"/>
    <w:rsid w:val="33BDF298"/>
    <w:rsid w:val="33EB0B9B"/>
    <w:rsid w:val="33F3E9AD"/>
    <w:rsid w:val="342FE709"/>
    <w:rsid w:val="3483AF32"/>
    <w:rsid w:val="3497B84D"/>
    <w:rsid w:val="349A5E2E"/>
    <w:rsid w:val="34A1B341"/>
    <w:rsid w:val="34AAC688"/>
    <w:rsid w:val="34B3F8AE"/>
    <w:rsid w:val="34CEB0C3"/>
    <w:rsid w:val="34D92DFF"/>
    <w:rsid w:val="34DC71D3"/>
    <w:rsid w:val="34E1746F"/>
    <w:rsid w:val="34EEA89F"/>
    <w:rsid w:val="34FC308D"/>
    <w:rsid w:val="350F4D4D"/>
    <w:rsid w:val="351E0318"/>
    <w:rsid w:val="354E0EC2"/>
    <w:rsid w:val="355A5FED"/>
    <w:rsid w:val="35662EC9"/>
    <w:rsid w:val="356E24FE"/>
    <w:rsid w:val="3570CADF"/>
    <w:rsid w:val="35871965"/>
    <w:rsid w:val="358A2512"/>
    <w:rsid w:val="35A12813"/>
    <w:rsid w:val="35A51D74"/>
    <w:rsid w:val="35B299A5"/>
    <w:rsid w:val="35C05AB5"/>
    <w:rsid w:val="35EE9C57"/>
    <w:rsid w:val="36146C04"/>
    <w:rsid w:val="361A0C93"/>
    <w:rsid w:val="364B7489"/>
    <w:rsid w:val="368355C3"/>
    <w:rsid w:val="3685D21C"/>
    <w:rsid w:val="36B304E3"/>
    <w:rsid w:val="36B947AC"/>
    <w:rsid w:val="36E89C6E"/>
    <w:rsid w:val="3758234A"/>
    <w:rsid w:val="376C1858"/>
    <w:rsid w:val="3775C18D"/>
    <w:rsid w:val="378C7089"/>
    <w:rsid w:val="37C72F1B"/>
    <w:rsid w:val="37EE42E8"/>
    <w:rsid w:val="37F28D49"/>
    <w:rsid w:val="37F3E377"/>
    <w:rsid w:val="3836053D"/>
    <w:rsid w:val="38514312"/>
    <w:rsid w:val="38882154"/>
    <w:rsid w:val="389FAA24"/>
    <w:rsid w:val="38BA189B"/>
    <w:rsid w:val="38D9CB9C"/>
    <w:rsid w:val="38FBA80F"/>
    <w:rsid w:val="38FEEBE3"/>
    <w:rsid w:val="393C5AEE"/>
    <w:rsid w:val="3946FE43"/>
    <w:rsid w:val="398C2803"/>
    <w:rsid w:val="39AB5A07"/>
    <w:rsid w:val="39C33D1F"/>
    <w:rsid w:val="39C38645"/>
    <w:rsid w:val="39E70280"/>
    <w:rsid w:val="3A1D32CD"/>
    <w:rsid w:val="3A4E315E"/>
    <w:rsid w:val="3A560E51"/>
    <w:rsid w:val="3A663ADE"/>
    <w:rsid w:val="3A7106B3"/>
    <w:rsid w:val="3A78D251"/>
    <w:rsid w:val="3A97DD17"/>
    <w:rsid w:val="3AAE7B14"/>
    <w:rsid w:val="3ABA8596"/>
    <w:rsid w:val="3AC6F078"/>
    <w:rsid w:val="3AFDEF3F"/>
    <w:rsid w:val="3B3ED936"/>
    <w:rsid w:val="3B4EC877"/>
    <w:rsid w:val="3B60DE80"/>
    <w:rsid w:val="3B7470E6"/>
    <w:rsid w:val="3B78F8DA"/>
    <w:rsid w:val="3BEDBA6A"/>
    <w:rsid w:val="3BF25442"/>
    <w:rsid w:val="3C4C4F46"/>
    <w:rsid w:val="3C5232AA"/>
    <w:rsid w:val="3C5E7ED0"/>
    <w:rsid w:val="3C5F446D"/>
    <w:rsid w:val="3C77DB19"/>
    <w:rsid w:val="3CF46871"/>
    <w:rsid w:val="3D0329BD"/>
    <w:rsid w:val="3D4B385A"/>
    <w:rsid w:val="3D591E1A"/>
    <w:rsid w:val="3D7FE8C1"/>
    <w:rsid w:val="3D949F7F"/>
    <w:rsid w:val="3DAC98EC"/>
    <w:rsid w:val="3DB1FB17"/>
    <w:rsid w:val="3DC336E9"/>
    <w:rsid w:val="3DC7914E"/>
    <w:rsid w:val="3DC80803"/>
    <w:rsid w:val="3DD8082D"/>
    <w:rsid w:val="3E0505AF"/>
    <w:rsid w:val="3E280B83"/>
    <w:rsid w:val="3E2F8ACB"/>
    <w:rsid w:val="3E5D6E17"/>
    <w:rsid w:val="3E627202"/>
    <w:rsid w:val="3E63DD60"/>
    <w:rsid w:val="3E761EC4"/>
    <w:rsid w:val="3EA00B86"/>
    <w:rsid w:val="3EA6B3BE"/>
    <w:rsid w:val="3ED127F5"/>
    <w:rsid w:val="3EF36BCD"/>
    <w:rsid w:val="3F0529D0"/>
    <w:rsid w:val="3F176C4C"/>
    <w:rsid w:val="3F1ECF67"/>
    <w:rsid w:val="3F2C73D1"/>
    <w:rsid w:val="3F32F4FE"/>
    <w:rsid w:val="3F3E61A1"/>
    <w:rsid w:val="3F62B40C"/>
    <w:rsid w:val="3F704CB9"/>
    <w:rsid w:val="3FB1DF11"/>
    <w:rsid w:val="3FDEDC93"/>
    <w:rsid w:val="3FFBA71A"/>
    <w:rsid w:val="40180018"/>
    <w:rsid w:val="40198917"/>
    <w:rsid w:val="4031D024"/>
    <w:rsid w:val="4046B96A"/>
    <w:rsid w:val="4047AF38"/>
    <w:rsid w:val="405CDB86"/>
    <w:rsid w:val="4073B6EC"/>
    <w:rsid w:val="407DCE86"/>
    <w:rsid w:val="4086B1DA"/>
    <w:rsid w:val="40B9A3A9"/>
    <w:rsid w:val="40D812B0"/>
    <w:rsid w:val="40DB85DB"/>
    <w:rsid w:val="40FF114D"/>
    <w:rsid w:val="41064AB5"/>
    <w:rsid w:val="413C41CA"/>
    <w:rsid w:val="417B7E68"/>
    <w:rsid w:val="41AE7F61"/>
    <w:rsid w:val="41AF91AB"/>
    <w:rsid w:val="41BD0DDC"/>
    <w:rsid w:val="41C84D77"/>
    <w:rsid w:val="42074626"/>
    <w:rsid w:val="420CE95E"/>
    <w:rsid w:val="421D6825"/>
    <w:rsid w:val="42242F40"/>
    <w:rsid w:val="4229CC8C"/>
    <w:rsid w:val="4236B26A"/>
    <w:rsid w:val="425EF4AB"/>
    <w:rsid w:val="426531D2"/>
    <w:rsid w:val="4284A2EC"/>
    <w:rsid w:val="4284D5BD"/>
    <w:rsid w:val="42B67D1B"/>
    <w:rsid w:val="42C6A483"/>
    <w:rsid w:val="42D9E32B"/>
    <w:rsid w:val="42DA2B48"/>
    <w:rsid w:val="42E364CC"/>
    <w:rsid w:val="42F6CA2E"/>
    <w:rsid w:val="42FAF1C2"/>
    <w:rsid w:val="4320D258"/>
    <w:rsid w:val="433D0567"/>
    <w:rsid w:val="434EEDE1"/>
    <w:rsid w:val="434F3C33"/>
    <w:rsid w:val="436264B0"/>
    <w:rsid w:val="438F1812"/>
    <w:rsid w:val="43CEB892"/>
    <w:rsid w:val="43CFD12D"/>
    <w:rsid w:val="43E07F24"/>
    <w:rsid w:val="43E23AF4"/>
    <w:rsid w:val="43EAB8A6"/>
    <w:rsid w:val="44102FBA"/>
    <w:rsid w:val="4410A4CF"/>
    <w:rsid w:val="4435D6B3"/>
    <w:rsid w:val="44408BC0"/>
    <w:rsid w:val="4457BB3A"/>
    <w:rsid w:val="44602E54"/>
    <w:rsid w:val="4494C05C"/>
    <w:rsid w:val="4497CC0E"/>
    <w:rsid w:val="44E3E957"/>
    <w:rsid w:val="44E57256"/>
    <w:rsid w:val="44E80CA4"/>
    <w:rsid w:val="4529E13D"/>
    <w:rsid w:val="4532077E"/>
    <w:rsid w:val="453319C8"/>
    <w:rsid w:val="453AE566"/>
    <w:rsid w:val="4549B7C5"/>
    <w:rsid w:val="454A00EB"/>
    <w:rsid w:val="45898B3C"/>
    <w:rsid w:val="45AE3005"/>
    <w:rsid w:val="45B5CE3E"/>
    <w:rsid w:val="45C48F8A"/>
    <w:rsid w:val="460FAD97"/>
    <w:rsid w:val="465320DD"/>
    <w:rsid w:val="46673A00"/>
    <w:rsid w:val="4697F08E"/>
    <w:rsid w:val="46A29508"/>
    <w:rsid w:val="46C0E9EF"/>
    <w:rsid w:val="46D16A03"/>
    <w:rsid w:val="46DEE0E0"/>
    <w:rsid w:val="46ED6F5B"/>
    <w:rsid w:val="46F3B224"/>
    <w:rsid w:val="470BDE62"/>
    <w:rsid w:val="471ED3E4"/>
    <w:rsid w:val="478C614E"/>
    <w:rsid w:val="47928DC2"/>
    <w:rsid w:val="479E666E"/>
    <w:rsid w:val="47E5C163"/>
    <w:rsid w:val="47ECBB97"/>
    <w:rsid w:val="47EDD3E7"/>
    <w:rsid w:val="47F0D98E"/>
    <w:rsid w:val="47FD7DAD"/>
    <w:rsid w:val="484D37C8"/>
    <w:rsid w:val="4859F1D6"/>
    <w:rsid w:val="4883B016"/>
    <w:rsid w:val="48A04260"/>
    <w:rsid w:val="48C41E16"/>
    <w:rsid w:val="48C79F53"/>
    <w:rsid w:val="4927840C"/>
    <w:rsid w:val="493CE580"/>
    <w:rsid w:val="494E82A9"/>
    <w:rsid w:val="496C64A6"/>
    <w:rsid w:val="498D5CD4"/>
    <w:rsid w:val="499EF1CE"/>
    <w:rsid w:val="49A0B1E5"/>
    <w:rsid w:val="49AFB715"/>
    <w:rsid w:val="49B00567"/>
    <w:rsid w:val="49C7B082"/>
    <w:rsid w:val="4A339FD1"/>
    <w:rsid w:val="4A70F778"/>
    <w:rsid w:val="4A9078C9"/>
    <w:rsid w:val="4AC01835"/>
    <w:rsid w:val="4AF2C7B1"/>
    <w:rsid w:val="4B132D3F"/>
    <w:rsid w:val="4B190B37"/>
    <w:rsid w:val="4B1E2B17"/>
    <w:rsid w:val="4B77A57F"/>
    <w:rsid w:val="4B8334E2"/>
    <w:rsid w:val="4B90D74F"/>
    <w:rsid w:val="4BA69BD7"/>
    <w:rsid w:val="4BA734DC"/>
    <w:rsid w:val="4BAEDB5E"/>
    <w:rsid w:val="4BB53AA3"/>
    <w:rsid w:val="4BBE76E1"/>
    <w:rsid w:val="4BCD013F"/>
    <w:rsid w:val="4BD77E7B"/>
    <w:rsid w:val="4C23CA7D"/>
    <w:rsid w:val="4C4A3B76"/>
    <w:rsid w:val="4C5E7701"/>
    <w:rsid w:val="4C95BEEE"/>
    <w:rsid w:val="4CA90D9E"/>
    <w:rsid w:val="4CB24591"/>
    <w:rsid w:val="4CBCDE78"/>
    <w:rsid w:val="4CE2918B"/>
    <w:rsid w:val="4CE6C05F"/>
    <w:rsid w:val="4CF8B8F2"/>
    <w:rsid w:val="4D0622F3"/>
    <w:rsid w:val="4D0E1038"/>
    <w:rsid w:val="4D605835"/>
    <w:rsid w:val="4D61E134"/>
    <w:rsid w:val="4D6309D3"/>
    <w:rsid w:val="4D664DA7"/>
    <w:rsid w:val="4D841EBB"/>
    <w:rsid w:val="4D843C41"/>
    <w:rsid w:val="4D934B29"/>
    <w:rsid w:val="4DA20DA4"/>
    <w:rsid w:val="4DA533A3"/>
    <w:rsid w:val="4DB1C6A8"/>
    <w:rsid w:val="4DBC0F09"/>
    <w:rsid w:val="4DC97AAB"/>
    <w:rsid w:val="4DDE738C"/>
    <w:rsid w:val="4DF8F767"/>
    <w:rsid w:val="4DFC4B33"/>
    <w:rsid w:val="4DFDA161"/>
    <w:rsid w:val="4E160A0D"/>
    <w:rsid w:val="4E27A435"/>
    <w:rsid w:val="4E7BBBD5"/>
    <w:rsid w:val="4E84E30D"/>
    <w:rsid w:val="4E8701E3"/>
    <w:rsid w:val="4E927BBA"/>
    <w:rsid w:val="4EF4AF4D"/>
    <w:rsid w:val="4F0565F9"/>
    <w:rsid w:val="4F1DD61B"/>
    <w:rsid w:val="4F2979F2"/>
    <w:rsid w:val="4F3BB818"/>
    <w:rsid w:val="4F5DDFEB"/>
    <w:rsid w:val="4F6F10CD"/>
    <w:rsid w:val="4F90C586"/>
    <w:rsid w:val="4FA3F24C"/>
    <w:rsid w:val="4FA457EC"/>
    <w:rsid w:val="4FF7DB53"/>
    <w:rsid w:val="50017B19"/>
    <w:rsid w:val="50510AEF"/>
    <w:rsid w:val="50643D9C"/>
    <w:rsid w:val="506D486C"/>
    <w:rsid w:val="50763116"/>
    <w:rsid w:val="50825DC5"/>
    <w:rsid w:val="50A19B01"/>
    <w:rsid w:val="50C1F09D"/>
    <w:rsid w:val="50D1C0AC"/>
    <w:rsid w:val="50FC638A"/>
    <w:rsid w:val="51694666"/>
    <w:rsid w:val="516C4C47"/>
    <w:rsid w:val="517E2ED0"/>
    <w:rsid w:val="519ACBB2"/>
    <w:rsid w:val="51A01357"/>
    <w:rsid w:val="51BBA331"/>
    <w:rsid w:val="51DA0CE2"/>
    <w:rsid w:val="51E1A38B"/>
    <w:rsid w:val="520FE876"/>
    <w:rsid w:val="5226CC3F"/>
    <w:rsid w:val="523064C1"/>
    <w:rsid w:val="52549B81"/>
    <w:rsid w:val="52819903"/>
    <w:rsid w:val="5283B855"/>
    <w:rsid w:val="52920FE2"/>
    <w:rsid w:val="52B914F0"/>
    <w:rsid w:val="52F24859"/>
    <w:rsid w:val="533FD976"/>
    <w:rsid w:val="535805B4"/>
    <w:rsid w:val="535B3A5E"/>
    <w:rsid w:val="53630C48"/>
    <w:rsid w:val="53701ACC"/>
    <w:rsid w:val="539B78FA"/>
    <w:rsid w:val="539BF8D9"/>
    <w:rsid w:val="539E5D69"/>
    <w:rsid w:val="539E9571"/>
    <w:rsid w:val="53A18497"/>
    <w:rsid w:val="53C27797"/>
    <w:rsid w:val="53E0B164"/>
    <w:rsid w:val="53F4145D"/>
    <w:rsid w:val="540EC399"/>
    <w:rsid w:val="54349ED9"/>
    <w:rsid w:val="5435C778"/>
    <w:rsid w:val="543BEE96"/>
    <w:rsid w:val="543C0A41"/>
    <w:rsid w:val="543EE944"/>
    <w:rsid w:val="54A39DF2"/>
    <w:rsid w:val="54C62AF0"/>
    <w:rsid w:val="54C96D97"/>
    <w:rsid w:val="54CA810E"/>
    <w:rsid w:val="54CABE77"/>
    <w:rsid w:val="54D7FD3F"/>
    <w:rsid w:val="54F70ABF"/>
    <w:rsid w:val="5501B6ED"/>
    <w:rsid w:val="550F331E"/>
    <w:rsid w:val="553631BB"/>
    <w:rsid w:val="553BEEE3"/>
    <w:rsid w:val="553F2B4E"/>
    <w:rsid w:val="553F7474"/>
    <w:rsid w:val="5549F1B0"/>
    <w:rsid w:val="559C4E7B"/>
    <w:rsid w:val="559C97A1"/>
    <w:rsid w:val="55A249F3"/>
    <w:rsid w:val="55BB9CFB"/>
    <w:rsid w:val="55CF8970"/>
    <w:rsid w:val="55F9F105"/>
    <w:rsid w:val="560FF770"/>
    <w:rsid w:val="56188D57"/>
    <w:rsid w:val="5621BE02"/>
    <w:rsid w:val="562C1400"/>
    <w:rsid w:val="56458488"/>
    <w:rsid w:val="565AED84"/>
    <w:rsid w:val="5666E7C2"/>
    <w:rsid w:val="5681AE78"/>
    <w:rsid w:val="56837C76"/>
    <w:rsid w:val="56878C70"/>
    <w:rsid w:val="56B4BCC3"/>
    <w:rsid w:val="56DBEE06"/>
    <w:rsid w:val="56FC4E00"/>
    <w:rsid w:val="5710089F"/>
    <w:rsid w:val="5727D9D3"/>
    <w:rsid w:val="5745FFB4"/>
    <w:rsid w:val="57520D45"/>
    <w:rsid w:val="57A8217C"/>
    <w:rsid w:val="57B94F95"/>
    <w:rsid w:val="5805E604"/>
    <w:rsid w:val="584E4694"/>
    <w:rsid w:val="58AC31EA"/>
    <w:rsid w:val="58C5DB94"/>
    <w:rsid w:val="58D65BC6"/>
    <w:rsid w:val="58D92F6C"/>
    <w:rsid w:val="58F29FF4"/>
    <w:rsid w:val="58F7337B"/>
    <w:rsid w:val="58FD92C0"/>
    <w:rsid w:val="59201FBE"/>
    <w:rsid w:val="592A9042"/>
    <w:rsid w:val="596927EC"/>
    <w:rsid w:val="59C6A078"/>
    <w:rsid w:val="59D4F53F"/>
    <w:rsid w:val="59F4BA4A"/>
    <w:rsid w:val="5A051AEA"/>
    <w:rsid w:val="5A09FCED"/>
    <w:rsid w:val="5A512D6C"/>
    <w:rsid w:val="5A6558B7"/>
    <w:rsid w:val="5A784E39"/>
    <w:rsid w:val="5A8C5754"/>
    <w:rsid w:val="5ADE8690"/>
    <w:rsid w:val="5AEDA741"/>
    <w:rsid w:val="5B046726"/>
    <w:rsid w:val="5B0EC7E6"/>
    <w:rsid w:val="5B194522"/>
    <w:rsid w:val="5B2D1502"/>
    <w:rsid w:val="5B3BC568"/>
    <w:rsid w:val="5B4058EF"/>
    <w:rsid w:val="5B451E22"/>
    <w:rsid w:val="5B496A6B"/>
    <w:rsid w:val="5B4A53E3"/>
    <w:rsid w:val="5B4DBB5E"/>
    <w:rsid w:val="5BACF158"/>
    <w:rsid w:val="5BADA384"/>
    <w:rsid w:val="5C3B5008"/>
    <w:rsid w:val="5C4DBE16"/>
    <w:rsid w:val="5C5101EA"/>
    <w:rsid w:val="5C8B7B9D"/>
    <w:rsid w:val="5C8E5AA0"/>
    <w:rsid w:val="5CAC52F2"/>
    <w:rsid w:val="5CC79708"/>
    <w:rsid w:val="5CCA6210"/>
    <w:rsid w:val="5CD09F37"/>
    <w:rsid w:val="5CFB7978"/>
    <w:rsid w:val="5CFD700E"/>
    <w:rsid w:val="5D159C4C"/>
    <w:rsid w:val="5D45826E"/>
    <w:rsid w:val="5D548FC4"/>
    <w:rsid w:val="5D6A9365"/>
    <w:rsid w:val="5D71317B"/>
    <w:rsid w:val="5D88A307"/>
    <w:rsid w:val="5D961F38"/>
    <w:rsid w:val="5DA82458"/>
    <w:rsid w:val="5DCAE858"/>
    <w:rsid w:val="5DF2398E"/>
    <w:rsid w:val="5DF44E72"/>
    <w:rsid w:val="5DF7CA59"/>
    <w:rsid w:val="5E00911B"/>
    <w:rsid w:val="5E16DCFC"/>
    <w:rsid w:val="5E2A15E7"/>
    <w:rsid w:val="5E380BD9"/>
    <w:rsid w:val="5E500546"/>
    <w:rsid w:val="5E5F68CC"/>
    <w:rsid w:val="5E611763"/>
    <w:rsid w:val="5E7D02C8"/>
    <w:rsid w:val="5EB2D9E0"/>
    <w:rsid w:val="5EC686ED"/>
    <w:rsid w:val="5ECDDC00"/>
    <w:rsid w:val="5EEC0F53"/>
    <w:rsid w:val="5EFE40FD"/>
    <w:rsid w:val="5F03FB4E"/>
    <w:rsid w:val="5F08869E"/>
    <w:rsid w:val="5F2E66A8"/>
    <w:rsid w:val="5F3141F6"/>
    <w:rsid w:val="5F32DD3D"/>
    <w:rsid w:val="5F3B760C"/>
    <w:rsid w:val="5F3FD071"/>
    <w:rsid w:val="5F584FA1"/>
    <w:rsid w:val="5F5FD41E"/>
    <w:rsid w:val="5F8C777D"/>
    <w:rsid w:val="5FA448B1"/>
    <w:rsid w:val="5FC9F120"/>
    <w:rsid w:val="5FDA67FF"/>
    <w:rsid w:val="5FE07B0F"/>
    <w:rsid w:val="5FE1AAEE"/>
    <w:rsid w:val="601F9AE2"/>
    <w:rsid w:val="60390247"/>
    <w:rsid w:val="603AA076"/>
    <w:rsid w:val="60437E5E"/>
    <w:rsid w:val="6047C417"/>
    <w:rsid w:val="60553FC4"/>
    <w:rsid w:val="605CA5C0"/>
    <w:rsid w:val="6073803A"/>
    <w:rsid w:val="607AB562"/>
    <w:rsid w:val="608B990E"/>
    <w:rsid w:val="60978034"/>
    <w:rsid w:val="60B11DD6"/>
    <w:rsid w:val="60BCFAB3"/>
    <w:rsid w:val="60D1FEC8"/>
    <w:rsid w:val="60E4A872"/>
    <w:rsid w:val="60EBFDAF"/>
    <w:rsid w:val="60F198BC"/>
    <w:rsid w:val="60FA1518"/>
    <w:rsid w:val="610B18DA"/>
    <w:rsid w:val="610FAC61"/>
    <w:rsid w:val="61197073"/>
    <w:rsid w:val="6119A755"/>
    <w:rsid w:val="611CEB29"/>
    <w:rsid w:val="612A1E34"/>
    <w:rsid w:val="614FC6A3"/>
    <w:rsid w:val="615A1D1A"/>
    <w:rsid w:val="617E1F95"/>
    <w:rsid w:val="618EDF9A"/>
    <w:rsid w:val="618FB3A7"/>
    <w:rsid w:val="61B48809"/>
    <w:rsid w:val="61C1EDE5"/>
    <w:rsid w:val="61C834CB"/>
    <w:rsid w:val="61D568FB"/>
    <w:rsid w:val="61FBFD85"/>
    <w:rsid w:val="6212D92B"/>
    <w:rsid w:val="62131694"/>
    <w:rsid w:val="62233DFC"/>
    <w:rsid w:val="622DD5E4"/>
    <w:rsid w:val="625379FC"/>
    <w:rsid w:val="626AE24A"/>
    <w:rsid w:val="6270E56E"/>
    <w:rsid w:val="6272FB4D"/>
    <w:rsid w:val="627E89D8"/>
    <w:rsid w:val="628459CB"/>
    <w:rsid w:val="6288160F"/>
    <w:rsid w:val="6295326D"/>
    <w:rsid w:val="629F7CD8"/>
    <w:rsid w:val="62C262C0"/>
    <w:rsid w:val="62C70EBE"/>
    <w:rsid w:val="62C7BF95"/>
    <w:rsid w:val="62D65745"/>
    <w:rsid w:val="62E4A698"/>
    <w:rsid w:val="62EF7FE6"/>
    <w:rsid w:val="62FBA27C"/>
    <w:rsid w:val="6330F29A"/>
    <w:rsid w:val="63476E9B"/>
    <w:rsid w:val="6348EC07"/>
    <w:rsid w:val="636A161F"/>
    <w:rsid w:val="638FCA4B"/>
    <w:rsid w:val="6398CF71"/>
    <w:rsid w:val="639D0913"/>
    <w:rsid w:val="63AEF18D"/>
    <w:rsid w:val="63C5CCF3"/>
    <w:rsid w:val="63CFE48D"/>
    <w:rsid w:val="63D4C13A"/>
    <w:rsid w:val="63ECBD9F"/>
    <w:rsid w:val="63FCE20F"/>
    <w:rsid w:val="642DF579"/>
    <w:rsid w:val="6447B0A5"/>
    <w:rsid w:val="647031F0"/>
    <w:rsid w:val="648E57D1"/>
    <w:rsid w:val="64B40040"/>
    <w:rsid w:val="64D8D98B"/>
    <w:rsid w:val="65128B5E"/>
    <w:rsid w:val="6542A9C3"/>
    <w:rsid w:val="657BE293"/>
    <w:rsid w:val="6588C871"/>
    <w:rsid w:val="65892BF3"/>
    <w:rsid w:val="65A9BB71"/>
    <w:rsid w:val="65D6B8F3"/>
    <w:rsid w:val="66089322"/>
    <w:rsid w:val="6648E035"/>
    <w:rsid w:val="664A08D4"/>
    <w:rsid w:val="6675DDB7"/>
    <w:rsid w:val="66848287"/>
    <w:rsid w:val="66AB58EB"/>
    <w:rsid w:val="66EB4262"/>
    <w:rsid w:val="67163C03"/>
    <w:rsid w:val="6720CE99"/>
    <w:rsid w:val="672EF67E"/>
    <w:rsid w:val="673CCEAD"/>
    <w:rsid w:val="6741FFFD"/>
    <w:rsid w:val="677689CA"/>
    <w:rsid w:val="6787ECBA"/>
    <w:rsid w:val="678EB23E"/>
    <w:rsid w:val="6793A8D4"/>
    <w:rsid w:val="67AD21AB"/>
    <w:rsid w:val="67F940D1"/>
    <w:rsid w:val="67FCDBD9"/>
    <w:rsid w:val="68572003"/>
    <w:rsid w:val="688D763F"/>
    <w:rsid w:val="68B9F582"/>
    <w:rsid w:val="68C310FD"/>
    <w:rsid w:val="68DB0A6A"/>
    <w:rsid w:val="68FAA57D"/>
    <w:rsid w:val="6907E445"/>
    <w:rsid w:val="695A9746"/>
    <w:rsid w:val="697CFDE9"/>
    <w:rsid w:val="69CC6852"/>
    <w:rsid w:val="69D1122E"/>
    <w:rsid w:val="69D6B2BD"/>
    <w:rsid w:val="69F4AB0F"/>
    <w:rsid w:val="6A065782"/>
    <w:rsid w:val="6A341258"/>
    <w:rsid w:val="6A45C82B"/>
    <w:rsid w:val="6A598870"/>
    <w:rsid w:val="6A5DF469"/>
    <w:rsid w:val="6A775934"/>
    <w:rsid w:val="6A9CE7E1"/>
    <w:rsid w:val="6AB2EB82"/>
    <w:rsid w:val="6AC6A2D2"/>
    <w:rsid w:val="6ADE7755"/>
    <w:rsid w:val="6B066367"/>
    <w:rsid w:val="6B0C9D6A"/>
    <w:rsid w:val="6B299AB8"/>
    <w:rsid w:val="6B34611A"/>
    <w:rsid w:val="6B410F54"/>
    <w:rsid w:val="6B48E938"/>
    <w:rsid w:val="6B5EA41E"/>
    <w:rsid w:val="6B691F77"/>
    <w:rsid w:val="6BA60C65"/>
    <w:rsid w:val="6BCA1919"/>
    <w:rsid w:val="6BD3530D"/>
    <w:rsid w:val="6C19B55A"/>
    <w:rsid w:val="6C1E3E49"/>
    <w:rsid w:val="6C2B7BEC"/>
    <w:rsid w:val="6C5E6EE0"/>
    <w:rsid w:val="6C61F97F"/>
    <w:rsid w:val="6C644CD8"/>
    <w:rsid w:val="6C70A5AC"/>
    <w:rsid w:val="6C889F43"/>
    <w:rsid w:val="6CB098DA"/>
    <w:rsid w:val="6CB71E9B"/>
    <w:rsid w:val="6CB84E39"/>
    <w:rsid w:val="6CC747AC"/>
    <w:rsid w:val="6CD5B4B7"/>
    <w:rsid w:val="6CE54BBB"/>
    <w:rsid w:val="6CF0220B"/>
    <w:rsid w:val="6CF107D5"/>
    <w:rsid w:val="6CF2C7EC"/>
    <w:rsid w:val="6CFD60D3"/>
    <w:rsid w:val="6D4FBD9E"/>
    <w:rsid w:val="6D6F0C1E"/>
    <w:rsid w:val="6D84314F"/>
    <w:rsid w:val="6D8EFA3C"/>
    <w:rsid w:val="6DC30D7F"/>
    <w:rsid w:val="6DEF694F"/>
    <w:rsid w:val="6DF38C3E"/>
    <w:rsid w:val="6E247A12"/>
    <w:rsid w:val="6E2C7869"/>
    <w:rsid w:val="6E518777"/>
    <w:rsid w:val="6E58047E"/>
    <w:rsid w:val="6E86C1F1"/>
    <w:rsid w:val="6E8A6FBE"/>
    <w:rsid w:val="6E985191"/>
    <w:rsid w:val="6E9F73D3"/>
    <w:rsid w:val="6ECC9ED0"/>
    <w:rsid w:val="6EDBBF81"/>
    <w:rsid w:val="6EED5EFF"/>
    <w:rsid w:val="6F00F165"/>
    <w:rsid w:val="6F0750AA"/>
    <w:rsid w:val="6F0A4602"/>
    <w:rsid w:val="6F344E2C"/>
    <w:rsid w:val="6F3CD32A"/>
    <w:rsid w:val="6F560E49"/>
    <w:rsid w:val="6F6318B2"/>
    <w:rsid w:val="6F6A82F1"/>
    <w:rsid w:val="6F86C05B"/>
    <w:rsid w:val="6FB95A07"/>
    <w:rsid w:val="6FC44EB8"/>
    <w:rsid w:val="6FC8146B"/>
    <w:rsid w:val="6FCD6322"/>
    <w:rsid w:val="6FDEB329"/>
    <w:rsid w:val="6FE7D4F5"/>
    <w:rsid w:val="6FE9428A"/>
    <w:rsid w:val="6FF0C932"/>
    <w:rsid w:val="6FF3FAF8"/>
    <w:rsid w:val="700EF47F"/>
    <w:rsid w:val="701017B2"/>
    <w:rsid w:val="7020893B"/>
    <w:rsid w:val="706F16A1"/>
    <w:rsid w:val="7080AAD0"/>
    <w:rsid w:val="708FAA3C"/>
    <w:rsid w:val="70B10E9B"/>
    <w:rsid w:val="70B40D90"/>
    <w:rsid w:val="70E1278E"/>
    <w:rsid w:val="70E59E99"/>
    <w:rsid w:val="70F749AA"/>
    <w:rsid w:val="70F792F5"/>
    <w:rsid w:val="71183CAA"/>
    <w:rsid w:val="714E613A"/>
    <w:rsid w:val="7179BA3C"/>
    <w:rsid w:val="71B88A0D"/>
    <w:rsid w:val="71F39A0B"/>
    <w:rsid w:val="7233E970"/>
    <w:rsid w:val="723C3809"/>
    <w:rsid w:val="725D4217"/>
    <w:rsid w:val="7267F2DF"/>
    <w:rsid w:val="7291176B"/>
    <w:rsid w:val="72B08136"/>
    <w:rsid w:val="72B4E311"/>
    <w:rsid w:val="72B71F93"/>
    <w:rsid w:val="72C5160C"/>
    <w:rsid w:val="72E2DB8D"/>
    <w:rsid w:val="72E7FBF4"/>
    <w:rsid w:val="72E8F1BF"/>
    <w:rsid w:val="730A94D1"/>
    <w:rsid w:val="736B5D12"/>
    <w:rsid w:val="73913852"/>
    <w:rsid w:val="739260F1"/>
    <w:rsid w:val="739FDD22"/>
    <w:rsid w:val="73B89119"/>
    <w:rsid w:val="73C5A13C"/>
    <w:rsid w:val="73D4A642"/>
    <w:rsid w:val="73DC7627"/>
    <w:rsid w:val="73F000B3"/>
    <w:rsid w:val="7414D57F"/>
    <w:rsid w:val="74298FC1"/>
    <w:rsid w:val="743496B8"/>
    <w:rsid w:val="74623305"/>
    <w:rsid w:val="748526CA"/>
    <w:rsid w:val="74C1A007"/>
    <w:rsid w:val="74D044D7"/>
    <w:rsid w:val="74D4CCCB"/>
    <w:rsid w:val="74D799EA"/>
    <w:rsid w:val="75050E21"/>
    <w:rsid w:val="7507DB40"/>
    <w:rsid w:val="75183F47"/>
    <w:rsid w:val="751C90D9"/>
    <w:rsid w:val="753F9367"/>
    <w:rsid w:val="7594E48F"/>
    <w:rsid w:val="75A29391"/>
    <w:rsid w:val="75A6B188"/>
    <w:rsid w:val="75ACDDFC"/>
    <w:rsid w:val="75B60E60"/>
    <w:rsid w:val="75D3AF0A"/>
    <w:rsid w:val="75D5CE5C"/>
    <w:rsid w:val="75E46F0F"/>
    <w:rsid w:val="7642FD9A"/>
    <w:rsid w:val="765EFDAE"/>
    <w:rsid w:val="76968955"/>
    <w:rsid w:val="76E7901C"/>
    <w:rsid w:val="76ED8F01"/>
    <w:rsid w:val="76F07370"/>
    <w:rsid w:val="7717E838"/>
    <w:rsid w:val="772BF718"/>
    <w:rsid w:val="77462A64"/>
    <w:rsid w:val="7787DD7F"/>
    <w:rsid w:val="77989D84"/>
    <w:rsid w:val="77BDFCCD"/>
    <w:rsid w:val="782A1346"/>
    <w:rsid w:val="78BE87FD"/>
    <w:rsid w:val="78FD3C23"/>
    <w:rsid w:val="791BAB2A"/>
    <w:rsid w:val="79219F77"/>
    <w:rsid w:val="79229B39"/>
    <w:rsid w:val="79318EB8"/>
    <w:rsid w:val="79B8FDC9"/>
    <w:rsid w:val="79CF8ADD"/>
    <w:rsid w:val="79D3C47F"/>
    <w:rsid w:val="79EE1DD3"/>
    <w:rsid w:val="7A06D2CA"/>
    <w:rsid w:val="7A07FB69"/>
    <w:rsid w:val="7A383CBF"/>
    <w:rsid w:val="7A67A152"/>
    <w:rsid w:val="7A78C73B"/>
    <w:rsid w:val="7A983EA7"/>
    <w:rsid w:val="7A985EE1"/>
    <w:rsid w:val="7AB54568"/>
    <w:rsid w:val="7ADD3B59"/>
    <w:rsid w:val="7AF50617"/>
    <w:rsid w:val="7AFC5B2A"/>
    <w:rsid w:val="7B00471D"/>
    <w:rsid w:val="7B27DB40"/>
    <w:rsid w:val="7B61C357"/>
    <w:rsid w:val="7B6260B0"/>
    <w:rsid w:val="7B658A7B"/>
    <w:rsid w:val="7B92D4AD"/>
    <w:rsid w:val="7BA05C9B"/>
    <w:rsid w:val="7BEFC533"/>
    <w:rsid w:val="7C44B5FB"/>
    <w:rsid w:val="7C494982"/>
    <w:rsid w:val="7C4CF9CA"/>
    <w:rsid w:val="7C56C5B3"/>
    <w:rsid w:val="7C6BDBD6"/>
    <w:rsid w:val="7C9DDBF4"/>
    <w:rsid w:val="7CAC6652"/>
    <w:rsid w:val="7CB89812"/>
    <w:rsid w:val="7CBD5D45"/>
    <w:rsid w:val="7CBE38A1"/>
    <w:rsid w:val="7CCC3611"/>
    <w:rsid w:val="7D2BA51E"/>
    <w:rsid w:val="7D2D3264"/>
    <w:rsid w:val="7D9100D4"/>
    <w:rsid w:val="7DBA4DC1"/>
    <w:rsid w:val="7DDEA905"/>
    <w:rsid w:val="7DFC65AD"/>
    <w:rsid w:val="7E049E69"/>
    <w:rsid w:val="7E0A7E3A"/>
    <w:rsid w:val="7E1F026F"/>
    <w:rsid w:val="7E23644A"/>
    <w:rsid w:val="7E3FA1C7"/>
    <w:rsid w:val="7E3FBD48"/>
    <w:rsid w:val="7E567D2D"/>
    <w:rsid w:val="7E66DD2C"/>
    <w:rsid w:val="7E8DDB6F"/>
    <w:rsid w:val="7E9C69EA"/>
    <w:rsid w:val="7EB29FF8"/>
    <w:rsid w:val="7ED2BC09"/>
    <w:rsid w:val="7EDA16AA"/>
    <w:rsid w:val="7EF93400"/>
    <w:rsid w:val="7EFFB98B"/>
    <w:rsid w:val="7F006D3C"/>
    <w:rsid w:val="7F10B145"/>
    <w:rsid w:val="7F11A22F"/>
    <w:rsid w:val="7F178027"/>
    <w:rsid w:val="7F773DA2"/>
    <w:rsid w:val="7FA317F1"/>
    <w:rsid w:val="7FB04AFC"/>
    <w:rsid w:val="7FCA9119"/>
    <w:rsid w:val="7FD6263C"/>
    <w:rsid w:val="7FFE68F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747BE043-F557-4991-89CD-D66FB0AD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264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817262513">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yperlink" Target="https://www.gpp.pt/images/PEPAC/PEPAC_Submetido/Exportacao_SFC_versaoAprovao_29072022.pdf"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recuperarportugal.gov.pt/wp-content/uploads/2021/10/PRR.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pnpot.dgterritorio.gov.pt/sites/default/files/SQ_Vconc_PNPOT_0.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ortugal2030.pt/wp-content/uploads/sites/3/2022/07/sfc2021-PA-2021PT16FFPA001-2.0_vf.pdf" TargetMode="External"/><Relationship Id="rId20" Type="http://schemas.openxmlformats.org/officeDocument/2006/relationships/hyperlink" Target="https://portugal2030.pt/programa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recuperarportugal.gov.pt/wp-content/uploads/2021/10/PRR.pdf"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yperlink" Target="https://portugal2030.pt/wp-content/uploads/sites/3/2022/07/sfc2021-PA-2021PT16FFPA001-2.0_vf.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portugal.gov.pt/download-ficheiros/ficheiro.aspx?v=%3d%3dBQAAAB%2bLCAAAAAAABAAzNDC3NAEAkBRcpAUAAAA%3d" TargetMode="External"/><Relationship Id="rId22" Type="http://schemas.openxmlformats.org/officeDocument/2006/relationships/hyperlink" Target="https://www.portugal.gov.pt/download-ficheiros/ficheiro.aspx?v=%3d%3dBQAAAB%2bLCAAAAAAABAAzNDCzNAcAHS%2bXPAUAAAA%3d"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454919"/>
    <w:rsid w:val="004C0168"/>
    <w:rsid w:val="005A165C"/>
    <w:rsid w:val="00611345"/>
    <w:rsid w:val="00677B98"/>
    <w:rsid w:val="00973F05"/>
    <w:rsid w:val="00B86912"/>
    <w:rsid w:val="00C84EE6"/>
    <w:rsid w:val="00C9343A"/>
    <w:rsid w:val="00EF0FE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b:Sources xmlns:b="http://schemas.openxmlformats.org/officeDocument/2006/bibliography" xmlns="http://schemas.openxmlformats.org/officeDocument/2006/bibliography" SelectedStyle="\oecd-en.xsl" StyleName="OECD English" Version="20220221"/>
</file>

<file path=customXml/item3.xml><?xml version="1.0" encoding="utf-8"?>
<p:properties xmlns:p="http://schemas.microsoft.com/office/2006/metadata/properties" xmlns:xsi="http://www.w3.org/2001/XMLSchema-instance" xmlns:pc="http://schemas.microsoft.com/office/infopath/2007/PartnerControls">
  <documentManagement>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TaxCatchAll xmlns="ca82dde9-3436-4d3d-bddd-d31447390034">
      <Value>292</Value>
      <Value>618</Value>
      <Value>988</Value>
    </TaxCatchAll>
  </documentManagement>
</p:properties>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741334-DF0E-4358-B8D4-155B65084EE0}">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488882FC-3091-443A-99DD-E92D37F89D97}">
  <ds:schemaRefs>
    <ds:schemaRef ds:uri="http://schemas.openxmlformats.org/officeDocument/2006/bibliography"/>
  </ds:schemaRefs>
</ds:datastoreItem>
</file>

<file path=customXml/itemProps3.xml><?xml version="1.0" encoding="utf-8"?>
<ds:datastoreItem xmlns:ds="http://schemas.openxmlformats.org/officeDocument/2006/customXml" ds:itemID="{22DEFB22-C7B2-4CCB-9DED-924399FF6FC3}">
  <ds:schemaRef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54c4cd27-f286-408f-9ce0-33c1e0f3ab39"/>
    <ds:schemaRef ds:uri="http://schemas.microsoft.com/sharepoint/v4"/>
    <ds:schemaRef ds:uri="ca82dde9-3436-4d3d-bddd-d31447390034"/>
    <ds:schemaRef ds:uri="http://purl.org/dc/terms/"/>
    <ds:schemaRef ds:uri="c0e75541-f54f-401c-9a34-cb7fded40982"/>
    <ds:schemaRef ds:uri="http://purl.org/dc/elements/1.1/"/>
    <ds:schemaRef ds:uri="c9f238dd-bb73-4aef-a7a5-d644ad823e52"/>
    <ds:schemaRef ds:uri="bbc7a7a3-1361-4a32-9a19-e150eb4da2ba"/>
    <ds:schemaRef ds:uri="http://www.w3.org/XML/1998/namespace"/>
    <ds:schemaRef ds:uri="http://purl.org/dc/dcmitype/"/>
  </ds:schemaRefs>
</ds:datastoreItem>
</file>

<file path=customXml/itemProps4.xml><?xml version="1.0" encoding="utf-8"?>
<ds:datastoreItem xmlns:ds="http://schemas.openxmlformats.org/officeDocument/2006/customXml" ds:itemID="{8C232591-EF80-416A-B6DA-59F44DA75118}">
  <ds:schemaRefs>
    <ds:schemaRef ds:uri="http://schemas.microsoft.com/sharepoint/v3/contenttype/forms"/>
  </ds:schemaRefs>
</ds:datastoreItem>
</file>

<file path=customXml/itemProps5.xml><?xml version="1.0" encoding="utf-8"?>
<ds:datastoreItem xmlns:ds="http://schemas.openxmlformats.org/officeDocument/2006/customXml" ds:itemID="{F3B31CA6-003B-492C-9B19-575582D47623}">
  <ds:schemaRefs>
    <ds:schemaRef ds:uri="Microsoft.SharePoint.Taxonomy.ContentTypeSync"/>
  </ds:schemaRefs>
</ds:datastoreItem>
</file>

<file path=customXml/itemProps6.xml><?xml version="1.0" encoding="utf-8"?>
<ds:datastoreItem xmlns:ds="http://schemas.openxmlformats.org/officeDocument/2006/customXml" ds:itemID="{9320D9EB-51E0-4E87-B014-95F802908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9</TotalTime>
  <Pages>3</Pages>
  <Words>1561</Words>
  <Characters>9685</Characters>
  <Application>Microsoft Office Word</Application>
  <DocSecurity>0</DocSecurity>
  <Lines>179</Lines>
  <Paragraphs>59</Paragraphs>
  <ScaleCrop>false</ScaleCrop>
  <HeadingPairs>
    <vt:vector size="2" baseType="variant">
      <vt:variant>
        <vt:lpstr>Título</vt:lpstr>
      </vt:variant>
      <vt:variant>
        <vt:i4>1</vt:i4>
      </vt:variant>
    </vt:vector>
  </HeadingPairs>
  <TitlesOfParts>
    <vt:vector size="1" baseType="lpstr">
      <vt:lpstr>Country profile template: Portugal</vt:lpstr>
    </vt:vector>
  </TitlesOfParts>
  <Company>OECD</Company>
  <LinksUpToDate>false</LinksUpToDate>
  <CharactersWithSpaces>11187</CharactersWithSpaces>
  <SharedDoc>false</SharedDoc>
  <HLinks>
    <vt:vector size="24" baseType="variant">
      <vt:variant>
        <vt:i4>8126569</vt:i4>
      </vt:variant>
      <vt:variant>
        <vt:i4>0</vt:i4>
      </vt:variant>
      <vt:variant>
        <vt:i4>0</vt:i4>
      </vt:variant>
      <vt:variant>
        <vt:i4>5</vt:i4>
      </vt:variant>
      <vt:variant>
        <vt:lpwstr>https://one.oecd.org/document/CFE/RDPC/RD(2022)7/en/pdf</vt:lpwstr>
      </vt:variant>
      <vt:variant>
        <vt:lpwstr/>
      </vt:variant>
      <vt:variant>
        <vt:i4>4718711</vt:i4>
      </vt:variant>
      <vt:variant>
        <vt:i4>3</vt:i4>
      </vt:variant>
      <vt:variant>
        <vt:i4>0</vt:i4>
      </vt:variant>
      <vt:variant>
        <vt:i4>5</vt:i4>
      </vt:variant>
      <vt:variant>
        <vt:lpwstr>https://www.ine.pt/xportal/xmain?xpid=INE&amp;xpgid=ine_indicadores&amp;indOcorrCod=0010329&amp;contexto=bd&amp;selTab=tab2</vt:lpwstr>
      </vt:variant>
      <vt:variant>
        <vt:lpwstr/>
      </vt:variant>
      <vt:variant>
        <vt:i4>4784250</vt:i4>
      </vt:variant>
      <vt:variant>
        <vt:i4>0</vt:i4>
      </vt:variant>
      <vt:variant>
        <vt:i4>0</vt:i4>
      </vt:variant>
      <vt:variant>
        <vt:i4>5</vt:i4>
      </vt:variant>
      <vt:variant>
        <vt:lpwstr>https://www.ine.pt/xportal/xmain?xpid=INE&amp;xpgid=ine_indicadores&amp;indOcorrCod=0010334&amp;contexto=bd&amp;selTab=tab2</vt:lpwstr>
      </vt:variant>
      <vt:variant>
        <vt:lpwstr/>
      </vt:variant>
      <vt:variant>
        <vt:i4>65656</vt:i4>
      </vt:variant>
      <vt:variant>
        <vt:i4>0</vt:i4>
      </vt:variant>
      <vt:variant>
        <vt:i4>0</vt:i4>
      </vt:variant>
      <vt:variant>
        <vt:i4>5</vt:i4>
      </vt:variant>
      <vt:variant>
        <vt:lpwstr>mailto:Delphine.CLAVREUL@oecd.org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Portugal</dc:title>
  <dc:subject/>
  <dc:creator>CLAVREUL Delphine</dc:creator>
  <cp:keywords>DOCUMENT CODE</cp:keywords>
  <dc:description/>
  <cp:lastModifiedBy>CLAVREUL Delphine, CFE/RDG</cp:lastModifiedBy>
  <cp:revision>7</cp:revision>
  <dcterms:created xsi:type="dcterms:W3CDTF">2023-04-12T16:16:00Z</dcterms:created>
  <dcterms:modified xsi:type="dcterms:W3CDTF">2023-09-24T13:21:00Z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