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5FBFC" w14:textId="77777777" w:rsidR="00631B0E" w:rsidRDefault="00300687">
      <w:pPr>
        <w:pStyle w:val="Titel"/>
      </w:pPr>
      <w:r>
        <w:rPr>
          <w:noProof/>
          <w:sz w:val="20"/>
        </w:rPr>
        <w:drawing>
          <wp:anchor distT="0" distB="0" distL="114300" distR="114300" simplePos="0" relativeHeight="251657728" behindDoc="0" locked="0" layoutInCell="1" allowOverlap="1" wp14:anchorId="07278439" wp14:editId="12083196">
            <wp:simplePos x="0" y="0"/>
            <wp:positionH relativeFrom="column">
              <wp:posOffset>5024755</wp:posOffset>
            </wp:positionH>
            <wp:positionV relativeFrom="paragraph">
              <wp:posOffset>6985</wp:posOffset>
            </wp:positionV>
            <wp:extent cx="1318895" cy="1600200"/>
            <wp:effectExtent l="19050" t="0" r="0" b="0"/>
            <wp:wrapSquare wrapText="bothSides"/>
            <wp:docPr id="3" name="Bild 3" descr="..\Gesundheitsbegriff Teil 2\gesundhe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sundheitsbegriff Teil 2\gesundheit.jpg"/>
                    <pic:cNvPicPr>
                      <a:picLocks noChangeAspect="1" noChangeArrowheads="1"/>
                    </pic:cNvPicPr>
                  </pic:nvPicPr>
                  <pic:blipFill>
                    <a:blip r:embed="rId10" cstate="print"/>
                    <a:srcRect/>
                    <a:stretch>
                      <a:fillRect/>
                    </a:stretch>
                  </pic:blipFill>
                  <pic:spPr bwMode="auto">
                    <a:xfrm>
                      <a:off x="0" y="0"/>
                      <a:ext cx="1318895" cy="1600200"/>
                    </a:xfrm>
                    <a:prstGeom prst="rect">
                      <a:avLst/>
                    </a:prstGeom>
                    <a:noFill/>
                    <a:ln w="9525">
                      <a:noFill/>
                      <a:miter lim="800000"/>
                      <a:headEnd/>
                      <a:tailEnd/>
                    </a:ln>
                  </pic:spPr>
                </pic:pic>
              </a:graphicData>
            </a:graphic>
          </wp:anchor>
        </w:drawing>
      </w:r>
      <w:r w:rsidR="002B25C3">
        <w:t>„Salutogenese“ - ein gesundheitswissenschaftliches Modell</w:t>
      </w:r>
    </w:p>
    <w:p w14:paraId="1C90E291" w14:textId="77777777" w:rsidR="00631B0E" w:rsidRDefault="002B25C3">
      <w:pPr>
        <w:autoSpaceDE w:val="0"/>
        <w:autoSpaceDN w:val="0"/>
        <w:adjustRightInd w:val="0"/>
        <w:spacing w:before="120"/>
        <w:jc w:val="both"/>
        <w:rPr>
          <w:rFonts w:ascii="Arial" w:hAnsi="Arial" w:cs="Arial"/>
          <w:color w:val="000000"/>
          <w:sz w:val="22"/>
          <w:szCs w:val="20"/>
        </w:rPr>
      </w:pPr>
      <w:r>
        <w:rPr>
          <w:rFonts w:ascii="Arial" w:hAnsi="Arial" w:cs="Arial"/>
          <w:color w:val="000000"/>
          <w:sz w:val="22"/>
          <w:szCs w:val="20"/>
        </w:rPr>
        <w:t>Das Konzept der Salutogenese ist vom israelitischen Medizinsoziologen Aaron Antonovsky seit den 70er Jahren entwickelt worden und hat in den Gesundheitswissenschaften eine große Anerkennung gewonnen.</w:t>
      </w:r>
    </w:p>
    <w:p w14:paraId="7D509D6E" w14:textId="77777777" w:rsidR="00631B0E" w:rsidRDefault="002B25C3">
      <w:pPr>
        <w:autoSpaceDE w:val="0"/>
        <w:autoSpaceDN w:val="0"/>
        <w:adjustRightInd w:val="0"/>
        <w:spacing w:before="240" w:after="60"/>
        <w:outlineLvl w:val="2"/>
        <w:rPr>
          <w:rFonts w:ascii="Arial" w:hAnsi="Arial" w:cs="Arial"/>
          <w:color w:val="000000"/>
          <w:sz w:val="22"/>
          <w:szCs w:val="20"/>
        </w:rPr>
      </w:pPr>
      <w:r>
        <w:rPr>
          <w:rFonts w:ascii="Arial" w:hAnsi="Arial" w:cs="Arial"/>
          <w:b/>
          <w:bCs/>
          <w:color w:val="000000"/>
          <w:sz w:val="22"/>
          <w:szCs w:val="20"/>
        </w:rPr>
        <w:t xml:space="preserve">Grundlagen des Konzeptes </w:t>
      </w:r>
    </w:p>
    <w:p w14:paraId="18B46D1D" w14:textId="77777777" w:rsidR="00631B0E" w:rsidRDefault="002B25C3">
      <w:pPr>
        <w:autoSpaceDE w:val="0"/>
        <w:autoSpaceDN w:val="0"/>
        <w:adjustRightInd w:val="0"/>
        <w:spacing w:before="120"/>
        <w:jc w:val="both"/>
        <w:rPr>
          <w:rFonts w:ascii="Arial" w:hAnsi="Arial" w:cs="Arial"/>
          <w:color w:val="000000"/>
          <w:sz w:val="22"/>
          <w:szCs w:val="20"/>
        </w:rPr>
      </w:pPr>
      <w:r>
        <w:rPr>
          <w:rFonts w:ascii="Arial" w:hAnsi="Arial" w:cs="Arial"/>
          <w:color w:val="000000"/>
          <w:sz w:val="22"/>
          <w:szCs w:val="20"/>
        </w:rPr>
        <w:t xml:space="preserve">Antonovsky nutzt zur Kennzeichnung der beiden Perspektiven, nämlich der Gesundheits- und der Krankheitsperspektive, die Begriffe „Salutogenese“ und „Pathogenese“. Die salutogenetische Perspektive geht von der Fragestellung aus: Wie entsteht Heilung bzw. Gesundheit? Demgegenüber geht die Pathogenese von der Fragestellung aus: Wie entsteht Leiden bzw. Krankheit? Antonovsky hat die bemerkenswerte Modellvorstellung eines Gesundheits-Krankheits-Kontinuums entworfen: ‘Gesundheit’ und ‘Krankheit’ sind zwei Richtungen eines multidimensionalen Kontinuums: Menschen sind weder vollständig gesund noch vollständig krank; jeder Mensch erlebt zumindest ein bisschen Gesundheit, und jeder Mensch wird an einer Krankheit sterben; jeder Mensch bewegt sich beständig auf einem Kontinuum zwischen Krankheit und Gesundheit, das von ‘sehr krank’ bis ‘sehr gesund’ reichen kann. Gesundheitsprozesse lassen sich als Bewegungen </w:t>
      </w:r>
      <w:proofErr w:type="gramStart"/>
      <w:r>
        <w:rPr>
          <w:rFonts w:ascii="Arial" w:hAnsi="Arial" w:cs="Arial"/>
          <w:color w:val="000000"/>
          <w:sz w:val="22"/>
          <w:szCs w:val="20"/>
        </w:rPr>
        <w:t>auf den Gesundheits-Krankheits-Kontinuum</w:t>
      </w:r>
      <w:proofErr w:type="gramEnd"/>
      <w:r>
        <w:rPr>
          <w:rFonts w:ascii="Arial" w:hAnsi="Arial" w:cs="Arial"/>
          <w:color w:val="000000"/>
          <w:sz w:val="22"/>
          <w:szCs w:val="20"/>
        </w:rPr>
        <w:t xml:space="preserve"> in Richtung auf ‘mehr Gesundheit’ oder ‘mehr Krankheit’ betrachten. </w:t>
      </w:r>
      <w:r>
        <w:rPr>
          <w:rFonts w:ascii="Arial" w:hAnsi="Arial" w:cs="Arial"/>
          <w:i/>
          <w:iCs/>
          <w:color w:val="000000"/>
          <w:sz w:val="22"/>
          <w:szCs w:val="20"/>
        </w:rPr>
        <w:t>Gesundungs</w:t>
      </w:r>
      <w:r>
        <w:rPr>
          <w:rFonts w:ascii="Arial" w:hAnsi="Arial" w:cs="Arial"/>
          <w:color w:val="000000"/>
          <w:sz w:val="22"/>
          <w:szCs w:val="20"/>
        </w:rPr>
        <w:t xml:space="preserve">prozesse sind dann Bewegungen auf dem Kontinuum zu ‘mehr Gesundheit’. </w:t>
      </w:r>
    </w:p>
    <w:p w14:paraId="5CCAB797" w14:textId="77777777" w:rsidR="00631B0E" w:rsidRDefault="002B25C3">
      <w:pPr>
        <w:autoSpaceDE w:val="0"/>
        <w:autoSpaceDN w:val="0"/>
        <w:adjustRightInd w:val="0"/>
        <w:spacing w:before="120"/>
        <w:jc w:val="both"/>
        <w:rPr>
          <w:rFonts w:ascii="Arial" w:hAnsi="Arial" w:cs="Arial"/>
          <w:color w:val="000000"/>
          <w:sz w:val="22"/>
          <w:szCs w:val="20"/>
        </w:rPr>
      </w:pPr>
      <w:r>
        <w:rPr>
          <w:rFonts w:ascii="Arial" w:hAnsi="Arial" w:cs="Arial"/>
          <w:color w:val="000000"/>
          <w:sz w:val="22"/>
          <w:szCs w:val="20"/>
        </w:rPr>
        <w:t xml:space="preserve">Im Salutogenese-Modell wird für die Bewegungen auf dem Gesundheits-Krankheits-Kontinuum nach den inneren und äußeren Einflüssen gefragt, die zu Gesundungsprozessen bzw. zu Bewegungen in Richtung auf ‘mehr’ Gesundheit beitragen. Demgegenüber ist im Gesundheitswesen die pathogenetische Fragestellung nach krankheitsfördernden Einflüssen weit verbreitet. Salutogenetische Betrachtungen beziehen sich weniger auf die Beschreibung von Ausgangs- und Zielzuständen auf dem Gesundheits-Krankheits-Kontinuum, sondern mehr auf die Bewegungen zu ‘mehr Gesundheit’ und ihre inneren und äußeren Bedingungen; es geht also um Perspektiven für die Fragestellung: Welche Prozesse ermöglichen positive Veränderungen zu mehr Gesundheit? </w:t>
      </w:r>
    </w:p>
    <w:p w14:paraId="67F215B0" w14:textId="77777777" w:rsidR="00631B0E" w:rsidRDefault="00631B0E">
      <w:pPr>
        <w:autoSpaceDE w:val="0"/>
        <w:autoSpaceDN w:val="0"/>
        <w:adjustRightInd w:val="0"/>
        <w:spacing w:before="120" w:after="60"/>
        <w:outlineLvl w:val="2"/>
        <w:rPr>
          <w:rFonts w:ascii="Arial" w:hAnsi="Arial" w:cs="Arial"/>
          <w:b/>
          <w:bCs/>
          <w:color w:val="000000"/>
          <w:sz w:val="22"/>
          <w:szCs w:val="20"/>
        </w:rPr>
      </w:pPr>
    </w:p>
    <w:p w14:paraId="4D36E81D" w14:textId="77777777" w:rsidR="00631B0E" w:rsidRDefault="002B25C3">
      <w:pPr>
        <w:autoSpaceDE w:val="0"/>
        <w:autoSpaceDN w:val="0"/>
        <w:adjustRightInd w:val="0"/>
        <w:spacing w:before="120" w:after="60"/>
        <w:outlineLvl w:val="2"/>
        <w:rPr>
          <w:rFonts w:ascii="Arial" w:hAnsi="Arial" w:cs="Arial"/>
          <w:color w:val="000000"/>
          <w:sz w:val="22"/>
          <w:szCs w:val="20"/>
        </w:rPr>
      </w:pPr>
      <w:r>
        <w:rPr>
          <w:rFonts w:ascii="Arial" w:hAnsi="Arial" w:cs="Arial"/>
          <w:b/>
          <w:bCs/>
          <w:color w:val="000000"/>
          <w:sz w:val="22"/>
          <w:szCs w:val="20"/>
        </w:rPr>
        <w:t xml:space="preserve">Stressforschung als Ausgang des </w:t>
      </w:r>
      <w:proofErr w:type="spellStart"/>
      <w:r>
        <w:rPr>
          <w:rFonts w:ascii="Arial" w:hAnsi="Arial" w:cs="Arial"/>
          <w:b/>
          <w:bCs/>
          <w:color w:val="000000"/>
          <w:sz w:val="22"/>
          <w:szCs w:val="20"/>
        </w:rPr>
        <w:t>Salutogenesemodells</w:t>
      </w:r>
      <w:proofErr w:type="spellEnd"/>
      <w:r>
        <w:rPr>
          <w:rFonts w:ascii="Arial" w:hAnsi="Arial" w:cs="Arial"/>
          <w:b/>
          <w:bCs/>
          <w:color w:val="000000"/>
          <w:sz w:val="22"/>
          <w:szCs w:val="20"/>
        </w:rPr>
        <w:t xml:space="preserve"> </w:t>
      </w:r>
    </w:p>
    <w:p w14:paraId="4E737EF2" w14:textId="77777777" w:rsidR="00631B0E" w:rsidRDefault="002B25C3">
      <w:pPr>
        <w:autoSpaceDE w:val="0"/>
        <w:autoSpaceDN w:val="0"/>
        <w:adjustRightInd w:val="0"/>
        <w:spacing w:before="120"/>
        <w:jc w:val="both"/>
        <w:rPr>
          <w:rFonts w:ascii="Arial" w:hAnsi="Arial" w:cs="Arial"/>
          <w:color w:val="000000"/>
          <w:sz w:val="22"/>
          <w:szCs w:val="20"/>
        </w:rPr>
      </w:pPr>
      <w:r>
        <w:rPr>
          <w:rFonts w:ascii="Arial" w:hAnsi="Arial" w:cs="Arial"/>
          <w:color w:val="000000"/>
          <w:sz w:val="22"/>
          <w:szCs w:val="20"/>
        </w:rPr>
        <w:t xml:space="preserve">Antonovsky hat sich als Medizinsoziologe vorwiegend mit Forschungen zur psychosozialen Stressbewältigung befasst. Er geht von der Annahme aus, dass Menschen alltäglich von Stressfaktoren bzw. von Anforderungen und Belastungen konfrontiert sind und dass auch nahezu alle Menschen von </w:t>
      </w:r>
      <w:r>
        <w:rPr>
          <w:rFonts w:ascii="Arial" w:hAnsi="Arial" w:cs="Arial"/>
          <w:color w:val="000000"/>
          <w:sz w:val="22"/>
          <w:szCs w:val="20"/>
        </w:rPr>
        <w:lastRenderedPageBreak/>
        <w:t>schwereren belastenden Lebensereignissen, wie z.B. Krankheiten, eigenen Fehler, Missverständnissen und Trennungen in sozialen Beziehungen sowie auch vom Sterben, betroffen sind. Während die sonstige Stressforschung überwiegend nach krankheitsfördernden Einflüssen im Stressgeschehen fragt, geht Antonovsky der salutogenetischen Fragestellung nach: Welche inneren und äußeren Bedingungen und Einflüsse ermöglichen es Menschen, trotz alltäglicher stressender Belastungen und trotz besonders schwerwiegender Belastungserlebnisse ihre Gesundheit zu erhalten und auch zu verbessern? Als jüdischer Forscher interessiert ihn dabei auch die beispielhafte Fragestellung, wie Menschen den Holocaust überlebt und psychosozial bewältigt haben.</w:t>
      </w:r>
    </w:p>
    <w:p w14:paraId="3FD9DEA9" w14:textId="77777777" w:rsidR="00631B0E" w:rsidRDefault="002B25C3">
      <w:pPr>
        <w:autoSpaceDE w:val="0"/>
        <w:autoSpaceDN w:val="0"/>
        <w:adjustRightInd w:val="0"/>
        <w:spacing w:before="240" w:after="60"/>
        <w:outlineLvl w:val="2"/>
        <w:rPr>
          <w:rFonts w:ascii="Arial" w:hAnsi="Arial" w:cs="Arial"/>
          <w:sz w:val="22"/>
          <w:szCs w:val="20"/>
        </w:rPr>
      </w:pPr>
      <w:r>
        <w:rPr>
          <w:rFonts w:ascii="Arial" w:hAnsi="Arial" w:cs="Arial"/>
          <w:b/>
          <w:bCs/>
          <w:sz w:val="22"/>
          <w:szCs w:val="20"/>
        </w:rPr>
        <w:t xml:space="preserve">Generalisierte Widerstandsressourcen und Kohärenzsinn </w:t>
      </w:r>
    </w:p>
    <w:p w14:paraId="243FBD95" w14:textId="77777777" w:rsidR="00631B0E" w:rsidRDefault="002B25C3">
      <w:pPr>
        <w:autoSpaceDE w:val="0"/>
        <w:autoSpaceDN w:val="0"/>
        <w:adjustRightInd w:val="0"/>
        <w:spacing w:before="120"/>
        <w:jc w:val="both"/>
        <w:rPr>
          <w:rFonts w:ascii="Arial" w:hAnsi="Arial" w:cs="Arial"/>
          <w:sz w:val="22"/>
          <w:szCs w:val="20"/>
        </w:rPr>
      </w:pPr>
      <w:r>
        <w:rPr>
          <w:rFonts w:ascii="Arial" w:hAnsi="Arial" w:cs="Arial"/>
          <w:sz w:val="22"/>
          <w:szCs w:val="20"/>
        </w:rPr>
        <w:t xml:space="preserve">Die aus der Forschung zur Stressbewältigung hervorgegangene Konzepte der ‘generalisierten Widerstandsressourcen’ und des ‘Kohärenzsinnes’ beantworten die Frage: Mit welchen inneren und äußeren Ressourcen können Menschen ihre Gesundheit auch bei der Konfrontation mit belastenden Lebensereignissen erhalten? Antonovsky stellt 10 ‘generalisierte Widerstandsressourcen’ dar: </w:t>
      </w:r>
    </w:p>
    <w:p w14:paraId="3C58BBD8" w14:textId="77777777" w:rsidR="00631B0E" w:rsidRPr="0053079A" w:rsidRDefault="002B25C3">
      <w:pPr>
        <w:numPr>
          <w:ilvl w:val="0"/>
          <w:numId w:val="1"/>
        </w:numPr>
        <w:autoSpaceDE w:val="0"/>
        <w:autoSpaceDN w:val="0"/>
        <w:adjustRightInd w:val="0"/>
        <w:ind w:left="720" w:hanging="360"/>
        <w:rPr>
          <w:rFonts w:ascii="Arial" w:hAnsi="Arial" w:cs="Arial"/>
          <w:sz w:val="18"/>
          <w:szCs w:val="18"/>
        </w:rPr>
      </w:pPr>
      <w:r w:rsidRPr="0053079A">
        <w:rPr>
          <w:rFonts w:ascii="Arial" w:hAnsi="Arial" w:cs="Arial"/>
          <w:sz w:val="18"/>
          <w:szCs w:val="18"/>
        </w:rPr>
        <w:t xml:space="preserve">1. finanzielle Möglichkeiten, </w:t>
      </w:r>
    </w:p>
    <w:p w14:paraId="332B2895" w14:textId="77777777" w:rsidR="00631B0E" w:rsidRPr="0053079A" w:rsidRDefault="002B25C3">
      <w:pPr>
        <w:numPr>
          <w:ilvl w:val="0"/>
          <w:numId w:val="1"/>
        </w:numPr>
        <w:autoSpaceDE w:val="0"/>
        <w:autoSpaceDN w:val="0"/>
        <w:adjustRightInd w:val="0"/>
        <w:ind w:left="720" w:hanging="360"/>
        <w:rPr>
          <w:rFonts w:ascii="Arial" w:hAnsi="Arial" w:cs="Arial"/>
          <w:sz w:val="18"/>
          <w:szCs w:val="18"/>
        </w:rPr>
      </w:pPr>
      <w:r w:rsidRPr="0053079A">
        <w:rPr>
          <w:rFonts w:ascii="Arial" w:hAnsi="Arial" w:cs="Arial"/>
          <w:sz w:val="18"/>
          <w:szCs w:val="18"/>
        </w:rPr>
        <w:t xml:space="preserve">2. Wissen und Intelligenz, </w:t>
      </w:r>
    </w:p>
    <w:p w14:paraId="19C0B12D" w14:textId="77777777" w:rsidR="00631B0E" w:rsidRPr="0053079A" w:rsidRDefault="002B25C3">
      <w:pPr>
        <w:numPr>
          <w:ilvl w:val="0"/>
          <w:numId w:val="1"/>
        </w:numPr>
        <w:autoSpaceDE w:val="0"/>
        <w:autoSpaceDN w:val="0"/>
        <w:adjustRightInd w:val="0"/>
        <w:ind w:left="720" w:hanging="360"/>
        <w:rPr>
          <w:rFonts w:ascii="Arial" w:hAnsi="Arial" w:cs="Arial"/>
          <w:sz w:val="18"/>
          <w:szCs w:val="18"/>
        </w:rPr>
      </w:pPr>
      <w:r w:rsidRPr="0053079A">
        <w:rPr>
          <w:rFonts w:ascii="Arial" w:hAnsi="Arial" w:cs="Arial"/>
          <w:sz w:val="18"/>
          <w:szCs w:val="18"/>
        </w:rPr>
        <w:t xml:space="preserve">3. Ich-Identität bzw. Selbstvertrauen, Ich-Stärke, </w:t>
      </w:r>
    </w:p>
    <w:p w14:paraId="1059C50C" w14:textId="77777777" w:rsidR="00631B0E" w:rsidRPr="0053079A" w:rsidRDefault="002B25C3">
      <w:pPr>
        <w:numPr>
          <w:ilvl w:val="0"/>
          <w:numId w:val="1"/>
        </w:numPr>
        <w:autoSpaceDE w:val="0"/>
        <w:autoSpaceDN w:val="0"/>
        <w:adjustRightInd w:val="0"/>
        <w:ind w:left="720" w:hanging="360"/>
        <w:rPr>
          <w:rFonts w:ascii="Arial" w:hAnsi="Arial" w:cs="Arial"/>
          <w:sz w:val="18"/>
          <w:szCs w:val="18"/>
        </w:rPr>
      </w:pPr>
      <w:r w:rsidRPr="0053079A">
        <w:rPr>
          <w:rFonts w:ascii="Arial" w:hAnsi="Arial" w:cs="Arial"/>
          <w:sz w:val="18"/>
          <w:szCs w:val="18"/>
        </w:rPr>
        <w:t xml:space="preserve">4. Bewältigungsstrategien: Vernunft, Flexibilität und Voraussicht, </w:t>
      </w:r>
    </w:p>
    <w:p w14:paraId="5EE90B97" w14:textId="77777777" w:rsidR="00631B0E" w:rsidRPr="0053079A" w:rsidRDefault="002B25C3">
      <w:pPr>
        <w:numPr>
          <w:ilvl w:val="0"/>
          <w:numId w:val="1"/>
        </w:numPr>
        <w:autoSpaceDE w:val="0"/>
        <w:autoSpaceDN w:val="0"/>
        <w:adjustRightInd w:val="0"/>
        <w:ind w:left="720" w:hanging="360"/>
        <w:rPr>
          <w:rFonts w:ascii="Arial" w:hAnsi="Arial" w:cs="Arial"/>
          <w:sz w:val="18"/>
          <w:szCs w:val="18"/>
        </w:rPr>
      </w:pPr>
      <w:r w:rsidRPr="0053079A">
        <w:rPr>
          <w:rFonts w:ascii="Arial" w:hAnsi="Arial" w:cs="Arial"/>
          <w:sz w:val="18"/>
          <w:szCs w:val="18"/>
        </w:rPr>
        <w:t xml:space="preserve">5. soziale Unterstützungen und soziale Beziehungen, </w:t>
      </w:r>
    </w:p>
    <w:p w14:paraId="2D6E7C78" w14:textId="77777777" w:rsidR="00631B0E" w:rsidRPr="0053079A" w:rsidRDefault="002B25C3">
      <w:pPr>
        <w:numPr>
          <w:ilvl w:val="0"/>
          <w:numId w:val="1"/>
        </w:numPr>
        <w:autoSpaceDE w:val="0"/>
        <w:autoSpaceDN w:val="0"/>
        <w:adjustRightInd w:val="0"/>
        <w:ind w:left="720" w:hanging="360"/>
        <w:rPr>
          <w:rFonts w:ascii="Arial" w:hAnsi="Arial" w:cs="Arial"/>
          <w:sz w:val="18"/>
          <w:szCs w:val="18"/>
        </w:rPr>
      </w:pPr>
      <w:r w:rsidRPr="0053079A">
        <w:rPr>
          <w:rFonts w:ascii="Arial" w:hAnsi="Arial" w:cs="Arial"/>
          <w:sz w:val="18"/>
          <w:szCs w:val="18"/>
        </w:rPr>
        <w:t xml:space="preserve">6. Engagement mit Ausdauer, Verbindlichkeit und Kontrolle, </w:t>
      </w:r>
    </w:p>
    <w:p w14:paraId="02A9CE8E" w14:textId="77777777" w:rsidR="00631B0E" w:rsidRPr="0053079A" w:rsidRDefault="002B25C3">
      <w:pPr>
        <w:numPr>
          <w:ilvl w:val="0"/>
          <w:numId w:val="1"/>
        </w:numPr>
        <w:autoSpaceDE w:val="0"/>
        <w:autoSpaceDN w:val="0"/>
        <w:adjustRightInd w:val="0"/>
        <w:ind w:left="720" w:hanging="360"/>
        <w:rPr>
          <w:rFonts w:ascii="Arial" w:hAnsi="Arial" w:cs="Arial"/>
          <w:sz w:val="18"/>
          <w:szCs w:val="18"/>
        </w:rPr>
      </w:pPr>
      <w:r w:rsidRPr="0053079A">
        <w:rPr>
          <w:rFonts w:ascii="Arial" w:hAnsi="Arial" w:cs="Arial"/>
          <w:sz w:val="18"/>
          <w:szCs w:val="18"/>
        </w:rPr>
        <w:t xml:space="preserve">7. kulturelle Stabilität, </w:t>
      </w:r>
    </w:p>
    <w:p w14:paraId="4765D196" w14:textId="77777777" w:rsidR="00631B0E" w:rsidRPr="0053079A" w:rsidRDefault="002B25C3">
      <w:pPr>
        <w:numPr>
          <w:ilvl w:val="0"/>
          <w:numId w:val="1"/>
        </w:numPr>
        <w:autoSpaceDE w:val="0"/>
        <w:autoSpaceDN w:val="0"/>
        <w:adjustRightInd w:val="0"/>
        <w:ind w:left="720" w:hanging="360"/>
        <w:rPr>
          <w:rFonts w:ascii="Arial" w:hAnsi="Arial" w:cs="Arial"/>
          <w:sz w:val="18"/>
          <w:szCs w:val="18"/>
        </w:rPr>
      </w:pPr>
      <w:r w:rsidRPr="0053079A">
        <w:rPr>
          <w:rFonts w:ascii="Arial" w:hAnsi="Arial" w:cs="Arial"/>
          <w:sz w:val="18"/>
          <w:szCs w:val="18"/>
        </w:rPr>
        <w:t xml:space="preserve">8. Phantasiefähigkeit, </w:t>
      </w:r>
    </w:p>
    <w:p w14:paraId="28264395" w14:textId="77777777" w:rsidR="00631B0E" w:rsidRPr="0053079A" w:rsidRDefault="002B25C3">
      <w:pPr>
        <w:numPr>
          <w:ilvl w:val="0"/>
          <w:numId w:val="1"/>
        </w:numPr>
        <w:autoSpaceDE w:val="0"/>
        <w:autoSpaceDN w:val="0"/>
        <w:adjustRightInd w:val="0"/>
        <w:ind w:left="720" w:hanging="360"/>
        <w:rPr>
          <w:rFonts w:ascii="Arial" w:hAnsi="Arial" w:cs="Arial"/>
          <w:sz w:val="18"/>
          <w:szCs w:val="18"/>
        </w:rPr>
      </w:pPr>
      <w:r w:rsidRPr="0053079A">
        <w:rPr>
          <w:rFonts w:ascii="Arial" w:hAnsi="Arial" w:cs="Arial"/>
          <w:sz w:val="18"/>
          <w:szCs w:val="18"/>
        </w:rPr>
        <w:t xml:space="preserve">9. Religion, Philosophie und Kunst als stabile Werthaltungen sowie </w:t>
      </w:r>
    </w:p>
    <w:p w14:paraId="5EFB7EAC" w14:textId="77777777" w:rsidR="00631B0E" w:rsidRPr="0053079A" w:rsidRDefault="002B25C3">
      <w:pPr>
        <w:numPr>
          <w:ilvl w:val="0"/>
          <w:numId w:val="1"/>
        </w:numPr>
        <w:autoSpaceDE w:val="0"/>
        <w:autoSpaceDN w:val="0"/>
        <w:adjustRightInd w:val="0"/>
        <w:ind w:left="720" w:hanging="360"/>
        <w:rPr>
          <w:rFonts w:ascii="Arial" w:hAnsi="Arial" w:cs="Arial"/>
          <w:sz w:val="18"/>
          <w:szCs w:val="18"/>
        </w:rPr>
      </w:pPr>
      <w:r w:rsidRPr="0053079A">
        <w:rPr>
          <w:rFonts w:ascii="Arial" w:hAnsi="Arial" w:cs="Arial"/>
          <w:sz w:val="18"/>
          <w:szCs w:val="18"/>
        </w:rPr>
        <w:t xml:space="preserve">10. präventive Gesundheitsorientierung. </w:t>
      </w:r>
    </w:p>
    <w:p w14:paraId="71377AA0" w14:textId="77777777" w:rsidR="00631B0E" w:rsidRDefault="002B25C3">
      <w:pPr>
        <w:autoSpaceDE w:val="0"/>
        <w:autoSpaceDN w:val="0"/>
        <w:adjustRightInd w:val="0"/>
        <w:spacing w:before="120"/>
        <w:jc w:val="both"/>
        <w:rPr>
          <w:rFonts w:ascii="Arial" w:hAnsi="Arial" w:cs="Arial"/>
          <w:sz w:val="22"/>
          <w:szCs w:val="20"/>
        </w:rPr>
      </w:pPr>
      <w:r>
        <w:rPr>
          <w:rFonts w:ascii="Arial" w:hAnsi="Arial" w:cs="Arial"/>
          <w:sz w:val="22"/>
          <w:szCs w:val="20"/>
        </w:rPr>
        <w:t xml:space="preserve">Als Zentrum und Steuerungszentrale für die ‘generalisierten Widerstandsressourcen’ betrachtet Antonovsky den ‘Kohärenzsinn’ (‘Sense </w:t>
      </w:r>
      <w:proofErr w:type="spellStart"/>
      <w:r>
        <w:rPr>
          <w:rFonts w:ascii="Arial" w:hAnsi="Arial" w:cs="Arial"/>
          <w:sz w:val="22"/>
          <w:szCs w:val="20"/>
        </w:rPr>
        <w:t>of</w:t>
      </w:r>
      <w:proofErr w:type="spellEnd"/>
      <w:r>
        <w:rPr>
          <w:rFonts w:ascii="Arial" w:hAnsi="Arial" w:cs="Arial"/>
          <w:sz w:val="22"/>
          <w:szCs w:val="20"/>
        </w:rPr>
        <w:t xml:space="preserve"> </w:t>
      </w:r>
      <w:proofErr w:type="spellStart"/>
      <w:r>
        <w:rPr>
          <w:rFonts w:ascii="Arial" w:hAnsi="Arial" w:cs="Arial"/>
          <w:sz w:val="22"/>
          <w:szCs w:val="20"/>
        </w:rPr>
        <w:t>Coherence</w:t>
      </w:r>
      <w:proofErr w:type="spellEnd"/>
      <w:r>
        <w:rPr>
          <w:rFonts w:ascii="Arial" w:hAnsi="Arial" w:cs="Arial"/>
          <w:sz w:val="22"/>
          <w:szCs w:val="20"/>
        </w:rPr>
        <w:t xml:space="preserve">’). Er definiert ihn als eine stabile generalisierte Orientierung einer Person, gekennzeichnet durch </w:t>
      </w:r>
      <w:r>
        <w:rPr>
          <w:rFonts w:ascii="Arial" w:hAnsi="Arial" w:cs="Arial"/>
          <w:i/>
          <w:iCs/>
          <w:sz w:val="22"/>
          <w:szCs w:val="20"/>
        </w:rPr>
        <w:t xml:space="preserve">„ein durchdringendes, andauerndes und dennoch dynamisches Gefühl des Vertrauens“ </w:t>
      </w:r>
      <w:r>
        <w:rPr>
          <w:rFonts w:ascii="Arial" w:hAnsi="Arial" w:cs="Arial"/>
          <w:sz w:val="22"/>
          <w:szCs w:val="20"/>
        </w:rPr>
        <w:t xml:space="preserve">(Antonovsky 1997, S.36). Diese Orientierung des Vertrauens beinhaltet drei Aspekte: Personen mit einem starken Kohärenzsinn </w:t>
      </w:r>
    </w:p>
    <w:p w14:paraId="78684CC6" w14:textId="77777777" w:rsidR="00631B0E" w:rsidRPr="0053079A" w:rsidRDefault="002B25C3">
      <w:pPr>
        <w:numPr>
          <w:ilvl w:val="0"/>
          <w:numId w:val="2"/>
        </w:numPr>
        <w:autoSpaceDE w:val="0"/>
        <w:autoSpaceDN w:val="0"/>
        <w:adjustRightInd w:val="0"/>
        <w:ind w:left="357" w:hanging="357"/>
        <w:jc w:val="both"/>
        <w:rPr>
          <w:rFonts w:ascii="Arial" w:hAnsi="Arial" w:cs="Arial"/>
          <w:sz w:val="20"/>
          <w:szCs w:val="20"/>
        </w:rPr>
      </w:pPr>
      <w:r w:rsidRPr="0053079A">
        <w:rPr>
          <w:rFonts w:ascii="Arial" w:hAnsi="Arial" w:cs="Arial"/>
          <w:sz w:val="20"/>
          <w:szCs w:val="20"/>
        </w:rPr>
        <w:t xml:space="preserve">• bewerten die Einflüsse und Anforderungen, die sie im Verlauf ihres Lebens aus der inneren und äußeren Umgebung erfahren, als strukturiert, vorhersehbar und erklärbar (Aspekt der ‘Verstehbarkeit’), </w:t>
      </w:r>
    </w:p>
    <w:p w14:paraId="5456437C" w14:textId="77777777" w:rsidR="00631B0E" w:rsidRPr="0053079A" w:rsidRDefault="002B25C3">
      <w:pPr>
        <w:numPr>
          <w:ilvl w:val="0"/>
          <w:numId w:val="2"/>
        </w:numPr>
        <w:autoSpaceDE w:val="0"/>
        <w:autoSpaceDN w:val="0"/>
        <w:adjustRightInd w:val="0"/>
        <w:ind w:left="357" w:hanging="357"/>
        <w:jc w:val="both"/>
        <w:rPr>
          <w:rFonts w:ascii="Arial" w:hAnsi="Arial" w:cs="Arial"/>
          <w:sz w:val="20"/>
          <w:szCs w:val="20"/>
        </w:rPr>
      </w:pPr>
      <w:r w:rsidRPr="0053079A">
        <w:rPr>
          <w:rFonts w:ascii="Arial" w:hAnsi="Arial" w:cs="Arial"/>
          <w:sz w:val="20"/>
          <w:szCs w:val="20"/>
        </w:rPr>
        <w:t xml:space="preserve">• wissen um innere und äußere Ressourcen, mit denen sie Anforderungen, die sie in ihrem Leben erfahren, angemessen begegnen können (Aspekt der angemessenen Handlungsfähigkeit), </w:t>
      </w:r>
    </w:p>
    <w:p w14:paraId="0C67DA1F" w14:textId="77777777" w:rsidR="002B25C3" w:rsidRPr="0053079A" w:rsidRDefault="002B25C3">
      <w:pPr>
        <w:numPr>
          <w:ilvl w:val="0"/>
          <w:numId w:val="2"/>
        </w:numPr>
        <w:autoSpaceDE w:val="0"/>
        <w:autoSpaceDN w:val="0"/>
        <w:adjustRightInd w:val="0"/>
        <w:ind w:left="357" w:hanging="357"/>
        <w:jc w:val="both"/>
        <w:rPr>
          <w:rFonts w:ascii="Arial" w:hAnsi="Arial" w:cs="Arial"/>
          <w:sz w:val="20"/>
          <w:szCs w:val="20"/>
        </w:rPr>
      </w:pPr>
      <w:r w:rsidRPr="0053079A">
        <w:rPr>
          <w:rFonts w:ascii="Arial" w:hAnsi="Arial" w:cs="Arial"/>
          <w:sz w:val="20"/>
          <w:szCs w:val="20"/>
        </w:rPr>
        <w:t xml:space="preserve">• erleben ihr Leben mit seinen Anforderungen gefühlsmäßig als sinnvoll und können Anforderungen als Herausforderungen betrachten, die Anstrengung und Engagement lohnen (Aspekt der ‘Sinnhaftigkeit’). </w:t>
      </w:r>
    </w:p>
    <w:sectPr w:rsidR="002B25C3" w:rsidRPr="0053079A" w:rsidSect="005B2979">
      <w:headerReference w:type="default" r:id="rId11"/>
      <w:footerReference w:type="even" r:id="rId12"/>
      <w:footerReference w:type="default" r:id="rId13"/>
      <w:pgSz w:w="12240" w:h="15840"/>
      <w:pgMar w:top="2268" w:right="1134" w:bottom="1134"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48608" w14:textId="77777777" w:rsidR="008533D7" w:rsidRDefault="008533D7">
      <w:r>
        <w:separator/>
      </w:r>
    </w:p>
  </w:endnote>
  <w:endnote w:type="continuationSeparator" w:id="0">
    <w:p w14:paraId="570F15BD" w14:textId="77777777" w:rsidR="008533D7" w:rsidRDefault="00853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CF251" w14:textId="77777777" w:rsidR="00631B0E" w:rsidRDefault="00631B0E">
    <w:pPr>
      <w:pStyle w:val="Fuzeile"/>
      <w:framePr w:wrap="around" w:vAnchor="text" w:hAnchor="margin" w:xAlign="right" w:y="1"/>
      <w:rPr>
        <w:rStyle w:val="Seitenzahl"/>
      </w:rPr>
    </w:pPr>
    <w:r>
      <w:rPr>
        <w:rStyle w:val="Seitenzahl"/>
      </w:rPr>
      <w:fldChar w:fldCharType="begin"/>
    </w:r>
    <w:r w:rsidR="002B25C3">
      <w:rPr>
        <w:rStyle w:val="Seitenzahl"/>
      </w:rPr>
      <w:instrText xml:space="preserve">PAGE  </w:instrText>
    </w:r>
    <w:r>
      <w:rPr>
        <w:rStyle w:val="Seitenzahl"/>
      </w:rPr>
      <w:fldChar w:fldCharType="end"/>
    </w:r>
  </w:p>
  <w:p w14:paraId="3958F6DA" w14:textId="77777777" w:rsidR="00631B0E" w:rsidRDefault="00631B0E">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15E85" w14:textId="77777777" w:rsidR="00631B0E" w:rsidRDefault="00631B0E">
    <w:pPr>
      <w:pStyle w:val="Fuzeile"/>
      <w:framePr w:wrap="around" w:vAnchor="text" w:hAnchor="margin" w:xAlign="right" w:y="1"/>
      <w:rPr>
        <w:rStyle w:val="Seitenzahl"/>
      </w:rPr>
    </w:pPr>
    <w:r>
      <w:rPr>
        <w:rStyle w:val="Seitenzahl"/>
      </w:rPr>
      <w:fldChar w:fldCharType="begin"/>
    </w:r>
    <w:r w:rsidR="002B25C3">
      <w:rPr>
        <w:rStyle w:val="Seitenzahl"/>
      </w:rPr>
      <w:instrText xml:space="preserve">PAGE  </w:instrText>
    </w:r>
    <w:r>
      <w:rPr>
        <w:rStyle w:val="Seitenzahl"/>
      </w:rPr>
      <w:fldChar w:fldCharType="separate"/>
    </w:r>
    <w:r w:rsidR="00971237">
      <w:rPr>
        <w:rStyle w:val="Seitenzahl"/>
        <w:noProof/>
      </w:rPr>
      <w:t>1</w:t>
    </w:r>
    <w:r>
      <w:rPr>
        <w:rStyle w:val="Seitenzahl"/>
      </w:rPr>
      <w:fldChar w:fldCharType="end"/>
    </w:r>
  </w:p>
  <w:p w14:paraId="64A40A1A" w14:textId="77777777" w:rsidR="00631B0E" w:rsidRDefault="00631B0E">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D59F1" w14:textId="77777777" w:rsidR="008533D7" w:rsidRDefault="008533D7">
      <w:r>
        <w:separator/>
      </w:r>
    </w:p>
  </w:footnote>
  <w:footnote w:type="continuationSeparator" w:id="0">
    <w:p w14:paraId="53223511" w14:textId="77777777" w:rsidR="008533D7" w:rsidRDefault="00853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FB511" w14:textId="788CB680" w:rsidR="00631B0E" w:rsidRDefault="00755697" w:rsidP="00E20361">
    <w:pPr>
      <w:pStyle w:val="Kopfzeile"/>
      <w:rPr>
        <w:sz w:val="8"/>
        <w:szCs w:val="8"/>
      </w:rPr>
    </w:pPr>
    <w:r>
      <w:rPr>
        <w:noProof/>
      </w:rPr>
      <mc:AlternateContent>
        <mc:Choice Requires="wps">
          <w:drawing>
            <wp:anchor distT="0" distB="0" distL="114300" distR="114300" simplePos="0" relativeHeight="251656192" behindDoc="0" locked="0" layoutInCell="1" allowOverlap="1" wp14:anchorId="12848EA8" wp14:editId="49423C11">
              <wp:simplePos x="0" y="0"/>
              <wp:positionH relativeFrom="column">
                <wp:posOffset>1125232</wp:posOffset>
              </wp:positionH>
              <wp:positionV relativeFrom="paragraph">
                <wp:posOffset>-25558</wp:posOffset>
              </wp:positionV>
              <wp:extent cx="3836670" cy="800100"/>
              <wp:effectExtent l="0" t="0" r="11430" b="12700"/>
              <wp:wrapNone/>
              <wp:docPr id="1430340946"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836670" cy="800100"/>
                      </a:xfrm>
                      <a:prstGeom prst="roundRect">
                        <a:avLst>
                          <a:gd name="adj" fmla="val 16667"/>
                        </a:avLst>
                      </a:prstGeom>
                      <a:solidFill>
                        <a:srgbClr val="969696"/>
                      </a:solidFill>
                      <a:ln w="9525">
                        <a:solidFill>
                          <a:srgbClr val="808080"/>
                        </a:solidFill>
                        <a:round/>
                        <a:headEnd/>
                        <a:tailEnd/>
                      </a:ln>
                    </wps:spPr>
                    <wps:txbx>
                      <w:txbxContent>
                        <w:p w14:paraId="70344C23" w14:textId="4BDE9F6D" w:rsidR="0053079A" w:rsidRDefault="0053079A" w:rsidP="00ED1E4F">
                          <w:pPr>
                            <w:rPr>
                              <w:rFonts w:ascii="Calibri" w:hAnsi="Calibri"/>
                              <w:bCs/>
                              <w:color w:val="FFFFFF"/>
                              <w:szCs w:val="22"/>
                            </w:rPr>
                          </w:pPr>
                        </w:p>
                        <w:p w14:paraId="0BB81165" w14:textId="77777777" w:rsidR="0053079A" w:rsidRDefault="0053079A" w:rsidP="00ED1E4F">
                          <w:pPr>
                            <w:jc w:val="center"/>
                            <w:rPr>
                              <w:sz w:val="28"/>
                              <w:szCs w:val="28"/>
                            </w:rPr>
                          </w:pPr>
                          <w:r>
                            <w:rPr>
                              <w:rFonts w:ascii="Calibri" w:hAnsi="Calibri"/>
                              <w:b/>
                              <w:bCs/>
                              <w:color w:val="FFFFFF"/>
                              <w:sz w:val="28"/>
                              <w:szCs w:val="28"/>
                            </w:rPr>
                            <w:t>Gesundheitsbegriff</w:t>
                          </w:r>
                        </w:p>
                      </w:txbxContent>
                    </wps:txbx>
                    <wps:bodyPr rot="0" vert="horz" wrap="square" lIns="91440" tIns="45720" rIns="91440" bIns="45720" anchor="t" anchorCtr="0" upright="1">
                      <a:noAutofit/>
                    </wps:bodyPr>
                  </wps:wsp>
                </a:graphicData>
              </a:graphic>
            </wp:anchor>
          </w:drawing>
        </mc:Choice>
        <mc:Fallback>
          <w:pict>
            <v:roundrect w14:anchorId="12848EA8" id="AutoShape 2" o:spid="_x0000_s1026" style="position:absolute;margin-left:88.6pt;margin-top:-2pt;width:302.1pt;height:63pt;z-index:25165619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" fillcolor="#969696" strokecolor="gray">
              <v:path arrowok="t"/>
              <o:lock v:ext="edit" aspectratio="t"/>
              <v:textbox>
                <w:txbxContent>
                  <w:p w14:paraId="70344C23" w14:textId="4BDE9F6D" w:rsidR="0053079A" w:rsidRDefault="0053079A" w:rsidP="00ED1E4F">
                    <w:pPr>
                      <w:rPr>
                        <w:rFonts w:ascii="Calibri" w:hAnsi="Calibri"/>
                        <w:bCs/>
                        <w:color w:val="FFFFFF"/>
                        <w:szCs w:val="22"/>
                      </w:rPr>
                    </w:pPr>
                  </w:p>
                  <w:p w14:paraId="0BB81165" w14:textId="77777777" w:rsidR="0053079A" w:rsidRDefault="0053079A" w:rsidP="00ED1E4F">
                    <w:pPr>
                      <w:jc w:val="center"/>
                      <w:rPr>
                        <w:sz w:val="28"/>
                        <w:szCs w:val="28"/>
                      </w:rPr>
                    </w:pPr>
                    <w:r>
                      <w:rPr>
                        <w:rFonts w:ascii="Calibri" w:hAnsi="Calibri"/>
                        <w:b/>
                        <w:bCs/>
                        <w:color w:val="FFFFFF"/>
                        <w:sz w:val="28"/>
                        <w:szCs w:val="28"/>
                      </w:rPr>
                      <w:t>Gesundheitsbegriff</w:t>
                    </w:r>
                  </w:p>
                </w:txbxContent>
              </v:textbox>
            </v:roundrect>
          </w:pict>
        </mc:Fallback>
      </mc:AlternateContent>
    </w:r>
    <w:r>
      <w:rPr>
        <w:noProof/>
      </w:rPr>
      <mc:AlternateContent>
        <mc:Choice Requires="wps">
          <w:drawing>
            <wp:anchor distT="0" distB="0" distL="114300" distR="114300" simplePos="0" relativeHeight="251657216" behindDoc="0" locked="0" layoutInCell="1" allowOverlap="1" wp14:anchorId="29AD974E" wp14:editId="0E0E1E26">
              <wp:simplePos x="0" y="0"/>
              <wp:positionH relativeFrom="column">
                <wp:posOffset>5011432</wp:posOffset>
              </wp:positionH>
              <wp:positionV relativeFrom="paragraph">
                <wp:posOffset>-25558</wp:posOffset>
              </wp:positionV>
              <wp:extent cx="1133475" cy="800100"/>
              <wp:effectExtent l="0" t="0" r="9525" b="12700"/>
              <wp:wrapNone/>
              <wp:docPr id="1201156956"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133475" cy="800100"/>
                      </a:xfrm>
                      <a:prstGeom prst="roundRect">
                        <a:avLst>
                          <a:gd name="adj" fmla="val 16667"/>
                        </a:avLst>
                      </a:prstGeom>
                      <a:solidFill>
                        <a:srgbClr val="969696"/>
                      </a:solidFill>
                      <a:ln w="9525">
                        <a:solidFill>
                          <a:srgbClr val="808080"/>
                        </a:solidFill>
                        <a:round/>
                        <a:headEnd/>
                        <a:tailEnd/>
                      </a:ln>
                    </wps:spPr>
                    <wps:txbx>
                      <w:txbxContent>
                        <w:p w14:paraId="5D59B68B" w14:textId="77777777" w:rsidR="0053079A" w:rsidRDefault="0053079A" w:rsidP="0053079A">
                          <w:pPr>
                            <w:spacing w:line="240" w:lineRule="auto"/>
                            <w:rPr>
                              <w:rFonts w:ascii="Calibri" w:hAnsi="Calibri"/>
                              <w:color w:val="FFFFFF"/>
                              <w:sz w:val="21"/>
                              <w:szCs w:val="21"/>
                            </w:rPr>
                          </w:pPr>
                          <w:r>
                            <w:rPr>
                              <w:rFonts w:ascii="Calibri" w:hAnsi="Calibri"/>
                              <w:color w:val="FFFFFF"/>
                              <w:sz w:val="21"/>
                              <w:szCs w:val="21"/>
                            </w:rPr>
                            <w:t>Fachgruppe Gesundheit</w:t>
                          </w:r>
                        </w:p>
                        <w:p w14:paraId="55BCC777" w14:textId="77777777" w:rsidR="0053079A" w:rsidRDefault="0053079A" w:rsidP="0053079A">
                          <w:pPr>
                            <w:rPr>
                              <w:rFonts w:ascii="Calibri" w:hAnsi="Calibri"/>
                              <w:b/>
                              <w:bCs/>
                              <w:color w:val="FFFFFF"/>
                              <w:sz w:val="32"/>
                              <w:szCs w:val="32"/>
                            </w:rPr>
                          </w:pPr>
                          <w:r>
                            <w:rPr>
                              <w:rFonts w:ascii="Calibri" w:hAnsi="Calibri"/>
                              <w:b/>
                              <w:bCs/>
                              <w:color w:val="FFFFFF"/>
                              <w:sz w:val="32"/>
                              <w:szCs w:val="32"/>
                            </w:rPr>
                            <w:t>Info</w:t>
                          </w:r>
                        </w:p>
                      </w:txbxContent>
                    </wps:txbx>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9AD974E" id="AutoShape 3" o:spid="_x0000_s1027" style="position:absolute;margin-left:394.6pt;margin-top:-2pt;width:89.25pt;height:63pt;z-index:25165721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" fillcolor="#969696" strokecolor="gray">
              <v:path arrowok="t"/>
              <v:textbox>
                <w:txbxContent>
                  <w:p w14:paraId="5D59B68B" w14:textId="77777777" w:rsidR="0053079A" w:rsidRDefault="0053079A" w:rsidP="0053079A">
                    <w:pPr>
                      <w:spacing w:line="240" w:lineRule="auto"/>
                      <w:rPr>
                        <w:rFonts w:ascii="Calibri" w:hAnsi="Calibri"/>
                        <w:color w:val="FFFFFF"/>
                        <w:sz w:val="21"/>
                        <w:szCs w:val="21"/>
                      </w:rPr>
                    </w:pPr>
                    <w:r>
                      <w:rPr>
                        <w:rFonts w:ascii="Calibri" w:hAnsi="Calibri"/>
                        <w:color w:val="FFFFFF"/>
                        <w:sz w:val="21"/>
                        <w:szCs w:val="21"/>
                      </w:rPr>
                      <w:t>Fachgruppe Gesundheit</w:t>
                    </w:r>
                  </w:p>
                  <w:p w14:paraId="55BCC777" w14:textId="77777777" w:rsidR="0053079A" w:rsidRDefault="0053079A" w:rsidP="0053079A">
                    <w:pPr>
                      <w:rPr>
                        <w:rFonts w:ascii="Calibri" w:hAnsi="Calibri"/>
                        <w:b/>
                        <w:bCs/>
                        <w:color w:val="FFFFFF"/>
                        <w:sz w:val="32"/>
                        <w:szCs w:val="32"/>
                      </w:rPr>
                    </w:pPr>
                    <w:r>
                      <w:rPr>
                        <w:rFonts w:ascii="Calibri" w:hAnsi="Calibri"/>
                        <w:b/>
                        <w:bCs/>
                        <w:color w:val="FFFFFF"/>
                        <w:sz w:val="32"/>
                        <w:szCs w:val="32"/>
                      </w:rPr>
                      <w:t>Info</w:t>
                    </w:r>
                  </w:p>
                </w:txbxContent>
              </v:textbox>
            </v:roundrect>
          </w:pict>
        </mc:Fallback>
      </mc:AlternateContent>
    </w:r>
    <w:r w:rsidR="00676841">
      <w:rPr>
        <w:noProof/>
      </w:rPr>
      <w:drawing>
        <wp:inline distT="0" distB="0" distL="0" distR="0" wp14:anchorId="537344F9" wp14:editId="4136AB7E">
          <wp:extent cx="800810" cy="811804"/>
          <wp:effectExtent l="0" t="0" r="0" b="127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09082" cy="8201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15A47"/>
    <w:multiLevelType w:val="hybridMultilevel"/>
    <w:tmpl w:val="CCD6678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A97267E"/>
    <w:multiLevelType w:val="hybridMultilevel"/>
    <w:tmpl w:val="B10ACB5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87"/>
    <w:rsid w:val="000360E6"/>
    <w:rsid w:val="00117BF6"/>
    <w:rsid w:val="002B25C3"/>
    <w:rsid w:val="00300687"/>
    <w:rsid w:val="004263EA"/>
    <w:rsid w:val="004A2C58"/>
    <w:rsid w:val="005023E4"/>
    <w:rsid w:val="0053079A"/>
    <w:rsid w:val="005B2979"/>
    <w:rsid w:val="00631B0E"/>
    <w:rsid w:val="00676841"/>
    <w:rsid w:val="006A24BF"/>
    <w:rsid w:val="00755697"/>
    <w:rsid w:val="008533D7"/>
    <w:rsid w:val="008C0CE3"/>
    <w:rsid w:val="008F62AD"/>
    <w:rsid w:val="00971237"/>
    <w:rsid w:val="009F34B7"/>
    <w:rsid w:val="00AF05D9"/>
    <w:rsid w:val="00C60D41"/>
    <w:rsid w:val="00CC6794"/>
    <w:rsid w:val="00CF774A"/>
    <w:rsid w:val="00DA07E6"/>
    <w:rsid w:val="00E20361"/>
    <w:rsid w:val="00ED1E4F"/>
    <w:rsid w:val="00F05050"/>
    <w:rsid w:val="00F6127A"/>
    <w:rsid w:val="00FC75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70BED"/>
  <w15:docId w15:val="{F846F53D-0DF6-A545-B262-7862E7E1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31B0E"/>
    <w:pPr>
      <w:spacing w:line="360" w:lineRule="auto"/>
    </w:pPr>
    <w:rPr>
      <w:sz w:val="24"/>
      <w:szCs w:val="24"/>
    </w:rPr>
  </w:style>
  <w:style w:type="paragraph" w:styleId="berschrift2">
    <w:name w:val="heading 2"/>
    <w:basedOn w:val="Default"/>
    <w:next w:val="Default"/>
    <w:qFormat/>
    <w:rsid w:val="00631B0E"/>
    <w:pPr>
      <w:spacing w:after="60"/>
      <w:outlineLvl w:val="1"/>
    </w:pPr>
    <w:rPr>
      <w:rFonts w:cs="Times New Roman"/>
      <w:color w:val="auto"/>
    </w:rPr>
  </w:style>
  <w:style w:type="paragraph" w:styleId="berschrift3">
    <w:name w:val="heading 3"/>
    <w:basedOn w:val="Default"/>
    <w:next w:val="Default"/>
    <w:qFormat/>
    <w:rsid w:val="00631B0E"/>
    <w:pPr>
      <w:spacing w:before="240" w:after="60"/>
      <w:outlineLvl w:val="2"/>
    </w:pPr>
    <w:rPr>
      <w:rFonts w:cs="Times New Roman"/>
      <w:color w:val="auto"/>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rsid w:val="00631B0E"/>
    <w:pPr>
      <w:autoSpaceDE w:val="0"/>
      <w:autoSpaceDN w:val="0"/>
      <w:adjustRightInd w:val="0"/>
    </w:pPr>
    <w:rPr>
      <w:rFonts w:ascii="Arial" w:hAnsi="Arial" w:cs="Arial"/>
      <w:color w:val="000000"/>
      <w:sz w:val="24"/>
      <w:szCs w:val="24"/>
    </w:rPr>
  </w:style>
  <w:style w:type="paragraph" w:styleId="Textkrper">
    <w:name w:val="Body Text"/>
    <w:basedOn w:val="Default"/>
    <w:next w:val="Default"/>
    <w:semiHidden/>
    <w:rsid w:val="00631B0E"/>
    <w:pPr>
      <w:spacing w:before="120"/>
    </w:pPr>
    <w:rPr>
      <w:rFonts w:cs="Times New Roman"/>
      <w:color w:val="auto"/>
    </w:rPr>
  </w:style>
  <w:style w:type="paragraph" w:styleId="Aufzhlungszeichen">
    <w:name w:val="List Bullet"/>
    <w:basedOn w:val="Default"/>
    <w:next w:val="Default"/>
    <w:semiHidden/>
    <w:rsid w:val="00631B0E"/>
    <w:rPr>
      <w:rFonts w:cs="Times New Roman"/>
      <w:color w:val="auto"/>
    </w:rPr>
  </w:style>
  <w:style w:type="paragraph" w:styleId="Kopfzeile">
    <w:name w:val="header"/>
    <w:basedOn w:val="Standard"/>
    <w:semiHidden/>
    <w:rsid w:val="00631B0E"/>
    <w:pPr>
      <w:tabs>
        <w:tab w:val="center" w:pos="4536"/>
        <w:tab w:val="right" w:pos="9072"/>
      </w:tabs>
    </w:pPr>
  </w:style>
  <w:style w:type="paragraph" w:styleId="Fuzeile">
    <w:name w:val="footer"/>
    <w:basedOn w:val="Standard"/>
    <w:semiHidden/>
    <w:rsid w:val="00631B0E"/>
    <w:pPr>
      <w:tabs>
        <w:tab w:val="center" w:pos="4536"/>
        <w:tab w:val="right" w:pos="9072"/>
      </w:tabs>
    </w:pPr>
  </w:style>
  <w:style w:type="paragraph" w:styleId="Titel">
    <w:name w:val="Title"/>
    <w:basedOn w:val="Standard"/>
    <w:qFormat/>
    <w:rsid w:val="00631B0E"/>
    <w:pPr>
      <w:autoSpaceDE w:val="0"/>
      <w:autoSpaceDN w:val="0"/>
      <w:adjustRightInd w:val="0"/>
      <w:spacing w:after="60"/>
      <w:jc w:val="center"/>
      <w:outlineLvl w:val="1"/>
    </w:pPr>
    <w:rPr>
      <w:rFonts w:ascii="Arial" w:hAnsi="Arial" w:cs="Arial"/>
      <w:b/>
      <w:bCs/>
      <w:color w:val="000000"/>
      <w:sz w:val="22"/>
      <w:szCs w:val="20"/>
    </w:rPr>
  </w:style>
  <w:style w:type="character" w:styleId="Seitenzahl">
    <w:name w:val="page number"/>
    <w:basedOn w:val="Absatz-Standardschriftart"/>
    <w:semiHidden/>
    <w:rsid w:val="00631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Beruf xmlns="199bd10a-15b8-4ab8-b3c6-baf9c269802e">Erzieher</Beru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AD19B19B815B84AB3C6BAF9C269802E" ma:contentTypeVersion="1" ma:contentTypeDescription="Ein neues Dokument erstellen." ma:contentTypeScope="" ma:versionID="f9478e58c4c618a98d7024d17eff3cb4">
  <xsd:schema xmlns:xsd="http://www.w3.org/2001/XMLSchema" xmlns:p="http://schemas.microsoft.com/office/2006/metadata/properties" xmlns:ns2="199bd10a-15b8-4ab8-b3c6-baf9c269802e" targetNamespace="http://schemas.microsoft.com/office/2006/metadata/properties" ma:root="true" ma:fieldsID="a0dfaf21e7389166ebb1ac4d94f01da7" ns2:_="">
    <xsd:import namespace="199bd10a-15b8-4ab8-b3c6-baf9c269802e"/>
    <xsd:element name="properties">
      <xsd:complexType>
        <xsd:sequence>
          <xsd:element name="documentManagement">
            <xsd:complexType>
              <xsd:all>
                <xsd:element ref="ns2:Beruf" minOccurs="0"/>
              </xsd:all>
            </xsd:complexType>
          </xsd:element>
        </xsd:sequence>
      </xsd:complexType>
    </xsd:element>
  </xsd:schema>
  <xsd:schema xmlns:xsd="http://www.w3.org/2001/XMLSchema" xmlns:dms="http://schemas.microsoft.com/office/2006/documentManagement/types" targetNamespace="199bd10a-15b8-4ab8-b3c6-baf9c269802e" elementFormDefault="qualified">
    <xsd:import namespace="http://schemas.microsoft.com/office/2006/documentManagement/types"/>
    <xsd:element name="Beruf" ma:index="8" nillable="true" ma:displayName="Beruf" ma:default="Erzieher" ma:format="Dropdown" ma:internalName="Beruf">
      <xsd:simpleType>
        <xsd:restriction base="dms:Choice">
          <xsd:enumeration value="Erzieher"/>
          <xsd:enumeration value="SPA"/>
          <xsd:enumeration value="BF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ma:readOnly="tru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22926F-78B9-43DE-9F24-7C116EDCE3C0}">
  <ds:schemaRefs>
    <ds:schemaRef ds:uri="http://schemas.microsoft.com/office/2006/metadata/properties"/>
    <ds:schemaRef ds:uri="http://www.w3.org/2000/xmlns/"/>
    <ds:schemaRef ds:uri="199bd10a-15b8-4ab8-b3c6-baf9c269802e"/>
  </ds:schemaRefs>
</ds:datastoreItem>
</file>

<file path=customXml/itemProps2.xml><?xml version="1.0" encoding="utf-8"?>
<ds:datastoreItem xmlns:ds="http://schemas.openxmlformats.org/officeDocument/2006/customXml" ds:itemID="{B559EE29-8631-4DF3-83BC-9AABD0DA4E3B}">
  <ds:schemaRefs>
    <ds:schemaRef ds:uri="http://schemas.microsoft.com/office/2006/metadata/contentType"/>
    <ds:schemaRef ds:uri="http://schemas.microsoft.com/office/2006/metadata/properties/metaAttributes"/>
    <ds:schemaRef ds:uri="http://www.w3.org/2000/xmlns/"/>
    <ds:schemaRef ds:uri="http://www.w3.org/2001/XMLSchema"/>
    <ds:schemaRef ds:uri="199bd10a-15b8-4ab8-b3c6-baf9c269802e"/>
    <ds:schemaRef ds:uri="http://schemas.microsoft.com/office/2006/metadata/properties"/>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1BBAD18B-1C3D-409E-9FB5-DA3C962B39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591</Words>
  <Characters>4493</Characters>
  <Application>Microsoft Office Word</Application>
  <DocSecurity>0</DocSecurity>
  <Lines>37</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„Salutogenese“ - ein gesundheitswissenschaftliches Modell</vt:lpstr>
      <vt:lpstr>„Salutogenese“ - ein gesundheitswissenschaftliches Modell </vt:lpstr>
    </vt:vector>
  </TitlesOfParts>
  <Company>Frost-RL</Company>
  <LinksUpToDate>false</LinksUpToDate>
  <CharactersWithSpaces>5074</CharactersWithSpaces>
  <SharedDoc>false</SharedDoc>
  <HLinks>
    <vt:vector size="6" baseType="variant">
      <vt:variant>
        <vt:i4>6881395</vt:i4>
      </vt:variant>
      <vt:variant>
        <vt:i4>-1</vt:i4>
      </vt:variant>
      <vt:variant>
        <vt:i4>1027</vt:i4>
      </vt:variant>
      <vt:variant>
        <vt:i4>1</vt:i4>
      </vt:variant>
      <vt:variant>
        <vt:lpwstr>..\Gesundheitsbegriff Teil 2\gesundheit.jpg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„Salutogenese“ - ein gesundheitswissenschaftliches Modell</dc:title>
  <dc:creator>Lars</dc:creator>
  <cp:lastModifiedBy>Administrator</cp:lastModifiedBy>
  <cp:revision>2</cp:revision>
  <cp:lastPrinted>2024-02-16T09:22:00Z</cp:lastPrinted>
  <dcterms:created xsi:type="dcterms:W3CDTF">2026-09-07T10:10:00Z</dcterms:created>
  <dcterms:modified xsi:type="dcterms:W3CDTF">2026-09-07T10:10:00Z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0x0101000AD19B19B815B84AB3C6BAF9C269802E</vt:lpwstr>
  </property>
</Properties>
</file>