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b/>
          <w:sz w:val="24"/>
          <w:szCs w:val="24"/>
        </w:rPr>
        <w:t>RENCANA PEMBELAJARAN SEMESTER</w:t>
      </w:r>
    </w:p>
    <w:tbl>
      <w:tblPr>
        <w:tblStyle w:val="25"/>
        <w:tblW w:w="1471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59"/>
        <w:gridCol w:w="3109"/>
        <w:gridCol w:w="718"/>
        <w:gridCol w:w="291"/>
        <w:gridCol w:w="2553"/>
        <w:gridCol w:w="576"/>
        <w:gridCol w:w="984"/>
        <w:gridCol w:w="1840"/>
        <w:gridCol w:w="236"/>
        <w:gridCol w:w="1042"/>
        <w:gridCol w:w="1418"/>
        <w:gridCol w:w="99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786" w:type="dxa"/>
            <w:gridSpan w:val="3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Mata Kuliah     : Formulasi dan Teknologi Farmasi Sediaan Steril</w:t>
            </w:r>
          </w:p>
        </w:tc>
        <w:tc>
          <w:tcPr>
            <w:tcW w:w="3420" w:type="dxa"/>
            <w:gridSpan w:val="3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 xml:space="preserve">Semester: 6  </w:t>
            </w:r>
          </w:p>
        </w:tc>
        <w:tc>
          <w:tcPr>
            <w:tcW w:w="3060" w:type="dxa"/>
            <w:gridSpan w:val="3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sks: 2</w:t>
            </w:r>
          </w:p>
        </w:tc>
        <w:tc>
          <w:tcPr>
            <w:tcW w:w="3452" w:type="dxa"/>
            <w:gridSpan w:val="3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 xml:space="preserve">Kode: 20631T44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786" w:type="dxa"/>
            <w:gridSpan w:val="3"/>
            <w:vAlign w:val="center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Program Studi : S-I Farmasi</w:t>
            </w:r>
          </w:p>
        </w:tc>
        <w:tc>
          <w:tcPr>
            <w:tcW w:w="9932" w:type="dxa"/>
            <w:gridSpan w:val="9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Dosen Pengampu/Penanggungjawab : 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apt. Nanda Dwi Akbar, M. Pharm., Sci.</w:t>
            </w:r>
          </w:p>
          <w:p>
            <w:pPr>
              <w:pStyle w:val="24"/>
              <w:spacing w:after="0" w:line="240" w:lineRule="auto"/>
              <w:ind w:left="358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4718" w:type="dxa"/>
            <w:gridSpan w:val="12"/>
            <w:vAlign w:val="center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Mata Kuliah Syarat : 1. Formulasi Teknologi Sediaan Solid</w:t>
            </w:r>
          </w:p>
          <w:p>
            <w:pPr>
              <w:spacing w:after="0" w:line="240" w:lineRule="auto"/>
              <w:ind w:left="360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 xml:space="preserve">                           2. Formulasi Teknologi Sediaan Cair-Semi Padat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restart"/>
          </w:tcPr>
          <w:p>
            <w:pPr>
              <w:widowControl w:val="0"/>
              <w:spacing w:after="0" w:line="240" w:lineRule="auto"/>
              <w:ind w:right="-22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Capaian Pembelajaran</w:t>
            </w:r>
          </w:p>
        </w:tc>
        <w:tc>
          <w:tcPr>
            <w:tcW w:w="10650" w:type="dxa"/>
            <w:gridSpan w:val="10"/>
          </w:tcPr>
          <w:p>
            <w:pPr>
              <w:widowControl w:val="0"/>
              <w:spacing w:after="0" w:line="240" w:lineRule="auto"/>
              <w:ind w:right="-22"/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Capaian Pembelajaran Lulusan (CPL)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Kode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40" w:lineRule="auto"/>
              <w:ind w:right="-22"/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>Rumusan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S 2</w:t>
            </w:r>
          </w:p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 Narrow" w:hAnsi="Arial Narrow" w:eastAsia="Arial Narrow" w:cs="Arial Narrow"/>
              </w:rPr>
              <w:t>Menjunjung tinggi nilai kemanusiaan dalam menjalankan tugas berdasarkan agama, moral dan etika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S 3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Berkontribusi dalam peningkatan mutu kehidupan bermasyarakat, berbangsa, bernegara, dan kemajuan peradaban berdasarkan Pancasila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S 7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Menunjukkan sikap bertanggungjawab atas pekerjaan di bidang keahliannya secara mandiri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S 10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Kreatif dan inovatif dalam penemuan produk farmasi obat maupun obat tradisional.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P 9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Menguasai konsep teoritis mengenai formulasi sediaan baik steril maupun non steril sesuai dengan CPOB, CPKB, ataupun CPOTB.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P 10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Menguasai konsep teoritis mengenai prinsip penjaminan mutu sediaan, desain kemasan dan cara penyimpanan yang menjamin mutu produk.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KU 1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Mampu menerapkan pemikiran logis, kritis, sistematis, dan inovatif dalam konteks pengembangan atau implementasi ilmu pengetahuan dan teknologi yang memperhatikan dan menerapkan nilai humaniora yang sesuai dengan bidang ilmu kefarmasian</w:t>
            </w:r>
          </w:p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KU 2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Mampu menunjukkan kinerja bermutu dan terukur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KU 4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Mampu mengambil keputusan secara tepat dalam konteks penyelesaian masalah di bidang kefarmasian, berdasarkan hasil analisis informasi dan data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sz w:val="20"/>
                <w:szCs w:val="20"/>
              </w:rPr>
              <w:t>KK 5</w:t>
            </w:r>
          </w:p>
        </w:tc>
        <w:tc>
          <w:tcPr>
            <w:tcW w:w="9932" w:type="dxa"/>
            <w:gridSpan w:val="9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Mampu melakukan perancangan formula dan pembuatan sediaan farmasi sesuai CPOB, CPOTB dan CPKB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0650" w:type="dxa"/>
            <w:gridSpan w:val="10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  <w:color w:val="000000"/>
                <w:sz w:val="24"/>
                <w:szCs w:val="24"/>
              </w:rPr>
              <w:t>Capaian Pembelajaran Mata Kuliah (CPMK)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 xml:space="preserve">Kode </w:t>
            </w:r>
          </w:p>
        </w:tc>
        <w:tc>
          <w:tcPr>
            <w:tcW w:w="9641" w:type="dxa"/>
            <w:gridSpan w:val="8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b/>
              </w:rPr>
            </w:pPr>
            <w:r>
              <w:rPr>
                <w:rFonts w:ascii="Arial Narrow" w:hAnsi="Arial Narrow" w:eastAsia="Arial Narrow" w:cs="Arial Narrow"/>
                <w:b/>
              </w:rPr>
              <w:t xml:space="preserve">Rumusan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CPMK 1</w:t>
            </w:r>
          </w:p>
        </w:tc>
        <w:tc>
          <w:tcPr>
            <w:tcW w:w="9641" w:type="dxa"/>
            <w:gridSpan w:val="8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Mampu merancang formula sediaan farmasi steril secara kreatif dan inovatif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i/>
              </w:rPr>
            </w:pPr>
          </w:p>
        </w:tc>
        <w:tc>
          <w:tcPr>
            <w:tcW w:w="1009" w:type="dxa"/>
            <w:gridSpan w:val="2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CPMK 2</w:t>
            </w:r>
          </w:p>
        </w:tc>
        <w:tc>
          <w:tcPr>
            <w:tcW w:w="9641" w:type="dxa"/>
            <w:gridSpan w:val="8"/>
          </w:tcPr>
          <w:p>
            <w:pPr>
              <w:widowControl w:val="0"/>
              <w:spacing w:after="0" w:line="270" w:lineRule="auto"/>
              <w:ind w:right="-22"/>
              <w:jc w:val="both"/>
            </w:pPr>
            <w:r>
              <w:rPr>
                <w:rFonts w:ascii="Arial Narrow" w:hAnsi="Arial Narrow" w:eastAsia="Arial Narrow" w:cs="Arial Narrow"/>
              </w:rPr>
              <w:t>Mampu menentukan kemasan dan cara penyimpanan sediaan farmasi steril untuk menjamin stabilitas produk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  <w:vMerge w:val="continue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CPMK 3</w:t>
            </w:r>
          </w:p>
        </w:tc>
        <w:tc>
          <w:tcPr>
            <w:tcW w:w="9641" w:type="dxa"/>
            <w:gridSpan w:val="8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</w:rPr>
              <w:t>Mampu menjelaskan prinsip-prinsip penjaminan mutu sediaan farmasi steril dengan benar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4068" w:type="dxa"/>
            <w:gridSpan w:val="2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rPr>
                <w:rFonts w:ascii="Arial Narrow" w:hAnsi="Arial Narrow" w:eastAsia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CPMK 4</w:t>
            </w:r>
          </w:p>
        </w:tc>
        <w:tc>
          <w:tcPr>
            <w:tcW w:w="9641" w:type="dxa"/>
            <w:gridSpan w:val="8"/>
          </w:tcPr>
          <w:p>
            <w:pPr>
              <w:widowControl w:val="0"/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</w:rPr>
            </w:pPr>
            <w:r>
              <w:rPr>
                <w:rFonts w:ascii="Arial Narrow" w:hAnsi="Arial Narrow" w:eastAsia="Arial Narrow" w:cs="Arial Narrow"/>
              </w:rPr>
              <w:t>Mampu menjelaskan evaluasi mutu sediaan farmasi steril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5077" w:type="dxa"/>
            <w:gridSpan w:val="4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ind w:left="185"/>
              <w:jc w:val="both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  <w:t>Deskripsi Matakuliah :</w:t>
            </w:r>
          </w:p>
        </w:tc>
        <w:tc>
          <w:tcPr>
            <w:tcW w:w="9641" w:type="dxa"/>
            <w:gridSpan w:val="8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0" w:lineRule="auto"/>
              <w:ind w:right="-22"/>
              <w:jc w:val="both"/>
              <w:rPr>
                <w:rFonts w:ascii="Arial Narrow" w:hAnsi="Arial Narrow" w:eastAsia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</w:rPr>
              <w:t>Mata kuliah ini menjelaskan tentang pengertian sediaan steril, alasan suatu sediaan dibuat steril, cara sterilisasi (secara fisik dan kimia), macam-macam sediaan steril, bahan tambahan yang digunakan dalam formulasi dan cara evaluasi sediaan.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Minggu ke -</w:t>
            </w:r>
          </w:p>
        </w:tc>
        <w:tc>
          <w:tcPr>
            <w:tcW w:w="4118" w:type="dxa"/>
            <w:gridSpan w:val="3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Kemampuan Akhir yang Diharapkan</w:t>
            </w:r>
          </w:p>
        </w:tc>
        <w:tc>
          <w:tcPr>
            <w:tcW w:w="2553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Bahan Kajian/Materi Pembelajaran</w:t>
            </w: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Metode Pembelajaran &amp; Penugasan</w:t>
            </w:r>
          </w:p>
        </w:tc>
        <w:tc>
          <w:tcPr>
            <w:tcW w:w="1840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Waktu</w:t>
            </w: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Bentuk penilaian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Kriteria/ Indikator</w:t>
            </w:r>
          </w:p>
        </w:tc>
        <w:tc>
          <w:tcPr>
            <w:tcW w:w="992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Bobot penialain (%)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1</w:t>
            </w:r>
          </w:p>
        </w:tc>
        <w:tc>
          <w:tcPr>
            <w:tcW w:w="4118" w:type="dxa"/>
            <w:gridSpan w:val="3"/>
          </w:tcPr>
          <w:p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mengidentifikasi sediaan steril dengan benar.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menentukan jenis sterilisasi dalam formulasi sediaan steril dengan benar</w:t>
            </w:r>
          </w:p>
        </w:tc>
        <w:tc>
          <w:tcPr>
            <w:tcW w:w="2553" w:type="dxa"/>
          </w:tcPr>
          <w:p>
            <w:pPr>
              <w:pStyle w:val="24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Konsep steril</w:t>
            </w:r>
          </w:p>
          <w:p>
            <w:pPr>
              <w:pStyle w:val="24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Sterilisasi</w:t>
            </w:r>
          </w:p>
          <w:p>
            <w:pPr>
              <w:pStyle w:val="24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Tonisitas</w:t>
            </w:r>
          </w:p>
          <w:p>
            <w:pPr>
              <w:pStyle w:val="24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Metode Perhitungan Tonisitas dengan Penurunan Titik Beku</w:t>
            </w:r>
          </w:p>
          <w:p>
            <w:pPr>
              <w:pStyle w:val="24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Metode Perhitungan Tonisitas dengan Ekuivalensi</w:t>
            </w:r>
          </w:p>
          <w:p>
            <w:pPr>
              <w:pStyle w:val="24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Metode Perhitungan Tonisitas dengan L</w:t>
            </w:r>
            <w:r>
              <w:rPr>
                <w:rFonts w:ascii="Arial Narrow" w:hAnsi="Arial Narrow" w:eastAsia="Arial Narrow" w:cs="Arial Narrow"/>
                <w:sz w:val="24"/>
                <w:szCs w:val="24"/>
                <w:vertAlign w:val="subscript"/>
                <w:lang w:val="en-US"/>
              </w:rPr>
              <w:t>iso</w:t>
            </w:r>
          </w:p>
          <w:p>
            <w:pPr>
              <w:pStyle w:val="24"/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rPr>
                <w:rFonts w:hint="default" w:ascii="Arial Narrow" w:hAnsi="Arial Narrow" w:eastAsia="Arial Narrow" w:cs="Arial Narrow"/>
                <w:color w:val="222222"/>
                <w:sz w:val="24"/>
                <w:szCs w:val="24"/>
                <w:highlight w:val="white"/>
                <w:lang w:val="en-US"/>
              </w:rPr>
            </w:pPr>
            <w:r>
              <w:rPr>
                <w:rFonts w:hint="default" w:ascii="Arial Narrow" w:hAnsi="Arial Narrow" w:eastAsia="Arial Narrow" w:cs="Arial Narrow"/>
                <w:color w:val="222222"/>
                <w:sz w:val="24"/>
                <w:szCs w:val="24"/>
                <w:highlight w:val="white"/>
                <w:lang w:val="en-US"/>
              </w:rPr>
              <w:t>c</w:t>
            </w: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>eramah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hint="default"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  <w:lang w:val="en-US"/>
              </w:rPr>
              <w:t>cooperative learning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Tugas Individu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sz w:val="24"/>
                <w:szCs w:val="24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50’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Mandiri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Tugas individu 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Rubrik penilaian 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2</w:t>
            </w:r>
          </w:p>
        </w:tc>
        <w:tc>
          <w:tcPr>
            <w:tcW w:w="4118" w:type="dxa"/>
            <w:gridSpan w:val="3"/>
          </w:tcPr>
          <w:p>
            <w:pPr>
              <w:numPr>
                <w:ilvl w:val="0"/>
                <w:numId w:val="2"/>
              </w:numPr>
              <w:spacing w:after="0" w:line="240" w:lineRule="auto"/>
              <w:ind w:left="31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mengidentifikasi ruang kelas steril dengan benar.</w:t>
            </w:r>
          </w:p>
          <w:p>
            <w:pPr>
              <w:numPr>
                <w:ilvl w:val="0"/>
                <w:numId w:val="2"/>
              </w:numPr>
              <w:spacing w:after="0" w:line="240" w:lineRule="auto"/>
              <w:ind w:left="31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menentukan fungsi ruang kelas steril dengan benar.</w:t>
            </w:r>
          </w:p>
          <w:p>
            <w:p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2553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Pembagian, persyaratan, dan kegunaan ruang kelas steril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 w:cs="Arial Narrow"/>
                <w:color w:val="222222"/>
                <w:sz w:val="24"/>
                <w:szCs w:val="24"/>
                <w:highlight w:val="white"/>
                <w:lang w:val="en-US"/>
              </w:rPr>
              <w:t>c</w:t>
            </w: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>eramah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hint="default"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  <w:lang w:val="en-US"/>
              </w:rPr>
              <w:t>cooperative learning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Tugas Individu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50’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Mandiri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3</w:t>
            </w:r>
          </w:p>
        </w:tc>
        <w:tc>
          <w:tcPr>
            <w:tcW w:w="4118" w:type="dxa"/>
            <w:gridSpan w:val="3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mengidentifikasi sediaan parenteral volume kecil dengan benar.</w:t>
            </w:r>
          </w:p>
        </w:tc>
        <w:tc>
          <w:tcPr>
            <w:tcW w:w="2553" w:type="dxa"/>
          </w:tcPr>
          <w:p>
            <w:pPr>
              <w:pStyle w:val="24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Definisi Sediaan parenteral volume kecil</w:t>
            </w:r>
          </w:p>
          <w:p>
            <w:pPr>
              <w:pStyle w:val="24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Macam-macam dan tujuan penggunaan sediaan parenteral volume kecil</w:t>
            </w:r>
          </w:p>
          <w:p>
            <w:pPr>
              <w:pStyle w:val="24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Persyaratan sediaan parenteral volume kecil</w:t>
            </w:r>
          </w:p>
          <w:p>
            <w:pPr>
              <w:pStyle w:val="24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Formulasi sediaan parenteral volume kecil</w:t>
            </w: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 w:cs="Arial Narrow"/>
                <w:color w:val="222222"/>
                <w:sz w:val="24"/>
                <w:szCs w:val="24"/>
                <w:highlight w:val="white"/>
                <w:lang w:val="en-US"/>
              </w:rPr>
              <w:t>c</w:t>
            </w: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>eramah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hint="default"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  <w:lang w:val="en-US"/>
              </w:rPr>
              <w:t>cooperative learning</w:t>
            </w: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Tugas Individu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50’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Mandiri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4</w:t>
            </w:r>
          </w:p>
        </w:tc>
        <w:tc>
          <w:tcPr>
            <w:tcW w:w="4118" w:type="dxa"/>
            <w:gridSpan w:val="3"/>
          </w:tcPr>
          <w:p>
            <w:pPr>
              <w:pStyle w:val="24"/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gidentifikasi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injeksi dengan benar.</w:t>
            </w:r>
          </w:p>
          <w:p>
            <w:pPr>
              <w:pStyle w:val="24"/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rancang formula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injeksi dengan benar.</w:t>
            </w:r>
          </w:p>
          <w:p>
            <w:pPr>
              <w:pStyle w:val="24"/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 evaluasi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injeksi dengan benar.</w:t>
            </w:r>
          </w:p>
          <w:p>
            <w:pPr>
              <w:pStyle w:val="24"/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menentukan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kemasan 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sediaan injeksi dengan benar.</w:t>
            </w:r>
          </w:p>
        </w:tc>
        <w:tc>
          <w:tcPr>
            <w:tcW w:w="2553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a. Definisi injeksi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b. Tujuan penggunaan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   injeksi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c. Persyaratan injeksi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d. Formulasi dan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   pembuatan injeksi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e. Tonisitas injeksi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f.  Sterilisasi injeksi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g.  Evaluasi injeksi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h.  Pengemasan injeksi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hint="default"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  <w:lang w:val="en-US"/>
              </w:rPr>
              <w:t>cooperative learning, p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>roblem based learning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Tugas Individu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50’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Mandiri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5</w:t>
            </w:r>
          </w:p>
        </w:tc>
        <w:tc>
          <w:tcPr>
            <w:tcW w:w="4118" w:type="dxa"/>
            <w:gridSpan w:val="3"/>
          </w:tcPr>
          <w:p>
            <w:pPr>
              <w:pStyle w:val="24"/>
              <w:numPr>
                <w:ilvl w:val="0"/>
                <w:numId w:val="4"/>
              </w:numPr>
              <w:spacing w:after="0" w:line="240" w:lineRule="auto"/>
              <w:ind w:left="31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gidentifikasi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 suspensi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injeksi dengan benar.</w:t>
            </w:r>
          </w:p>
          <w:p>
            <w:pPr>
              <w:pStyle w:val="24"/>
              <w:numPr>
                <w:ilvl w:val="0"/>
                <w:numId w:val="4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rancang formula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suspensi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injeksi dengan benar.</w:t>
            </w:r>
          </w:p>
          <w:p>
            <w:pPr>
              <w:pStyle w:val="24"/>
              <w:numPr>
                <w:ilvl w:val="0"/>
                <w:numId w:val="4"/>
              </w:numPr>
              <w:ind w:left="317"/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menentukan sterilisasi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suspensi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injeksi dengan benar.</w:t>
            </w:r>
          </w:p>
          <w:p>
            <w:pPr>
              <w:pStyle w:val="24"/>
              <w:numPr>
                <w:ilvl w:val="0"/>
                <w:numId w:val="4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 evaluasi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suspensi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injeksi dengan benar.</w:t>
            </w:r>
          </w:p>
          <w:p>
            <w:pPr>
              <w:pStyle w:val="24"/>
              <w:numPr>
                <w:ilvl w:val="0"/>
                <w:numId w:val="4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menentukan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kemasan 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suspensi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injeksi dengan benar.</w:t>
            </w:r>
          </w:p>
        </w:tc>
        <w:tc>
          <w:tcPr>
            <w:tcW w:w="2553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a. Definisi suspensi injeksi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b. Tujuan penggunaan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   suspensi injeksi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c. Persyaratan suspensi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   injeksi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d. Formulasi suspensi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   injeksi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e. Sterilisasi suspensi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   injeksi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f.  Evaluasi suspensi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   injeksi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g. Pengemasan suspensi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   injeksi</w:t>
            </w: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hint="default"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  <w:lang w:val="en-US"/>
              </w:rPr>
              <w:t>cooperative learning, p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>roblem based learning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Tugas Individu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50’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Mandiri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6</w:t>
            </w:r>
          </w:p>
        </w:tc>
        <w:tc>
          <w:tcPr>
            <w:tcW w:w="4118" w:type="dxa"/>
            <w:gridSpan w:val="3"/>
          </w:tcPr>
          <w:p>
            <w:pPr>
              <w:pStyle w:val="24"/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gidentifikasi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 parenteral volume besar dan infus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rancang formula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suspensi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injeksi dengan benar.</w:t>
            </w:r>
          </w:p>
          <w:p>
            <w:pPr>
              <w:pStyle w:val="24"/>
              <w:numPr>
                <w:ilvl w:val="0"/>
                <w:numId w:val="5"/>
              </w:numPr>
              <w:ind w:left="317"/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menentukan sterilisasi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suspensi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injeksi dengan benar.</w:t>
            </w:r>
          </w:p>
          <w:p>
            <w:pPr>
              <w:pStyle w:val="24"/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 evaluasi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suspensi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injeksi dengan benar.</w:t>
            </w:r>
          </w:p>
          <w:p>
            <w:pPr>
              <w:pStyle w:val="24"/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menentukan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kemasan 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suspensi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injeksi dengan benar.</w:t>
            </w:r>
          </w:p>
        </w:tc>
        <w:tc>
          <w:tcPr>
            <w:tcW w:w="2553" w:type="dxa"/>
          </w:tcPr>
          <w:p>
            <w:pPr>
              <w:pStyle w:val="24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Definisi Sediaan parenteral volume besar </w:t>
            </w:r>
          </w:p>
          <w:p>
            <w:pPr>
              <w:pStyle w:val="24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Macam-macam dan tujuan penggunaan sediaan parenteral volume besar</w:t>
            </w:r>
          </w:p>
          <w:p>
            <w:pPr>
              <w:pStyle w:val="24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Definisi Infus</w:t>
            </w:r>
          </w:p>
          <w:p>
            <w:pPr>
              <w:pStyle w:val="24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Persyaratan infus</w:t>
            </w:r>
          </w:p>
          <w:p>
            <w:pPr>
              <w:pStyle w:val="24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Tujuan penggunaan infus</w:t>
            </w:r>
          </w:p>
          <w:p>
            <w:pPr>
              <w:pStyle w:val="24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Osmosis dan tekanan osmosis</w:t>
            </w:r>
          </w:p>
          <w:p>
            <w:pPr>
              <w:pStyle w:val="24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Perhitungan osmolaritas</w:t>
            </w:r>
          </w:p>
          <w:p>
            <w:pPr>
              <w:pStyle w:val="24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Formulasi infus</w:t>
            </w:r>
          </w:p>
          <w:p>
            <w:pPr>
              <w:pStyle w:val="24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Sterilisasi infus</w:t>
            </w:r>
          </w:p>
          <w:p>
            <w:pPr>
              <w:pStyle w:val="24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Evaluasi infus</w:t>
            </w:r>
          </w:p>
          <w:p>
            <w:pPr>
              <w:pStyle w:val="24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Pengemasan infus</w:t>
            </w: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hint="default"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  <w:lang w:val="en-US"/>
              </w:rPr>
              <w:t>cooperative learning, p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>roblem based learning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Tugas Individu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50’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Mandiri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2,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5%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7</w:t>
            </w:r>
          </w:p>
        </w:tc>
        <w:tc>
          <w:tcPr>
            <w:tcW w:w="4118" w:type="dxa"/>
            <w:gridSpan w:val="3"/>
          </w:tcPr>
          <w:p>
            <w:pPr>
              <w:pStyle w:val="24"/>
              <w:numPr>
                <w:ilvl w:val="0"/>
                <w:numId w:val="7"/>
              </w:numPr>
              <w:spacing w:after="0" w:line="240" w:lineRule="auto"/>
              <w:ind w:left="31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gidentifikasi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emulsi injeksi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7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rancang formula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emulsi injeksi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7"/>
              </w:numPr>
              <w:ind w:left="317"/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menentukan sterilisasi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emulsi injeksi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7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 evaluasi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emulsi injeksi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7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menentukan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kemasan 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emulsi injeksi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>
            <w:pPr>
              <w:pStyle w:val="24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Definisi emulsi injeksi</w:t>
            </w:r>
          </w:p>
          <w:p>
            <w:pPr>
              <w:pStyle w:val="24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Persyaratan emulsi injeksi</w:t>
            </w:r>
          </w:p>
          <w:p>
            <w:pPr>
              <w:pStyle w:val="24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Tujuan penggunaan emulsi injeksi</w:t>
            </w:r>
          </w:p>
          <w:p>
            <w:pPr>
              <w:pStyle w:val="24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Formulasi emulsi injeksi</w:t>
            </w:r>
          </w:p>
          <w:p>
            <w:pPr>
              <w:pStyle w:val="24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Sterilisasi emulsi injeksi</w:t>
            </w:r>
          </w:p>
          <w:p>
            <w:pPr>
              <w:pStyle w:val="24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Evaluasi emulsi injeksi</w:t>
            </w:r>
          </w:p>
          <w:p>
            <w:pPr>
              <w:pStyle w:val="24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Pengemasan emulsi injeksi</w:t>
            </w: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hint="default"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  <w:lang w:val="en-US"/>
              </w:rPr>
              <w:t>cooperative learning, p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>roblem based learning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Tugas Individu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50’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Mandiri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2,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5%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  <w:shd w:val="clear" w:color="auto" w:fill="D8D8D8" w:themeFill="background1" w:themeFillShade="D9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2767" w:type="dxa"/>
            <w:gridSpan w:val="10"/>
            <w:shd w:val="clear" w:color="auto" w:fill="D8D8D8" w:themeFill="background1" w:themeFillShade="D9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Ujian Tengah Semester</w:t>
            </w:r>
          </w:p>
        </w:tc>
        <w:tc>
          <w:tcPr>
            <w:tcW w:w="992" w:type="dxa"/>
            <w:shd w:val="clear" w:color="auto" w:fill="D8D8D8" w:themeFill="background1" w:themeFillShade="D9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35%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9</w:t>
            </w:r>
          </w:p>
        </w:tc>
        <w:tc>
          <w:tcPr>
            <w:tcW w:w="4118" w:type="dxa"/>
            <w:gridSpan w:val="3"/>
          </w:tcPr>
          <w:p>
            <w:pPr>
              <w:pStyle w:val="24"/>
              <w:numPr>
                <w:ilvl w:val="0"/>
                <w:numId w:val="9"/>
              </w:numPr>
              <w:spacing w:after="0" w:line="240" w:lineRule="auto"/>
              <w:ind w:left="399" w:hanging="365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gidentifikasi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pirogen dalam sediaan steril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9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nentukan metode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penghilangan pirogen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9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nentukan metode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analisis pirogen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>
            <w:pPr>
              <w:pStyle w:val="24"/>
              <w:numPr>
                <w:ilvl w:val="1"/>
                <w:numId w:val="10"/>
              </w:numPr>
              <w:spacing w:after="0" w:line="240" w:lineRule="auto"/>
              <w:ind w:left="383" w:hanging="346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Definisi pirogen</w:t>
            </w:r>
          </w:p>
          <w:p>
            <w:pPr>
              <w:pStyle w:val="24"/>
              <w:numPr>
                <w:ilvl w:val="1"/>
                <w:numId w:val="10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Macam-macam pirogen</w:t>
            </w:r>
          </w:p>
          <w:p>
            <w:pPr>
              <w:pStyle w:val="24"/>
              <w:numPr>
                <w:ilvl w:val="1"/>
                <w:numId w:val="10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Metode penghilangan pirogen</w:t>
            </w:r>
          </w:p>
          <w:p>
            <w:pPr>
              <w:pStyle w:val="24"/>
              <w:numPr>
                <w:ilvl w:val="1"/>
                <w:numId w:val="10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Metode analisis penentuan pirogen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hint="default"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  <w:lang w:val="en-US"/>
              </w:rPr>
              <w:t>cooperative learning, p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>roblem based learning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Tugas Individu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50’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Mandiri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Tugas </w:t>
            </w: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individu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10</w:t>
            </w:r>
          </w:p>
        </w:tc>
        <w:tc>
          <w:tcPr>
            <w:tcW w:w="4118" w:type="dxa"/>
            <w:gridSpan w:val="3"/>
          </w:tcPr>
          <w:p>
            <w:pPr>
              <w:pStyle w:val="24"/>
              <w:numPr>
                <w:ilvl w:val="0"/>
                <w:numId w:val="11"/>
              </w:numPr>
              <w:spacing w:after="0" w:line="240" w:lineRule="auto"/>
              <w:ind w:left="360" w:leftChars="0" w:hanging="360" w:firstLineChars="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gidentifikasi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tetes mata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1"/>
              </w:numPr>
              <w:spacing w:after="0" w:line="240" w:lineRule="auto"/>
              <w:ind w:left="360" w:leftChars="0" w:hanging="360" w:firstLineChars="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rancang formula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tetes mata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1"/>
              </w:numPr>
              <w:ind w:left="360" w:leftChars="0" w:hanging="360" w:firstLineChars="0"/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menentukan sterilisasi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tetes mata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1"/>
              </w:numPr>
              <w:spacing w:after="0" w:line="240" w:lineRule="auto"/>
              <w:ind w:left="360" w:leftChars="0" w:hanging="360" w:firstLineChars="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 evaluasi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tetes mata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1"/>
              </w:numPr>
              <w:spacing w:after="0" w:line="240" w:lineRule="auto"/>
              <w:ind w:left="360" w:leftChars="0" w:hanging="360" w:firstLineChars="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menentukan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kemasan 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tetes mata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>
            <w:pPr>
              <w:pStyle w:val="24"/>
              <w:numPr>
                <w:ilvl w:val="1"/>
                <w:numId w:val="12"/>
              </w:numPr>
              <w:spacing w:after="0" w:line="240" w:lineRule="auto"/>
              <w:ind w:left="355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Definisi obat tetes mata</w:t>
            </w:r>
          </w:p>
          <w:p>
            <w:pPr>
              <w:pStyle w:val="24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Persyaratan obat tetes mata</w:t>
            </w:r>
          </w:p>
          <w:p>
            <w:pPr>
              <w:pStyle w:val="24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Tujuan penggunaan obat tetes mata</w:t>
            </w:r>
          </w:p>
          <w:p>
            <w:pPr>
              <w:pStyle w:val="24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Formulasi obat tetes mata</w:t>
            </w:r>
          </w:p>
          <w:p>
            <w:pPr>
              <w:pStyle w:val="24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Sterilisasi obat tetes mata</w:t>
            </w:r>
          </w:p>
          <w:p>
            <w:pPr>
              <w:pStyle w:val="24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Evaluasi obat tetes mata</w:t>
            </w:r>
          </w:p>
          <w:p>
            <w:pPr>
              <w:pStyle w:val="24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Pengemasan obat tetes mata</w:t>
            </w: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hint="default"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  <w:lang w:val="en-US"/>
              </w:rPr>
              <w:t>cooperative learning, p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>roblem based learning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Tugas Individu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50’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Mandiri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11</w:t>
            </w:r>
          </w:p>
        </w:tc>
        <w:tc>
          <w:tcPr>
            <w:tcW w:w="4118" w:type="dxa"/>
            <w:gridSpan w:val="3"/>
          </w:tcPr>
          <w:p>
            <w:pPr>
              <w:pStyle w:val="24"/>
              <w:numPr>
                <w:ilvl w:val="0"/>
                <w:numId w:val="13"/>
              </w:numPr>
              <w:spacing w:after="0" w:line="240" w:lineRule="auto"/>
              <w:ind w:left="35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gidentifikasi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salep mata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rancang formula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salep mata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3"/>
              </w:numPr>
              <w:ind w:left="357"/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menentukan sterilisasi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salep mata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 evaluasi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salep mata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menentukan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kemasan 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salep mata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>
            <w:pPr>
              <w:pStyle w:val="24"/>
              <w:numPr>
                <w:ilvl w:val="1"/>
                <w:numId w:val="14"/>
              </w:numPr>
              <w:spacing w:after="0" w:line="240" w:lineRule="auto"/>
              <w:ind w:left="383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Definisi salep mata</w:t>
            </w:r>
          </w:p>
          <w:p>
            <w:pPr>
              <w:pStyle w:val="24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Persyaratan salep mata</w:t>
            </w:r>
          </w:p>
          <w:p>
            <w:pPr>
              <w:pStyle w:val="24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Tujuan penggunaan salep mata</w:t>
            </w:r>
          </w:p>
          <w:p>
            <w:pPr>
              <w:pStyle w:val="24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Formulasi salep mata</w:t>
            </w:r>
          </w:p>
          <w:p>
            <w:pPr>
              <w:pStyle w:val="24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Sterilisasi salep mata mata</w:t>
            </w:r>
          </w:p>
          <w:p>
            <w:pPr>
              <w:pStyle w:val="24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Evaluasi salep mata</w:t>
            </w:r>
          </w:p>
          <w:p>
            <w:pPr>
              <w:pStyle w:val="24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Pengemasan salep mata</w:t>
            </w: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hint="default"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  <w:lang w:val="en-US"/>
              </w:rPr>
              <w:t>cooperative learning, p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>roblem based learning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Tugas Individu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50’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Mandiri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12</w:t>
            </w:r>
          </w:p>
        </w:tc>
        <w:tc>
          <w:tcPr>
            <w:tcW w:w="4118" w:type="dxa"/>
            <w:gridSpan w:val="3"/>
          </w:tcPr>
          <w:p>
            <w:pPr>
              <w:pStyle w:val="24"/>
              <w:numPr>
                <w:ilvl w:val="0"/>
                <w:numId w:val="15"/>
              </w:numPr>
              <w:spacing w:after="0" w:line="240" w:lineRule="auto"/>
              <w:ind w:left="35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gidentifikasi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tetes telinga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rancang formula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tetes telinga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5"/>
              </w:numPr>
              <w:ind w:left="357"/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menentukan sterilisasi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tetes telinga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 evaluasi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tetes telinga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5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menentukan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kemasan 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tetes telinga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>
            <w:pPr>
              <w:pStyle w:val="24"/>
              <w:numPr>
                <w:ilvl w:val="1"/>
                <w:numId w:val="16"/>
              </w:numPr>
              <w:spacing w:after="0" w:line="240" w:lineRule="auto"/>
              <w:ind w:left="383" w:hanging="383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Definisi obat tetes telinga</w:t>
            </w:r>
          </w:p>
          <w:p>
            <w:pPr>
              <w:pStyle w:val="24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Persyaratan obat tetes telinga</w:t>
            </w:r>
          </w:p>
          <w:p>
            <w:pPr>
              <w:pStyle w:val="24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Tujuan penggunaan obat tetes telinga</w:t>
            </w:r>
          </w:p>
          <w:p>
            <w:pPr>
              <w:pStyle w:val="24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Formulasi obat tetes telinga</w:t>
            </w:r>
          </w:p>
          <w:p>
            <w:pPr>
              <w:pStyle w:val="24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Sterilisasi obat tetes telinga</w:t>
            </w:r>
          </w:p>
          <w:p>
            <w:pPr>
              <w:pStyle w:val="24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Evaluasi obat tetes telinga</w:t>
            </w:r>
          </w:p>
          <w:p>
            <w:pPr>
              <w:pStyle w:val="24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Pengemasan obat tetes telinga</w:t>
            </w: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hint="default"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  <w:lang w:val="en-US"/>
              </w:rPr>
              <w:t>cooperative learning, p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>roblem based learning</w:t>
            </w: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Tugas Individu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Tugas Individu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50’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Mandiri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13</w:t>
            </w:r>
          </w:p>
        </w:tc>
        <w:tc>
          <w:tcPr>
            <w:tcW w:w="4118" w:type="dxa"/>
            <w:gridSpan w:val="3"/>
          </w:tcPr>
          <w:p>
            <w:pPr>
              <w:pStyle w:val="24"/>
              <w:numPr>
                <w:ilvl w:val="0"/>
                <w:numId w:val="17"/>
              </w:numPr>
              <w:spacing w:after="0" w:line="240" w:lineRule="auto"/>
              <w:ind w:left="343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gidentifikasi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tetes hidung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7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rancang formula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tetes hidung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7"/>
              </w:numPr>
              <w:ind w:left="357"/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menentukan sterilisasi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tetes hidung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7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 evaluasi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tetes hidung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7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menentukan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kemasan 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tetes hidung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>
            <w:pPr>
              <w:pStyle w:val="24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Definisi obat tetes hidung</w:t>
            </w:r>
          </w:p>
          <w:p>
            <w:pPr>
              <w:pStyle w:val="24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Persyaratan obat tetes hidung</w:t>
            </w:r>
          </w:p>
          <w:p>
            <w:pPr>
              <w:pStyle w:val="24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Tujuan penggunaan obat tetes hidung</w:t>
            </w:r>
          </w:p>
          <w:p>
            <w:pPr>
              <w:pStyle w:val="24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Formulasi obat tetes hidung</w:t>
            </w:r>
          </w:p>
          <w:p>
            <w:pPr>
              <w:pStyle w:val="24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Sterilisasi obat tetes hidung</w:t>
            </w:r>
          </w:p>
          <w:p>
            <w:pPr>
              <w:pStyle w:val="24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Evaluasi obat tetes hidung</w:t>
            </w:r>
          </w:p>
          <w:p>
            <w:pPr>
              <w:pStyle w:val="24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Pengemasan obat tetes hidung</w:t>
            </w: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hint="default"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  <w:lang w:val="en-US"/>
              </w:rPr>
              <w:t>cooperative learning, p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>roblem based learning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Tugas Individu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50’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Mandiri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14</w:t>
            </w:r>
          </w:p>
        </w:tc>
        <w:tc>
          <w:tcPr>
            <w:tcW w:w="4118" w:type="dxa"/>
            <w:gridSpan w:val="3"/>
          </w:tcPr>
          <w:p>
            <w:pPr>
              <w:pStyle w:val="24"/>
              <w:numPr>
                <w:ilvl w:val="0"/>
                <w:numId w:val="18"/>
              </w:numPr>
              <w:spacing w:after="0" w:line="240" w:lineRule="auto"/>
              <w:ind w:left="399" w:hanging="399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gidentifikasi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suntik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8"/>
              </w:numPr>
              <w:spacing w:after="0" w:line="240" w:lineRule="auto"/>
              <w:ind w:left="399" w:hanging="399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rancang formula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suntik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8"/>
              </w:numPr>
              <w:ind w:left="357"/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menentukan sterilisasi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suntik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 evaluasi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suntik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18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Mahasiswa akan mampu menjelaskan, mendiskusikan, dan menentukan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kemasan 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sediaan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obat suntik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>
            <w:pPr>
              <w:pStyle w:val="24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Definisi obat suntik</w:t>
            </w:r>
          </w:p>
          <w:p>
            <w:pPr>
              <w:pStyle w:val="24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 xml:space="preserve">Persyaratan obat suntik </w:t>
            </w:r>
          </w:p>
          <w:p>
            <w:pPr>
              <w:pStyle w:val="24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Tujuan penggunaan obat suntik</w:t>
            </w:r>
          </w:p>
          <w:p>
            <w:pPr>
              <w:pStyle w:val="24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Formulasi obat suntik</w:t>
            </w:r>
          </w:p>
          <w:p>
            <w:pPr>
              <w:pStyle w:val="24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Sterilisasi obat suntik</w:t>
            </w:r>
          </w:p>
          <w:p>
            <w:pPr>
              <w:pStyle w:val="24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Evaluasi obat suntik hidung</w:t>
            </w:r>
          </w:p>
          <w:p>
            <w:pPr>
              <w:pStyle w:val="24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Pengemasan obat suntik</w:t>
            </w: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hint="default"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  <w:lang w:val="en-US"/>
              </w:rPr>
              <w:t>cooperative learning, p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>roblem based learning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Tugas Individu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50’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Mandiri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2,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5%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15</w:t>
            </w:r>
          </w:p>
        </w:tc>
        <w:tc>
          <w:tcPr>
            <w:tcW w:w="4118" w:type="dxa"/>
            <w:gridSpan w:val="3"/>
          </w:tcPr>
          <w:p>
            <w:pPr>
              <w:pStyle w:val="24"/>
              <w:numPr>
                <w:ilvl w:val="0"/>
                <w:numId w:val="20"/>
              </w:numPr>
              <w:spacing w:after="0" w:line="240" w:lineRule="auto"/>
              <w:ind w:left="360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men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gidentifikasi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kemasan primer, sekunder, dan tersier pada sediaan steril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pStyle w:val="24"/>
              <w:numPr>
                <w:ilvl w:val="0"/>
                <w:numId w:val="20"/>
              </w:numPr>
              <w:spacing w:after="0" w:line="240" w:lineRule="auto"/>
              <w:ind w:left="357" w:hanging="357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Mahasiswa akan mampu menjelaskan, mendiskusikan, dan me</w:t>
            </w:r>
            <w:r>
              <w:rPr>
                <w:rFonts w:ascii="Arial Narrow" w:hAnsi="Arial Narrow" w:eastAsia="Arial Narrow" w:cs="Arial Narrow"/>
                <w:sz w:val="24"/>
                <w:szCs w:val="24"/>
                <w:lang w:val="en-US"/>
              </w:rPr>
              <w:t>nentukan kemasan primer, sekunder, dan tersier pada sediaan steril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 xml:space="preserve"> dengan benar.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2553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Kemasan primer, sekunder, dan tersier pada sediaan steril</w:t>
            </w:r>
          </w:p>
        </w:tc>
        <w:tc>
          <w:tcPr>
            <w:tcW w:w="1560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Metode Pembelajaran : 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hint="default"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  <w:lang w:val="en-US"/>
              </w:rPr>
              <w:t>cooperative learning, p</w:t>
            </w:r>
            <w:r>
              <w:rPr>
                <w:rFonts w:ascii="Arial Narrow" w:hAnsi="Arial Narrow" w:eastAsia="Arial Narrow" w:cs="Arial Narrow"/>
                <w:i/>
                <w:color w:val="222222"/>
                <w:sz w:val="24"/>
                <w:szCs w:val="24"/>
                <w:highlight w:val="white"/>
              </w:rPr>
              <w:t>roblem based learning</w:t>
            </w:r>
          </w:p>
          <w:p>
            <w:pPr>
              <w:spacing w:after="0" w:line="240" w:lineRule="auto"/>
              <w:ind w:left="25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  <w:t xml:space="preserve">Penugasan : Tugas Individu 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i/>
                <w:sz w:val="24"/>
                <w:szCs w:val="24"/>
              </w:rPr>
            </w:pPr>
          </w:p>
        </w:tc>
        <w:tc>
          <w:tcPr>
            <w:tcW w:w="1840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TM : 50’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Tugas :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Terstruktur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Mandiri : 60’ x 2 sks</w:t>
            </w:r>
          </w:p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>
            <w:pPr>
              <w:spacing w:after="0" w:line="240" w:lineRule="auto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Rubrik penilaian</w:t>
            </w:r>
          </w:p>
        </w:tc>
        <w:tc>
          <w:tcPr>
            <w:tcW w:w="992" w:type="dxa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2,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5%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959" w:type="dxa"/>
            <w:shd w:val="clear" w:color="auto" w:fill="BEBEBE" w:themeFill="background1" w:themeFillShade="BF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sz w:val="24"/>
                <w:szCs w:val="24"/>
              </w:rPr>
              <w:t>16</w:t>
            </w:r>
          </w:p>
        </w:tc>
        <w:tc>
          <w:tcPr>
            <w:tcW w:w="12767" w:type="dxa"/>
            <w:gridSpan w:val="10"/>
            <w:shd w:val="clear" w:color="auto" w:fill="BEBEBE" w:themeFill="background1" w:themeFillShade="BF"/>
          </w:tcPr>
          <w:p>
            <w:pPr>
              <w:spacing w:after="0" w:line="240" w:lineRule="auto"/>
              <w:jc w:val="center"/>
              <w:rPr>
                <w:rFonts w:ascii="Arial Narrow" w:hAnsi="Arial Narrow" w:eastAsia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sz w:val="24"/>
                <w:szCs w:val="24"/>
              </w:rPr>
              <w:t>Ujian Akhir Semester</w:t>
            </w:r>
          </w:p>
        </w:tc>
        <w:tc>
          <w:tcPr>
            <w:tcW w:w="992" w:type="dxa"/>
            <w:shd w:val="clear" w:color="auto" w:fill="BEBEBE" w:themeFill="background1" w:themeFillShade="BF"/>
          </w:tcPr>
          <w:p>
            <w:pPr>
              <w:spacing w:after="0" w:line="360" w:lineRule="auto"/>
              <w:jc w:val="center"/>
              <w:rPr>
                <w:rFonts w:ascii="Arial Narrow" w:hAnsi="Arial Narrow" w:eastAsia="Arial Narrow" w:cs="Arial Narrow"/>
                <w:sz w:val="24"/>
                <w:szCs w:val="24"/>
              </w:rPr>
            </w:pPr>
            <w:r>
              <w:rPr>
                <w:rFonts w:ascii="Arial Narrow" w:hAnsi="Arial Narrow" w:eastAsia="Arial Narrow" w:cs="Arial Narrow"/>
                <w:b/>
                <w:bCs/>
                <w:sz w:val="24"/>
                <w:szCs w:val="24"/>
              </w:rPr>
              <w:t>35%</w:t>
            </w:r>
          </w:p>
        </w:tc>
      </w:tr>
    </w:tbl>
    <w:p>
      <w:pPr>
        <w:spacing w:after="0" w:line="240" w:lineRule="auto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240" w:lineRule="auto"/>
        <w:rPr>
          <w:rFonts w:ascii="Arial Narrow" w:hAnsi="Arial Narrow" w:eastAsia="Arial Narrow" w:cs="Arial Narrow"/>
          <w:b/>
          <w:bCs/>
          <w:sz w:val="24"/>
          <w:szCs w:val="24"/>
        </w:rPr>
      </w:pPr>
      <w:r>
        <w:rPr>
          <w:rFonts w:ascii="Arial Narrow" w:hAnsi="Arial Narrow" w:eastAsia="Arial Narrow" w:cs="Arial Narrow"/>
          <w:b/>
          <w:bCs/>
          <w:sz w:val="24"/>
          <w:szCs w:val="24"/>
        </w:rPr>
        <w:t>Daftar Referensi</w:t>
      </w:r>
    </w:p>
    <w:p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340"/>
          <w:tab w:val="left" w:pos="2520"/>
        </w:tabs>
        <w:spacing w:after="0" w:line="360" w:lineRule="auto"/>
        <w:ind w:left="360"/>
        <w:jc w:val="both"/>
        <w:rPr>
          <w:rFonts w:ascii="Arial Narrow" w:hAnsi="Arial Narrow" w:eastAsia="Arial Narrow" w:cs="Arial Narrow"/>
          <w:color w:val="000000"/>
          <w:sz w:val="24"/>
          <w:szCs w:val="24"/>
        </w:rPr>
      </w:pPr>
      <w:r>
        <w:rPr>
          <w:rFonts w:ascii="Arial Narrow" w:hAnsi="Arial Narrow" w:eastAsia="Arial Narrow" w:cs="Arial Narrow"/>
          <w:color w:val="000000"/>
          <w:sz w:val="24"/>
          <w:szCs w:val="24"/>
        </w:rPr>
        <w:t>Allen, L. V. 2009. Handbook of Pharmaceutical Excipients, Sixth Edition, Rowe R. C., Sheskey, P. J., Queen, M. E., (Editor). Pharmaceutical Press and American Pharmacists Assosiation: London.</w:t>
      </w:r>
    </w:p>
    <w:p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340"/>
          <w:tab w:val="left" w:pos="2520"/>
        </w:tabs>
        <w:spacing w:after="0" w:line="360" w:lineRule="auto"/>
        <w:ind w:left="360"/>
        <w:jc w:val="both"/>
        <w:rPr>
          <w:rFonts w:ascii="Arial Narrow" w:hAnsi="Arial Narrow" w:eastAsia="Arial Narrow" w:cs="Arial Narrow"/>
          <w:color w:val="000000"/>
          <w:sz w:val="24"/>
          <w:szCs w:val="24"/>
        </w:rPr>
      </w:pPr>
      <w:r>
        <w:rPr>
          <w:rFonts w:ascii="Arial Narrow" w:hAnsi="Arial Narrow" w:eastAsia="Arial Narrow" w:cs="Arial Narrow"/>
          <w:color w:val="000000"/>
          <w:sz w:val="24"/>
          <w:szCs w:val="24"/>
        </w:rPr>
        <w:t xml:space="preserve">Agoes, G. (2013). </w:t>
      </w:r>
      <w:r>
        <w:rPr>
          <w:rFonts w:ascii="Arial Narrow" w:hAnsi="Arial Narrow" w:eastAsia="Arial Narrow" w:cs="Arial Narrow"/>
          <w:i/>
          <w:color w:val="000000"/>
          <w:sz w:val="24"/>
          <w:szCs w:val="24"/>
        </w:rPr>
        <w:t>Sediaan Farmasi Steri.</w:t>
      </w:r>
      <w:r>
        <w:rPr>
          <w:rFonts w:ascii="Arial Narrow" w:hAnsi="Arial Narrow" w:eastAsia="Arial Narrow" w:cs="Arial Narrow"/>
          <w:color w:val="000000"/>
          <w:sz w:val="24"/>
          <w:szCs w:val="24"/>
        </w:rPr>
        <w:t xml:space="preserve"> ITB Press: Bandung.</w:t>
      </w:r>
    </w:p>
    <w:p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340"/>
          <w:tab w:val="left" w:pos="2520"/>
        </w:tabs>
        <w:spacing w:after="0" w:line="360" w:lineRule="auto"/>
        <w:ind w:left="360"/>
        <w:jc w:val="both"/>
        <w:rPr>
          <w:rFonts w:ascii="Arial Narrow" w:hAnsi="Arial Narrow" w:eastAsia="Arial Narrow" w:cs="Arial Narrow"/>
          <w:color w:val="000000"/>
          <w:sz w:val="24"/>
          <w:szCs w:val="24"/>
        </w:rPr>
      </w:pPr>
      <w:r>
        <w:rPr>
          <w:rFonts w:ascii="Arial Narrow" w:hAnsi="Arial Narrow" w:eastAsia="Arial Narrow" w:cs="Arial Narrow"/>
          <w:color w:val="000000"/>
          <w:sz w:val="24"/>
          <w:szCs w:val="24"/>
        </w:rPr>
        <w:t xml:space="preserve">Lukas, Stefanus. (2011).  </w:t>
      </w:r>
      <w:r>
        <w:rPr>
          <w:rFonts w:ascii="Arial Narrow" w:hAnsi="Arial Narrow" w:eastAsia="Arial Narrow" w:cs="Arial Narrow"/>
          <w:i/>
          <w:color w:val="000000"/>
          <w:sz w:val="24"/>
          <w:szCs w:val="24"/>
        </w:rPr>
        <w:t>Formulasi Steril</w:t>
      </w:r>
      <w:r>
        <w:rPr>
          <w:rFonts w:ascii="Arial Narrow" w:hAnsi="Arial Narrow" w:eastAsia="Arial Narrow" w:cs="Arial Narrow"/>
          <w:color w:val="000000"/>
          <w:sz w:val="24"/>
          <w:szCs w:val="24"/>
        </w:rPr>
        <w:t xml:space="preserve">. Andi Ofset: Yogyakarta. </w:t>
      </w:r>
    </w:p>
    <w:p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360"/>
        <w:rPr>
          <w:rFonts w:ascii="Arial Narrow" w:hAnsi="Arial Narrow" w:eastAsia="Arial Narrow" w:cs="Arial Narrow"/>
          <w:color w:val="000000"/>
          <w:sz w:val="24"/>
          <w:szCs w:val="24"/>
        </w:rPr>
      </w:pPr>
      <w:r>
        <w:rPr>
          <w:rFonts w:ascii="Arial Narrow" w:hAnsi="Arial Narrow" w:eastAsia="Arial Narrow" w:cs="Arial Narrow"/>
          <w:color w:val="000000"/>
          <w:sz w:val="24"/>
          <w:szCs w:val="24"/>
        </w:rPr>
        <w:t xml:space="preserve">Anonim. 1979. </w:t>
      </w:r>
      <w:r>
        <w:rPr>
          <w:rFonts w:ascii="Arial Narrow" w:hAnsi="Arial Narrow" w:eastAsia="Arial Narrow" w:cs="Arial Narrow"/>
          <w:i/>
          <w:color w:val="000000"/>
          <w:sz w:val="24"/>
          <w:szCs w:val="24"/>
        </w:rPr>
        <w:t>Farmakope Indonesia Edisi III</w:t>
      </w:r>
      <w:r>
        <w:rPr>
          <w:rFonts w:ascii="Arial Narrow" w:hAnsi="Arial Narrow" w:eastAsia="Arial Narrow" w:cs="Arial Narrow"/>
          <w:color w:val="000000"/>
          <w:sz w:val="24"/>
          <w:szCs w:val="24"/>
        </w:rPr>
        <w:t>. Departemen Kesehatan Republik Indonesia: Jakarta.</w:t>
      </w:r>
    </w:p>
    <w:p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360"/>
        <w:rPr>
          <w:rFonts w:ascii="Arial Narrow" w:hAnsi="Arial Narrow" w:eastAsia="Arial Narrow" w:cs="Arial Narrow"/>
          <w:color w:val="000000"/>
          <w:sz w:val="24"/>
          <w:szCs w:val="24"/>
        </w:rPr>
      </w:pPr>
      <w:r>
        <w:rPr>
          <w:rFonts w:ascii="Arial Narrow" w:hAnsi="Arial Narrow" w:eastAsia="Arial Narrow" w:cs="Arial Narrow"/>
          <w:color w:val="000000"/>
          <w:sz w:val="24"/>
          <w:szCs w:val="24"/>
        </w:rPr>
        <w:t xml:space="preserve">Anonim. 1995, </w:t>
      </w:r>
      <w:r>
        <w:rPr>
          <w:rFonts w:ascii="Arial Narrow" w:hAnsi="Arial Narrow" w:eastAsia="Arial Narrow" w:cs="Arial Narrow"/>
          <w:i/>
          <w:color w:val="000000"/>
          <w:sz w:val="24"/>
          <w:szCs w:val="24"/>
        </w:rPr>
        <w:t>Farmakope Indonesia Edisi IV</w:t>
      </w:r>
      <w:r>
        <w:rPr>
          <w:rFonts w:ascii="Arial Narrow" w:hAnsi="Arial Narrow" w:eastAsia="Arial Narrow" w:cs="Arial Narrow"/>
          <w:color w:val="000000"/>
          <w:sz w:val="24"/>
          <w:szCs w:val="24"/>
        </w:rPr>
        <w:t>. Departemen Kesehatan Republik Indonesia: Jakarta.</w:t>
      </w:r>
    </w:p>
    <w:p>
      <w:pPr>
        <w:spacing w:after="0" w:line="240" w:lineRule="auto"/>
        <w:rPr>
          <w:rFonts w:ascii="Arial Narrow" w:hAnsi="Arial Narrow" w:eastAsia="Arial Narrow" w:cs="Arial Narrow"/>
          <w:color w:val="000000"/>
          <w:sz w:val="24"/>
          <w:szCs w:val="24"/>
        </w:rPr>
      </w:pPr>
    </w:p>
    <w:p>
      <w:pPr>
        <w:spacing w:after="0" w:line="240" w:lineRule="auto"/>
        <w:rPr>
          <w:rFonts w:ascii="Arial Narrow" w:hAnsi="Arial Narrow" w:eastAsia="Arial Narrow" w:cs="Arial Narrow"/>
          <w:b/>
          <w:bCs/>
          <w:sz w:val="24"/>
          <w:szCs w:val="24"/>
        </w:rPr>
      </w:pPr>
      <w:r>
        <w:rPr>
          <w:rFonts w:ascii="Arial Narrow" w:hAnsi="Arial Narrow" w:eastAsia="Arial Narrow" w:cs="Arial Narrow"/>
          <w:b/>
          <w:bCs/>
          <w:sz w:val="24"/>
          <w:szCs w:val="24"/>
        </w:rPr>
        <w:t>Penilaian Akhir</w:t>
      </w:r>
      <w:r>
        <w:rPr>
          <w:rFonts w:hint="default" w:ascii="Arial Narrow" w:hAnsi="Arial Narrow" w:eastAsia="Arial Narrow" w:cs="Arial Narrow"/>
          <w:b/>
          <w:bCs/>
          <w:sz w:val="24"/>
          <w:szCs w:val="24"/>
          <w:lang w:val="en-US"/>
        </w:rPr>
        <w:t xml:space="preserve"> =</w:t>
      </w:r>
      <w:r>
        <w:rPr>
          <w:rFonts w:ascii="Arial Narrow" w:hAnsi="Arial Narrow" w:eastAsia="Arial Narrow" w:cs="Arial Narrow"/>
          <w:b/>
          <w:bCs/>
          <w:sz w:val="24"/>
          <w:szCs w:val="24"/>
        </w:rPr>
        <w:t xml:space="preserve"> [</w:t>
      </w:r>
      <w:r>
        <w:rPr>
          <w:rFonts w:hint="default" w:ascii="Arial Narrow" w:hAnsi="Arial Narrow" w:eastAsia="Arial Narrow" w:cs="Arial Narrow"/>
          <w:b/>
          <w:bCs/>
          <w:sz w:val="24"/>
          <w:szCs w:val="24"/>
          <w:lang w:val="en-US"/>
        </w:rPr>
        <w:t>Nilai</w:t>
      </w:r>
      <w:r>
        <w:rPr>
          <w:rFonts w:ascii="Arial Narrow" w:hAnsi="Arial Narrow" w:eastAsia="Arial Narrow" w:cs="Arial Narrow"/>
          <w:b/>
          <w:bCs/>
          <w:sz w:val="24"/>
          <w:szCs w:val="24"/>
        </w:rPr>
        <w:t xml:space="preserve"> Harian 30%+ UTS 35%] + UAS (35%]</w:t>
      </w:r>
    </w:p>
    <w:p>
      <w:pPr>
        <w:spacing w:after="0" w:line="240" w:lineRule="auto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sz w:val="24"/>
          <w:szCs w:val="24"/>
        </w:rPr>
        <w:tab/>
      </w:r>
    </w:p>
    <w:p>
      <w:pPr>
        <w:spacing w:after="0" w:line="240" w:lineRule="auto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b/>
          <w:bCs/>
          <w:sz w:val="24"/>
          <w:szCs w:val="24"/>
        </w:rPr>
        <w:t>Nilai Harian</w:t>
      </w:r>
      <w:r>
        <w:rPr>
          <w:rFonts w:ascii="Arial Narrow" w:hAnsi="Arial Narrow" w:eastAsia="Arial Narrow" w:cs="Arial Narrow"/>
          <w:sz w:val="24"/>
          <w:szCs w:val="24"/>
        </w:rPr>
        <w:t xml:space="preserve"> : Tugas individu </w:t>
      </w:r>
      <w:bookmarkStart w:id="0" w:name="_GoBack"/>
      <w:bookmarkEnd w:id="0"/>
      <w:r>
        <w:rPr>
          <w:rFonts w:ascii="Arial Narrow" w:hAnsi="Arial Narrow" w:eastAsia="Arial Narrow" w:cs="Arial Narrow"/>
          <w:sz w:val="24"/>
          <w:szCs w:val="24"/>
        </w:rPr>
        <w:t xml:space="preserve">dan </w:t>
      </w:r>
      <w:r>
        <w:rPr>
          <w:rFonts w:ascii="Arial Narrow" w:hAnsi="Arial Narrow" w:eastAsia="Arial Narrow" w:cs="Arial Narrow"/>
          <w:i/>
          <w:sz w:val="24"/>
          <w:szCs w:val="24"/>
        </w:rPr>
        <w:t>pre-test</w:t>
      </w:r>
    </w:p>
    <w:p>
      <w:pPr>
        <w:spacing w:after="0" w:line="240" w:lineRule="auto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b/>
          <w:bCs/>
          <w:sz w:val="24"/>
          <w:szCs w:val="24"/>
        </w:rPr>
        <w:t>UTS</w:t>
      </w:r>
      <w:r>
        <w:rPr>
          <w:rFonts w:ascii="Arial Narrow" w:hAnsi="Arial Narrow" w:eastAsia="Arial Narrow" w:cs="Arial Narrow"/>
          <w:sz w:val="24"/>
          <w:szCs w:val="24"/>
        </w:rPr>
        <w:t xml:space="preserve"> : Metode CBT </w:t>
      </w:r>
    </w:p>
    <w:p>
      <w:pPr>
        <w:spacing w:after="0" w:line="240" w:lineRule="auto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b/>
          <w:bCs/>
          <w:sz w:val="24"/>
          <w:szCs w:val="24"/>
        </w:rPr>
        <w:t>UAS</w:t>
      </w:r>
      <w:r>
        <w:rPr>
          <w:rFonts w:ascii="Arial Narrow" w:hAnsi="Arial Narrow" w:eastAsia="Arial Narrow" w:cs="Arial Narrow"/>
          <w:sz w:val="24"/>
          <w:szCs w:val="24"/>
        </w:rPr>
        <w:t xml:space="preserve"> : Metode CBT </w:t>
      </w:r>
    </w:p>
    <w:p>
      <w:pPr>
        <w:spacing w:after="0" w:line="240" w:lineRule="auto"/>
        <w:ind w:left="72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240" w:lineRule="auto"/>
        <w:ind w:left="72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240" w:lineRule="auto"/>
        <w:ind w:left="72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240" w:lineRule="auto"/>
        <w:ind w:left="72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240" w:lineRule="auto"/>
        <w:ind w:left="72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360" w:lineRule="auto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360" w:lineRule="auto"/>
        <w:ind w:left="864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360" w:lineRule="auto"/>
        <w:ind w:left="8640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sz w:val="24"/>
          <w:szCs w:val="24"/>
        </w:rPr>
        <w:t>Semarang, 21 Februari 2024</w:t>
      </w:r>
    </w:p>
    <w:p>
      <w:pPr>
        <w:spacing w:after="0" w:line="360" w:lineRule="auto"/>
        <w:ind w:firstLine="360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sz w:val="24"/>
          <w:szCs w:val="24"/>
        </w:rPr>
        <w:t>Mengetahui Ka. Prodi S 1 Farmasi</w:t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 xml:space="preserve">Dosen Pengampu </w:t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</w:p>
    <w:p>
      <w:pPr>
        <w:spacing w:after="0" w:line="360" w:lineRule="auto"/>
        <w:ind w:left="72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360" w:lineRule="auto"/>
        <w:ind w:left="72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360" w:lineRule="auto"/>
        <w:ind w:left="720"/>
        <w:rPr>
          <w:rFonts w:ascii="Arial Narrow" w:hAnsi="Arial Narrow" w:eastAsia="Arial Narrow" w:cs="Arial Narrow"/>
          <w:sz w:val="24"/>
          <w:szCs w:val="24"/>
        </w:rPr>
      </w:pPr>
    </w:p>
    <w:p>
      <w:pPr>
        <w:spacing w:after="0" w:line="240" w:lineRule="auto"/>
        <w:ind w:firstLine="360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sz w:val="24"/>
          <w:szCs w:val="24"/>
        </w:rPr>
        <w:t>apt. Sandi Mahesa, M. Farm</w:t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>apt. Nanda Dwi Akbar, M. Pharm., Sci.</w:t>
      </w:r>
      <w:r>
        <w:rPr>
          <w:rFonts w:ascii="Arial Narrow" w:hAnsi="Arial Narrow" w:eastAsia="Arial Narrow" w:cs="Arial Narrow"/>
          <w:sz w:val="24"/>
          <w:szCs w:val="24"/>
        </w:rPr>
        <w:tab/>
      </w:r>
    </w:p>
    <w:p>
      <w:pPr>
        <w:spacing w:after="0" w:line="240" w:lineRule="auto"/>
        <w:ind w:firstLine="360"/>
        <w:rPr>
          <w:rFonts w:ascii="Arial Narrow" w:hAnsi="Arial Narrow" w:eastAsia="Arial Narrow" w:cs="Arial Narrow"/>
          <w:sz w:val="24"/>
          <w:szCs w:val="24"/>
        </w:rPr>
      </w:pPr>
      <w:r>
        <w:rPr>
          <w:rFonts w:ascii="Arial Narrow" w:hAnsi="Arial Narrow" w:eastAsia="Arial Narrow" w:cs="Arial Narrow"/>
          <w:sz w:val="24"/>
          <w:szCs w:val="24"/>
        </w:rPr>
        <w:t>NIP. 07041971</w:t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>NIP. 070622120</w:t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  <w:r>
        <w:rPr>
          <w:rFonts w:ascii="Arial Narrow" w:hAnsi="Arial Narrow" w:eastAsia="Arial Narrow" w:cs="Arial Narrow"/>
          <w:sz w:val="24"/>
          <w:szCs w:val="24"/>
        </w:rPr>
        <w:tab/>
      </w:r>
    </w:p>
    <w:sectPr>
      <w:headerReference r:id="rId5" w:type="default"/>
      <w:footerReference r:id="rId6" w:type="default"/>
      <w:pgSz w:w="16839" w:h="11907" w:orient="landscape"/>
      <w:pgMar w:top="851" w:right="1440" w:bottom="284" w:left="1440" w:header="284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 xml:space="preserve">PAGE</w:instrText>
    </w:r>
    <w:r>
      <w:rPr>
        <w:rFonts w:eastAsia="Calibri"/>
        <w:color w:val="000000"/>
      </w:rPr>
      <w:fldChar w:fldCharType="separate"/>
    </w:r>
    <w:r>
      <w:rPr>
        <w:rFonts w:eastAsia="Calibri"/>
        <w:color w:val="000000"/>
      </w:rPr>
      <w:t>1</w:t>
    </w:r>
    <w:r>
      <w:rPr>
        <w:rFonts w:eastAsia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/>
      <w:rPr>
        <w:rFonts w:ascii="Arial Narrow" w:hAnsi="Arial Narrow" w:eastAsia="Arial Narrow" w:cs="Arial Narrow"/>
        <w:sz w:val="24"/>
        <w:szCs w:val="24"/>
      </w:rPr>
    </w:pPr>
  </w:p>
  <w:tbl>
    <w:tblPr>
      <w:tblStyle w:val="26"/>
      <w:tblW w:w="13788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951"/>
      <w:gridCol w:w="6379"/>
      <w:gridCol w:w="2218"/>
      <w:gridCol w:w="3240"/>
    </w:tblGrid>
    <w:tr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552" w:hRule="atLeast"/>
      </w:trPr>
      <w:tc>
        <w:tcPr>
          <w:tcW w:w="1951" w:type="dxa"/>
          <w:vMerge w:val="restart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36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SEKOLAH TINGGI FARMASI NUSAPUTERA</w:t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Jl. Medoho III No.2, Semarang. Telp/Fax 024-6747012.</w:t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ind w:left="33" w:right="884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e-mail : stiferanusaputera@gmail.com</w:t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 xml:space="preserve">https: </w:t>
          </w:r>
          <w:r>
            <w:rPr>
              <w:rFonts w:ascii="Arial" w:hAnsi="Arial" w:eastAsia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ind w:left="34" w:right="175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ind w:left="34" w:right="175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SPMI-STIFERA/FM/03/06</w:t>
          </w:r>
        </w:p>
      </w:tc>
    </w:tr>
    <w:tr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348" w:hRule="atLeast"/>
      </w:trPr>
      <w:tc>
        <w:tcPr>
          <w:tcW w:w="1951" w:type="dxa"/>
          <w:vMerge w:val="continue"/>
        </w:tcPr>
        <w:p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/>
            <w:rPr>
              <w:rFonts w:ascii="Arial Narrow" w:hAnsi="Arial Narrow" w:eastAsia="Arial Narrow" w:cs="Arial Narrow"/>
              <w:b/>
              <w:color w:val="000000"/>
            </w:rPr>
          </w:pPr>
        </w:p>
      </w:tc>
      <w:tc>
        <w:tcPr>
          <w:tcW w:w="6379" w:type="dxa"/>
          <w:vMerge w:val="continue"/>
          <w:shd w:val="clear" w:color="auto" w:fill="F2F2F2"/>
          <w:vAlign w:val="center"/>
        </w:tcPr>
        <w:p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/>
            <w:rPr>
              <w:rFonts w:ascii="Arial Narrow" w:hAnsi="Arial Narrow" w:eastAsia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jc w:val="both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22 Februari 2020</w:t>
          </w:r>
        </w:p>
      </w:tc>
    </w:tr>
    <w:tr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333" w:hRule="atLeast"/>
      </w:trPr>
      <w:tc>
        <w:tcPr>
          <w:tcW w:w="1951" w:type="dxa"/>
          <w:vMerge w:val="continue"/>
        </w:tcPr>
        <w:p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/>
            <w:rPr>
              <w:rFonts w:ascii="Arial Narrow" w:hAnsi="Arial Narrow" w:eastAsia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jc w:val="center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 xml:space="preserve">FORMULIR </w:t>
          </w:r>
        </w:p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jc w:val="center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>01</w:t>
          </w:r>
        </w:p>
      </w:tc>
    </w:tr>
    <w:tr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583" w:hRule="atLeast"/>
      </w:trPr>
      <w:tc>
        <w:tcPr>
          <w:tcW w:w="1951" w:type="dxa"/>
          <w:vMerge w:val="continue"/>
        </w:tcPr>
        <w:p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/>
            <w:rPr>
              <w:rFonts w:ascii="Arial Narrow" w:hAnsi="Arial Narrow" w:eastAsia="Arial Narrow" w:cs="Arial Narrow"/>
              <w:b/>
              <w:color w:val="000000"/>
            </w:rPr>
          </w:pPr>
        </w:p>
      </w:tc>
      <w:tc>
        <w:tcPr>
          <w:tcW w:w="6379" w:type="dxa"/>
          <w:vMerge w:val="continue"/>
          <w:shd w:val="clear" w:color="auto" w:fill="F2F2F2"/>
          <w:vAlign w:val="center"/>
        </w:tcPr>
        <w:p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/>
            <w:rPr>
              <w:rFonts w:ascii="Arial Narrow" w:hAnsi="Arial Narrow" w:eastAsia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40" w:lineRule="auto"/>
            <w:rPr>
              <w:rFonts w:ascii="Arial Narrow" w:hAnsi="Arial Narrow" w:eastAsia="Arial Narrow" w:cs="Arial Narrow"/>
              <w:b/>
              <w:color w:val="000000"/>
            </w:rPr>
          </w:pPr>
          <w:r>
            <w:rPr>
              <w:rFonts w:ascii="Arial Narrow" w:hAnsi="Arial Narrow" w:eastAsia="Arial Narrow" w:cs="Arial Narrow"/>
              <w:b/>
              <w:color w:val="000000"/>
            </w:rPr>
            <w:fldChar w:fldCharType="begin"/>
          </w:r>
          <w:r>
            <w:rPr>
              <w:rFonts w:ascii="Arial Narrow" w:hAnsi="Arial Narrow" w:eastAsia="Arial Narrow" w:cs="Arial Narrow"/>
              <w:b/>
              <w:color w:val="000000"/>
            </w:rPr>
            <w:instrText xml:space="preserve">PAGE</w:instrText>
          </w:r>
          <w:r>
            <w:rPr>
              <w:rFonts w:ascii="Arial Narrow" w:hAnsi="Arial Narrow" w:eastAsia="Arial Narrow" w:cs="Arial Narrow"/>
              <w:b/>
              <w:color w:val="000000"/>
            </w:rPr>
            <w:fldChar w:fldCharType="separate"/>
          </w:r>
          <w:r>
            <w:rPr>
              <w:rFonts w:ascii="Arial Narrow" w:hAnsi="Arial Narrow" w:eastAsia="Arial Narrow" w:cs="Arial Narrow"/>
              <w:b/>
              <w:color w:val="000000"/>
            </w:rPr>
            <w:t>1</w:t>
          </w:r>
          <w:r>
            <w:rPr>
              <w:rFonts w:ascii="Arial Narrow" w:hAnsi="Arial Narrow" w:eastAsia="Arial Narrow" w:cs="Arial Narrow"/>
              <w:b/>
              <w:color w:val="000000"/>
            </w:rPr>
            <w:fldChar w:fldCharType="end"/>
          </w:r>
          <w:r>
            <w:rPr>
              <w:rFonts w:ascii="Arial Narrow" w:hAnsi="Arial Narrow" w:eastAsia="Arial Narrow" w:cs="Arial Narrow"/>
              <w:b/>
              <w:color w:val="000000"/>
            </w:rPr>
            <w:t xml:space="preserve"> dari 7</w:t>
          </w:r>
        </w:p>
      </w:tc>
    </w:tr>
  </w:tbl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left" w:pos="4395"/>
        <w:tab w:val="center" w:pos="4680"/>
        <w:tab w:val="right" w:pos="9360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180730"/>
    <w:multiLevelType w:val="multilevel"/>
    <w:tmpl w:val="05180730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27E4FC"/>
    <w:multiLevelType w:val="multilevel"/>
    <w:tmpl w:val="0527E4FC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07714A"/>
    <w:multiLevelType w:val="multilevel"/>
    <w:tmpl w:val="0607714A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58377B"/>
    <w:multiLevelType w:val="multilevel"/>
    <w:tmpl w:val="1058377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3B58B3"/>
    <w:multiLevelType w:val="multilevel"/>
    <w:tmpl w:val="143B58B3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A339EA"/>
    <w:multiLevelType w:val="multilevel"/>
    <w:tmpl w:val="15A339EA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BC3EBE"/>
    <w:multiLevelType w:val="multilevel"/>
    <w:tmpl w:val="17BC3EBE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D73704"/>
    <w:multiLevelType w:val="multilevel"/>
    <w:tmpl w:val="17D73704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1512C2"/>
    <w:multiLevelType w:val="multilevel"/>
    <w:tmpl w:val="181512C2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DB02D0"/>
    <w:multiLevelType w:val="multilevel"/>
    <w:tmpl w:val="1ADB02D0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21648C"/>
    <w:multiLevelType w:val="multilevel"/>
    <w:tmpl w:val="2E21648C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403304"/>
    <w:multiLevelType w:val="multilevel"/>
    <w:tmpl w:val="34403304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CF327C"/>
    <w:multiLevelType w:val="multilevel"/>
    <w:tmpl w:val="37CF327C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0F441A"/>
    <w:multiLevelType w:val="multilevel"/>
    <w:tmpl w:val="390F441A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72224D"/>
    <w:multiLevelType w:val="multilevel"/>
    <w:tmpl w:val="5A72224D"/>
    <w:lvl w:ilvl="0" w:tentative="0">
      <w:start w:val="1"/>
      <w:numFmt w:val="lowerLetter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B0F1F11"/>
    <w:multiLevelType w:val="multilevel"/>
    <w:tmpl w:val="5B0F1F11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FE4B87"/>
    <w:multiLevelType w:val="multilevel"/>
    <w:tmpl w:val="5CFE4B87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4D4741"/>
    <w:multiLevelType w:val="multilevel"/>
    <w:tmpl w:val="6A4D4741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6E51CE"/>
    <w:multiLevelType w:val="multilevel"/>
    <w:tmpl w:val="716E51CE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840EF5"/>
    <w:multiLevelType w:val="multilevel"/>
    <w:tmpl w:val="72840EF5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280876"/>
    <w:multiLevelType w:val="multilevel"/>
    <w:tmpl w:val="7E280876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9"/>
  </w:num>
  <w:num w:numId="3">
    <w:abstractNumId w:val="7"/>
  </w:num>
  <w:num w:numId="4">
    <w:abstractNumId w:val="15"/>
  </w:num>
  <w:num w:numId="5">
    <w:abstractNumId w:val="18"/>
  </w:num>
  <w:num w:numId="6">
    <w:abstractNumId w:val="12"/>
  </w:num>
  <w:num w:numId="7">
    <w:abstractNumId w:val="9"/>
  </w:num>
  <w:num w:numId="8">
    <w:abstractNumId w:val="13"/>
  </w:num>
  <w:num w:numId="9">
    <w:abstractNumId w:val="5"/>
  </w:num>
  <w:num w:numId="10">
    <w:abstractNumId w:val="16"/>
  </w:num>
  <w:num w:numId="11">
    <w:abstractNumId w:val="1"/>
  </w:num>
  <w:num w:numId="12">
    <w:abstractNumId w:val="6"/>
  </w:num>
  <w:num w:numId="13">
    <w:abstractNumId w:val="11"/>
  </w:num>
  <w:num w:numId="14">
    <w:abstractNumId w:val="10"/>
  </w:num>
  <w:num w:numId="15">
    <w:abstractNumId w:val="20"/>
  </w:num>
  <w:num w:numId="16">
    <w:abstractNumId w:val="4"/>
  </w:num>
  <w:num w:numId="17">
    <w:abstractNumId w:val="17"/>
  </w:num>
  <w:num w:numId="18">
    <w:abstractNumId w:val="2"/>
  </w:num>
  <w:num w:numId="19">
    <w:abstractNumId w:val="14"/>
  </w:num>
  <w:num w:numId="20">
    <w:abstractNumId w:val="8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A7B"/>
    <w:rsid w:val="00030B1B"/>
    <w:rsid w:val="00046176"/>
    <w:rsid w:val="00091DEC"/>
    <w:rsid w:val="00096E33"/>
    <w:rsid w:val="000A1ABF"/>
    <w:rsid w:val="00143DDE"/>
    <w:rsid w:val="001469A8"/>
    <w:rsid w:val="00171D95"/>
    <w:rsid w:val="001E1B1B"/>
    <w:rsid w:val="0020651D"/>
    <w:rsid w:val="00246C00"/>
    <w:rsid w:val="0032219E"/>
    <w:rsid w:val="00327F79"/>
    <w:rsid w:val="003718E8"/>
    <w:rsid w:val="003D33EA"/>
    <w:rsid w:val="004A32B0"/>
    <w:rsid w:val="0050152C"/>
    <w:rsid w:val="006D6C39"/>
    <w:rsid w:val="00745BF6"/>
    <w:rsid w:val="00745D4F"/>
    <w:rsid w:val="00777A41"/>
    <w:rsid w:val="009269E0"/>
    <w:rsid w:val="009350BC"/>
    <w:rsid w:val="00965446"/>
    <w:rsid w:val="00986A7B"/>
    <w:rsid w:val="009D31CE"/>
    <w:rsid w:val="00AA2156"/>
    <w:rsid w:val="00AE0EC3"/>
    <w:rsid w:val="00B71C40"/>
    <w:rsid w:val="00B85C4E"/>
    <w:rsid w:val="00BC484E"/>
    <w:rsid w:val="00BD1484"/>
    <w:rsid w:val="00C0656C"/>
    <w:rsid w:val="00CB71C7"/>
    <w:rsid w:val="00CE3A1D"/>
    <w:rsid w:val="00D61314"/>
    <w:rsid w:val="00DB06EE"/>
    <w:rsid w:val="00DD4745"/>
    <w:rsid w:val="00E22EB6"/>
    <w:rsid w:val="00E55AF5"/>
    <w:rsid w:val="00E65ACA"/>
    <w:rsid w:val="00E66EF2"/>
    <w:rsid w:val="00EF7421"/>
    <w:rsid w:val="00F30A4F"/>
    <w:rsid w:val="00F53D86"/>
    <w:rsid w:val="00FB3983"/>
    <w:rsid w:val="1228763D"/>
    <w:rsid w:val="592D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qFormat="1" w:uiPriority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6"/>
      <w:lang w:val="zh-CN" w:eastAsia="zh-CN"/>
    </w:rPr>
  </w:style>
  <w:style w:type="paragraph" w:styleId="11">
    <w:name w:val="Body Text 2"/>
    <w:basedOn w:val="1"/>
    <w:link w:val="23"/>
    <w:unhideWhenUsed/>
    <w:qFormat/>
    <w:uiPriority w:val="99"/>
    <w:pPr>
      <w:spacing w:after="0" w:line="360" w:lineRule="auto"/>
      <w:ind w:left="3420" w:hanging="360"/>
      <w:jc w:val="both"/>
    </w:pPr>
    <w:rPr>
      <w:rFonts w:ascii="Times New Roman" w:hAnsi="Times New Roman"/>
      <w:sz w:val="24"/>
      <w:szCs w:val="24"/>
      <w:lang w:val="id-ID" w:eastAsia="zh-CN"/>
    </w:rPr>
  </w:style>
  <w:style w:type="paragraph" w:styleId="12">
    <w:name w:val="footer"/>
    <w:basedOn w:val="1"/>
    <w:link w:val="20"/>
    <w:unhideWhenUsed/>
    <w:qFormat/>
    <w:uiPriority w:val="99"/>
    <w:pPr>
      <w:tabs>
        <w:tab w:val="center" w:pos="4680"/>
        <w:tab w:val="right" w:pos="9360"/>
      </w:tabs>
    </w:pPr>
    <w:rPr>
      <w:lang w:val="zh-CN" w:eastAsia="zh-CN"/>
    </w:rPr>
  </w:style>
  <w:style w:type="paragraph" w:styleId="13">
    <w:name w:val="header"/>
    <w:basedOn w:val="1"/>
    <w:link w:val="19"/>
    <w:unhideWhenUsed/>
    <w:qFormat/>
    <w:uiPriority w:val="99"/>
    <w:pPr>
      <w:tabs>
        <w:tab w:val="center" w:pos="4680"/>
        <w:tab w:val="right" w:pos="9360"/>
      </w:tabs>
    </w:pPr>
    <w:rPr>
      <w:lang w:val="zh-CN" w:eastAsia="zh-CN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paragraph" w:styleId="15">
    <w:name w:val="List Continue"/>
    <w:basedOn w:val="1"/>
    <w:semiHidden/>
    <w:unhideWhenUsed/>
    <w:qFormat/>
    <w:uiPriority w:val="0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7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8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9">
    <w:name w:val="Header Char"/>
    <w:link w:val="13"/>
    <w:qFormat/>
    <w:uiPriority w:val="99"/>
    <w:rPr>
      <w:rFonts w:eastAsia="Times New Roman"/>
      <w:sz w:val="22"/>
      <w:szCs w:val="22"/>
    </w:rPr>
  </w:style>
  <w:style w:type="character" w:customStyle="1" w:styleId="20">
    <w:name w:val="Footer Char"/>
    <w:link w:val="12"/>
    <w:uiPriority w:val="99"/>
    <w:rPr>
      <w:rFonts w:eastAsia="Times New Roman"/>
      <w:sz w:val="22"/>
      <w:szCs w:val="22"/>
    </w:rPr>
  </w:style>
  <w:style w:type="character" w:customStyle="1" w:styleId="21">
    <w:name w:val="Balloon Text Char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paragraph" w:customStyle="1" w:styleId="22">
    <w:name w:val="Default"/>
    <w:qFormat/>
    <w:uiPriority w:val="0"/>
    <w:pPr>
      <w:autoSpaceDE w:val="0"/>
      <w:autoSpaceDN w:val="0"/>
      <w:adjustRightInd w:val="0"/>
      <w:spacing w:after="200" w:line="276" w:lineRule="auto"/>
    </w:pPr>
    <w:rPr>
      <w:rFonts w:ascii="Arial" w:hAnsi="Arial" w:eastAsia="Calibri" w:cs="Arial"/>
      <w:color w:val="000000"/>
      <w:sz w:val="24"/>
      <w:szCs w:val="24"/>
      <w:lang w:val="en-US" w:eastAsia="id-ID" w:bidi="ar-SA"/>
    </w:rPr>
  </w:style>
  <w:style w:type="character" w:customStyle="1" w:styleId="23">
    <w:name w:val="Body Text 2 Char"/>
    <w:link w:val="11"/>
    <w:qFormat/>
    <w:uiPriority w:val="99"/>
    <w:rPr>
      <w:rFonts w:ascii="Times New Roman" w:hAnsi="Times New Roman" w:eastAsia="Times New Roman"/>
      <w:sz w:val="24"/>
      <w:szCs w:val="24"/>
      <w:lang w:val="id-ID" w:eastAsia="zh-CN"/>
    </w:rPr>
  </w:style>
  <w:style w:type="paragraph" w:styleId="24">
    <w:name w:val="List Paragraph"/>
    <w:basedOn w:val="1"/>
    <w:qFormat/>
    <w:uiPriority w:val="34"/>
    <w:pPr>
      <w:ind w:left="720"/>
      <w:contextualSpacing/>
    </w:pPr>
    <w:rPr>
      <w:lang w:val="id-ID"/>
    </w:rPr>
  </w:style>
  <w:style w:type="table" w:customStyle="1" w:styleId="25">
    <w:name w:val="_Style 24"/>
    <w:basedOn w:val="18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5"/>
    <w:basedOn w:val="18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Props1.xml><?xml version="1.0" encoding="utf-8"?>
<ds:datastoreItem xmlns:ds="http://schemas.openxmlformats.org/officeDocument/2006/customXml" ds:itemID="{C820913E-E3DF-41AB-A9BB-114CD3A2D85A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2237</Words>
  <Characters>12751</Characters>
  <Lines>106</Lines>
  <Paragraphs>29</Paragraphs>
  <TotalTime>12</TotalTime>
  <ScaleCrop>false</ScaleCrop>
  <LinksUpToDate>false</LinksUpToDate>
  <CharactersWithSpaces>14959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2024-02-22T04:41:00Z</dcterms:created>
  <dc:creator>Luthfi Fathan</dc:creator>
  <cp:lastModifiedBy>PERPUS STIFERA</cp:lastModifiedBy>
  <dcterms:modified xsi:type="dcterms:W3CDTF">2024-02-25T03:51:34Z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A709CA8AF18C4549A8F8351B3DABC9D7_13</vt:lpwstr>
  </property>
</Properties>
</file>