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19A" w:rsidRPr="008515F0" w:rsidRDefault="00CC419A" w:rsidP="00E7669C">
      <w:pPr>
        <w:rPr>
          <w:rFonts w:cstheme="minorHAnsi"/>
          <w:noProof/>
          <w:color w:val="000000"/>
          <w:lang w:val="it-IT"/>
        </w:rPr>
      </w:pPr>
      <w:bookmarkStart w:id="0" w:name="_GoBack"/>
      <w:bookmarkEnd w:id="0"/>
      <w:r w:rsidRPr="008515F0">
        <w:rPr>
          <w:noProof/>
        </w:rPr>
        <w:drawing>
          <wp:anchor distT="0" distB="0" distL="114300" distR="114300" simplePos="0" relativeHeight="251674624" behindDoc="0" locked="0" layoutInCell="1" allowOverlap="1" wp14:anchorId="52A58880" wp14:editId="33727F40">
            <wp:simplePos x="0" y="0"/>
            <wp:positionH relativeFrom="column">
              <wp:posOffset>-9800</wp:posOffset>
            </wp:positionH>
            <wp:positionV relativeFrom="paragraph">
              <wp:posOffset>-285750</wp:posOffset>
            </wp:positionV>
            <wp:extent cx="1238800" cy="476250"/>
            <wp:effectExtent l="0" t="0" r="0" b="0"/>
            <wp:wrapNone/>
            <wp:docPr id="6"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aitaly"/>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238800" cy="476250"/>
                    </a:xfrm>
                    <a:prstGeom prst="rect">
                      <a:avLst/>
                    </a:prstGeom>
                    <a:noFill/>
                    <a:ln>
                      <a:noFill/>
                    </a:ln>
                  </pic:spPr>
                </pic:pic>
              </a:graphicData>
            </a:graphic>
            <wp14:sizeRelH relativeFrom="margin">
              <wp14:pctWidth>0</wp14:pctWidth>
            </wp14:sizeRelH>
          </wp:anchor>
        </w:drawing>
      </w:r>
    </w:p>
    <w:p w:rsidR="005E55E2" w:rsidRPr="008515F0" w:rsidRDefault="005E55E2" w:rsidP="00E7669C">
      <w:pPr>
        <w:rPr>
          <w:noProof/>
          <w:lang w:val="it-IT"/>
        </w:rPr>
      </w:pPr>
    </w:p>
    <w:p w:rsidR="00D67A40" w:rsidRPr="008515F0" w:rsidRDefault="00D67A40" w:rsidP="00E7669C">
      <w:pPr>
        <w:rPr>
          <w:lang w:val="it-IT"/>
        </w:rPr>
      </w:pPr>
    </w:p>
    <w:p w:rsidR="00D67A40" w:rsidRPr="008515F0" w:rsidRDefault="00D67A40" w:rsidP="00E7669C">
      <w:pPr>
        <w:rPr>
          <w:lang w:val="it-IT"/>
        </w:rPr>
      </w:pPr>
    </w:p>
    <w:p w:rsidR="00D67A40" w:rsidRPr="008515F0" w:rsidRDefault="00D67A40" w:rsidP="00E7669C">
      <w:pPr>
        <w:rPr>
          <w:lang w:val="it-IT"/>
        </w:rPr>
      </w:pPr>
    </w:p>
    <w:p w:rsidR="00D67A40" w:rsidRPr="008515F0" w:rsidRDefault="00D67A40" w:rsidP="00E7669C">
      <w:pPr>
        <w:rPr>
          <w:lang w:val="it-IT"/>
        </w:rPr>
      </w:pPr>
    </w:p>
    <w:tbl>
      <w:tblPr>
        <w:tblpPr w:leftFromText="187" w:rightFromText="187" w:vertAnchor="page" w:horzAnchor="margin" w:tblpXSpec="right" w:tblpY="4756"/>
        <w:tblW w:w="4933" w:type="pct"/>
        <w:tblLook w:val="04A0" w:firstRow="1" w:lastRow="0" w:firstColumn="1" w:lastColumn="0" w:noHBand="0" w:noVBand="1"/>
      </w:tblPr>
      <w:tblGrid>
        <w:gridCol w:w="10172"/>
      </w:tblGrid>
      <w:tr w:rsidR="000C2B2A" w:rsidRPr="008515F0" w:rsidTr="00997992">
        <w:tc>
          <w:tcPr>
            <w:tcW w:w="10171" w:type="dxa"/>
            <w:tcMar>
              <w:top w:w="216" w:type="dxa"/>
              <w:left w:w="115" w:type="dxa"/>
              <w:bottom w:w="216" w:type="dxa"/>
              <w:right w:w="115" w:type="dxa"/>
            </w:tcMar>
          </w:tcPr>
          <w:p w:rsidR="000C2B2A" w:rsidRPr="00DA6563" w:rsidRDefault="000C2B2A" w:rsidP="000C2B2A">
            <w:pPr>
              <w:pStyle w:val="NoSpacing"/>
              <w:jc w:val="right"/>
              <w:rPr>
                <w:rFonts w:asciiTheme="majorHAnsi" w:eastAsiaTheme="majorEastAsia" w:hAnsiTheme="majorHAnsi" w:cstheme="majorHAnsi"/>
                <w:i/>
                <w:color w:val="404040" w:themeColor="text1" w:themeTint="BF"/>
                <w:sz w:val="36"/>
                <w:szCs w:val="36"/>
              </w:rPr>
            </w:pPr>
            <w:r>
              <w:rPr>
                <w:rFonts w:asciiTheme="majorHAnsi" w:eastAsiaTheme="majorEastAsia" w:hAnsiTheme="majorHAnsi" w:cstheme="majorHAnsi"/>
                <w:i/>
                <w:color w:val="0070C0"/>
                <w:sz w:val="36"/>
                <w:szCs w:val="36"/>
              </w:rPr>
              <w:t>Privacy Level Agreement Working Group</w:t>
            </w:r>
          </w:p>
        </w:tc>
      </w:tr>
      <w:tr w:rsidR="000C2B2A" w:rsidRPr="00DA6563" w:rsidTr="00997992">
        <w:tc>
          <w:tcPr>
            <w:tcW w:w="10171" w:type="dxa"/>
          </w:tcPr>
          <w:p w:rsidR="00C40241" w:rsidRDefault="000C2B2A" w:rsidP="00997992">
            <w:pPr>
              <w:pStyle w:val="NoSpacing"/>
              <w:jc w:val="right"/>
              <w:rPr>
                <w:rFonts w:asciiTheme="majorHAnsi" w:eastAsiaTheme="majorEastAsia" w:hAnsiTheme="majorHAnsi" w:cstheme="majorHAnsi"/>
                <w:sz w:val="64"/>
                <w:szCs w:val="64"/>
              </w:rPr>
            </w:pPr>
            <w:r w:rsidRPr="00997992">
              <w:rPr>
                <w:rFonts w:asciiTheme="majorHAnsi" w:eastAsiaTheme="majorEastAsia" w:hAnsiTheme="majorHAnsi" w:cstheme="majorHAnsi"/>
                <w:sz w:val="64"/>
                <w:szCs w:val="64"/>
              </w:rPr>
              <w:t xml:space="preserve">Privacy Level Agreement </w:t>
            </w:r>
          </w:p>
          <w:p w:rsidR="000C2B2A" w:rsidRPr="000C2B2A" w:rsidRDefault="000C2B2A" w:rsidP="00C40241">
            <w:pPr>
              <w:pStyle w:val="NoSpacing"/>
              <w:jc w:val="right"/>
              <w:rPr>
                <w:rFonts w:asciiTheme="majorHAnsi" w:eastAsiaTheme="majorEastAsia" w:hAnsiTheme="majorHAnsi" w:cstheme="majorHAnsi"/>
                <w:sz w:val="72"/>
                <w:szCs w:val="56"/>
              </w:rPr>
            </w:pPr>
            <w:r w:rsidRPr="00997992">
              <w:rPr>
                <w:rFonts w:asciiTheme="majorHAnsi" w:eastAsiaTheme="majorEastAsia" w:hAnsiTheme="majorHAnsi" w:cstheme="majorHAnsi"/>
                <w:sz w:val="64"/>
                <w:szCs w:val="64"/>
              </w:rPr>
              <w:t>Outline</w:t>
            </w:r>
            <w:r w:rsidR="00C40241">
              <w:rPr>
                <w:rFonts w:asciiTheme="majorHAnsi" w:eastAsiaTheme="majorEastAsia" w:hAnsiTheme="majorHAnsi" w:cstheme="majorHAnsi"/>
                <w:sz w:val="64"/>
                <w:szCs w:val="64"/>
              </w:rPr>
              <w:t xml:space="preserve"> Annex</w:t>
            </w:r>
          </w:p>
        </w:tc>
      </w:tr>
      <w:tr w:rsidR="000C2B2A" w:rsidRPr="008515F0" w:rsidTr="00997992">
        <w:tc>
          <w:tcPr>
            <w:tcW w:w="10171" w:type="dxa"/>
            <w:tcBorders>
              <w:top w:val="single" w:sz="12" w:space="0" w:color="595959" w:themeColor="text1" w:themeTint="A6"/>
            </w:tcBorders>
            <w:tcMar>
              <w:top w:w="216" w:type="dxa"/>
              <w:left w:w="115" w:type="dxa"/>
              <w:bottom w:w="216" w:type="dxa"/>
              <w:right w:w="115" w:type="dxa"/>
            </w:tcMar>
          </w:tcPr>
          <w:p w:rsidR="000C2B2A" w:rsidRPr="008515F0" w:rsidRDefault="000C2B2A" w:rsidP="000C2B2A">
            <w:pPr>
              <w:pStyle w:val="NoSpacing"/>
              <w:jc w:val="right"/>
              <w:rPr>
                <w:rFonts w:asciiTheme="majorHAnsi" w:eastAsiaTheme="majorEastAsia" w:hAnsiTheme="majorHAnsi" w:cstheme="majorHAnsi"/>
                <w:lang w:val="it-IT"/>
              </w:rPr>
            </w:pPr>
            <w:r>
              <w:rPr>
                <w:rFonts w:asciiTheme="majorHAnsi" w:eastAsiaTheme="majorEastAsia" w:hAnsiTheme="majorHAnsi" w:cstheme="majorHAnsi"/>
                <w:color w:val="A6A6A6" w:themeColor="background1" w:themeShade="A6"/>
                <w:sz w:val="28"/>
                <w:lang w:val="it-IT"/>
              </w:rPr>
              <w:t>February 2013</w:t>
            </w:r>
          </w:p>
        </w:tc>
      </w:tr>
    </w:tbl>
    <w:p w:rsidR="00D67A40" w:rsidRPr="008515F0" w:rsidRDefault="00D67A40" w:rsidP="00E7669C">
      <w:pPr>
        <w:rPr>
          <w:lang w:val="it-IT"/>
        </w:rPr>
      </w:pPr>
    </w:p>
    <w:p w:rsidR="0016554D" w:rsidRPr="008515F0" w:rsidRDefault="0016554D" w:rsidP="00E7669C">
      <w:pPr>
        <w:rPr>
          <w:lang w:val="it-IT"/>
        </w:rPr>
      </w:pPr>
    </w:p>
    <w:p w:rsidR="0016554D" w:rsidRDefault="0016554D" w:rsidP="00E7669C">
      <w:pPr>
        <w:rPr>
          <w:lang w:val="it-IT"/>
        </w:rPr>
      </w:pPr>
    </w:p>
    <w:p w:rsidR="000C2B2A" w:rsidRPr="008515F0" w:rsidRDefault="000C2B2A" w:rsidP="00E7669C">
      <w:pPr>
        <w:rPr>
          <w:lang w:val="it-IT"/>
        </w:rPr>
      </w:pPr>
    </w:p>
    <w:p w:rsidR="0016554D" w:rsidRPr="000C2B2A" w:rsidRDefault="000C2B2A" w:rsidP="000C2B2A">
      <w:pPr>
        <w:jc w:val="both"/>
        <w:rPr>
          <w:i/>
        </w:rPr>
      </w:pPr>
      <w:r w:rsidRPr="000C2B2A">
        <w:rPr>
          <w:i/>
        </w:rPr>
        <w:t xml:space="preserve">The PLA Outline </w:t>
      </w:r>
      <w:r w:rsidR="00C40241">
        <w:rPr>
          <w:i/>
        </w:rPr>
        <w:t xml:space="preserve">and Annex </w:t>
      </w:r>
      <w:r w:rsidRPr="000C2B2A">
        <w:rPr>
          <w:i/>
        </w:rPr>
        <w:t xml:space="preserve">has been developed within CSA by an expert working group comprised of representatives of cloud service providers, local data protection authorities, and independent security and privacy professionals.  The working group is co-chaired by Dr. Paolo </w:t>
      </w:r>
      <w:proofErr w:type="spellStart"/>
      <w:r w:rsidRPr="000C2B2A">
        <w:rPr>
          <w:i/>
        </w:rPr>
        <w:t>Balboni</w:t>
      </w:r>
      <w:proofErr w:type="spellEnd"/>
      <w:r w:rsidRPr="000C2B2A">
        <w:rPr>
          <w:i/>
        </w:rPr>
        <w:t xml:space="preserve"> and Francoise Gilbert, with the technical supervision of Daniele </w:t>
      </w:r>
      <w:proofErr w:type="spellStart"/>
      <w:r w:rsidRPr="000C2B2A">
        <w:rPr>
          <w:i/>
        </w:rPr>
        <w:t>Catteddu</w:t>
      </w:r>
      <w:proofErr w:type="spellEnd"/>
      <w:r w:rsidRPr="000C2B2A">
        <w:rPr>
          <w:i/>
        </w:rPr>
        <w:t>.</w:t>
      </w:r>
    </w:p>
    <w:p w:rsidR="0016554D" w:rsidRPr="000C2B2A" w:rsidRDefault="0016554D" w:rsidP="00E7669C"/>
    <w:p w:rsidR="005E55E2" w:rsidRPr="000C2B2A" w:rsidRDefault="005E55E2" w:rsidP="00E7669C"/>
    <w:p w:rsidR="005E55E2" w:rsidRDefault="005E55E2" w:rsidP="00E7669C"/>
    <w:p w:rsidR="000C2B2A" w:rsidRPr="000C2B2A" w:rsidRDefault="000C2B2A" w:rsidP="00E7669C"/>
    <w:p w:rsidR="005E55E2" w:rsidRPr="000C2B2A" w:rsidRDefault="005E55E2" w:rsidP="00E7669C"/>
    <w:p w:rsidR="005E55E2" w:rsidRPr="000C2B2A" w:rsidRDefault="005E55E2" w:rsidP="00E7669C"/>
    <w:p w:rsidR="0016554D" w:rsidRPr="000C2B2A" w:rsidRDefault="0016554D" w:rsidP="00E7669C"/>
    <w:p w:rsidR="005E55E2" w:rsidRPr="000C2B2A" w:rsidRDefault="005E55E2" w:rsidP="00E7669C"/>
    <w:p w:rsidR="005E55E2" w:rsidRPr="000C2B2A" w:rsidRDefault="005E55E2" w:rsidP="00E7669C"/>
    <w:p w:rsidR="005E55E2" w:rsidRPr="000C2B2A" w:rsidRDefault="005E55E2" w:rsidP="00E7669C"/>
    <w:p w:rsidR="005E55E2" w:rsidRPr="000C2B2A" w:rsidRDefault="005E55E2" w:rsidP="00E7669C"/>
    <w:p w:rsidR="00CC419A" w:rsidRPr="000C2B2A" w:rsidRDefault="00CC419A" w:rsidP="00E7669C"/>
    <w:p w:rsidR="00CC419A" w:rsidRDefault="00CC419A" w:rsidP="00E7669C"/>
    <w:p w:rsidR="000C2B2A" w:rsidRDefault="000C2B2A" w:rsidP="00E7669C"/>
    <w:p w:rsidR="000C2B2A" w:rsidRDefault="000C2B2A" w:rsidP="00E7669C"/>
    <w:p w:rsidR="000C2B2A" w:rsidRDefault="000C2B2A" w:rsidP="00E7669C"/>
    <w:p w:rsidR="000C2B2A" w:rsidRDefault="000C2B2A" w:rsidP="00E7669C"/>
    <w:p w:rsidR="00997992" w:rsidRDefault="00997992" w:rsidP="00E7669C"/>
    <w:p w:rsidR="000C2B2A" w:rsidRDefault="000C2B2A" w:rsidP="00E7669C"/>
    <w:p w:rsidR="000C2B2A" w:rsidRPr="000C2B2A" w:rsidRDefault="000C2B2A" w:rsidP="00E7669C"/>
    <w:p w:rsidR="00DA6563" w:rsidRPr="004876D6" w:rsidRDefault="00DA6563" w:rsidP="00DA6563">
      <w:r w:rsidRPr="004876D6">
        <w:t>© 201</w:t>
      </w:r>
      <w:r w:rsidR="000C2B2A">
        <w:t>3</w:t>
      </w:r>
      <w:r w:rsidRPr="004876D6">
        <w:t xml:space="preserve"> Cloud Security Alliance</w:t>
      </w:r>
      <w:r w:rsidR="00997992">
        <w:t xml:space="preserve"> – All Rights Reserved</w:t>
      </w:r>
    </w:p>
    <w:p w:rsidR="00997992" w:rsidRDefault="00997992" w:rsidP="00997992">
      <w:r>
        <w:t xml:space="preserve">You may download, store, display on your computer, view, print, and link to this PLA Working Group Privacy Level Agreement Outline available at </w:t>
      </w:r>
      <w:hyperlink r:id="rId10" w:history="1">
        <w:r w:rsidR="00770BCD" w:rsidRPr="00300A87">
          <w:rPr>
            <w:rStyle w:val="Hyperlink"/>
            <w:rFonts w:asciiTheme="minorHAnsi" w:hAnsiTheme="minorHAnsi" w:cstheme="minorBidi"/>
          </w:rPr>
          <w:t>https://cloudsecurityalliance.org/pla</w:t>
        </w:r>
      </w:hyperlink>
      <w:r>
        <w:t>, subject to the following.</w:t>
      </w:r>
    </w:p>
    <w:p w:rsidR="000C2B2A" w:rsidRDefault="00997992" w:rsidP="00997992">
      <w:proofErr w:type="gramStart"/>
      <w:r>
        <w:t xml:space="preserve">(a) This PLA Working Group Privacy Level Agreement Outline (February 2013 draft) may be used solely for your personal, informational, non-commercial use; (b) it may not be modified in any way; (c) it may not be redistributed, but you are permitted to link to the document as posted on the </w:t>
      </w:r>
      <w:hyperlink r:id="rId11" w:history="1">
        <w:r w:rsidR="00770BCD" w:rsidRPr="00300A87">
          <w:rPr>
            <w:rStyle w:val="Hyperlink"/>
            <w:rFonts w:asciiTheme="minorHAnsi" w:hAnsiTheme="minorHAnsi" w:cstheme="minorBidi"/>
          </w:rPr>
          <w:t>https://cloudsecurityalliance.org/</w:t>
        </w:r>
      </w:hyperlink>
      <w:r w:rsidR="00770BCD">
        <w:t xml:space="preserve"> </w:t>
      </w:r>
      <w:r>
        <w:t xml:space="preserve">website; (d) the trademark, copyright or other notices set forth in this document may not be removed, (e) if you, your company, or your organization wishes to make disclosures that follow this Outline, you way use the editable version of the PLA Outline (which is set forth in Annex I to this document, page 16 to 21), which is available at </w:t>
      </w:r>
      <w:hyperlink r:id="rId12" w:history="1">
        <w:r w:rsidR="00770BCD" w:rsidRPr="00300A87">
          <w:rPr>
            <w:rStyle w:val="Hyperlink"/>
            <w:rFonts w:asciiTheme="minorHAnsi" w:hAnsiTheme="minorHAnsi" w:cstheme="minorBidi"/>
          </w:rPr>
          <w:t>https://cloudsecurityalliance.org/pla</w:t>
        </w:r>
      </w:hyperlink>
      <w:r>
        <w:t>, as the template for making the disclosures intended by this Privacy Level Agreement Outline.</w:t>
      </w:r>
      <w:proofErr w:type="gramEnd"/>
    </w:p>
    <w:p w:rsidR="000C2B2A" w:rsidRPr="00BB22D2" w:rsidRDefault="000C2B2A" w:rsidP="000C2B2A">
      <w:pPr>
        <w:pStyle w:val="Normal1"/>
      </w:pPr>
      <w:bookmarkStart w:id="1" w:name="_Toc326502930"/>
      <w:bookmarkStart w:id="2" w:name="_Toc330244121"/>
    </w:p>
    <w:bookmarkEnd w:id="1"/>
    <w:bookmarkEnd w:id="2"/>
    <w:p w:rsidR="0045486C" w:rsidRDefault="0045486C">
      <w:r>
        <w:br w:type="page"/>
      </w:r>
    </w:p>
    <w:p w:rsidR="000C2B2A" w:rsidRDefault="0045486C" w:rsidP="00C40241">
      <w:pPr>
        <w:pStyle w:val="Heading1"/>
        <w:numPr>
          <w:ilvl w:val="0"/>
          <w:numId w:val="0"/>
        </w:numPr>
        <w:ind w:left="450" w:hanging="450"/>
      </w:pPr>
      <w:bookmarkStart w:id="3" w:name="_Toc349466854"/>
      <w:r>
        <w:lastRenderedPageBreak/>
        <w:t>Annex I to the Privacy Level Agreement Outline</w:t>
      </w:r>
      <w:bookmarkEnd w:id="3"/>
    </w:p>
    <w:tbl>
      <w:tblPr>
        <w:tblStyle w:val="TableGrid"/>
        <w:tblpPr w:leftFromText="180" w:rightFromText="180" w:vertAnchor="text" w:tblpX="115" w:tblpY="1"/>
        <w:tblOverlap w:val="never"/>
        <w:tblW w:w="0" w:type="auto"/>
        <w:tblBorders>
          <w:top w:val="single" w:sz="8" w:space="0" w:color="00549F"/>
          <w:left w:val="single" w:sz="8" w:space="0" w:color="00549F"/>
          <w:bottom w:val="single" w:sz="8" w:space="0" w:color="00549F"/>
          <w:right w:val="single" w:sz="8" w:space="0" w:color="00549F"/>
          <w:insideH w:val="single" w:sz="8" w:space="0" w:color="00549F"/>
          <w:insideV w:val="single" w:sz="8" w:space="0" w:color="00549F"/>
        </w:tblBorders>
        <w:tblLayout w:type="fixed"/>
        <w:tblLook w:val="0600" w:firstRow="0" w:lastRow="0" w:firstColumn="0" w:lastColumn="0" w:noHBand="1" w:noVBand="1"/>
      </w:tblPr>
      <w:tblGrid>
        <w:gridCol w:w="4050"/>
        <w:gridCol w:w="6145"/>
      </w:tblGrid>
      <w:tr w:rsidR="0045486C" w:rsidRPr="007B3A83" w:rsidTr="00D9083E">
        <w:tc>
          <w:tcPr>
            <w:tcW w:w="4050" w:type="dxa"/>
            <w:shd w:val="clear" w:color="auto" w:fill="auto"/>
          </w:tcPr>
          <w:p w:rsidR="0045486C" w:rsidRPr="0038328E" w:rsidRDefault="0045486C" w:rsidP="001D5BEA">
            <w:pPr>
              <w:rPr>
                <w:rFonts w:ascii="Calibri" w:hAnsi="Calibri"/>
                <w:b/>
                <w:color w:val="00549F"/>
                <w:lang w:val="en-US"/>
              </w:rPr>
            </w:pPr>
            <w:r w:rsidRPr="0038328E">
              <w:rPr>
                <w:rFonts w:ascii="Calibri" w:hAnsi="Calibri"/>
                <w:b/>
                <w:color w:val="00549F"/>
                <w:lang w:val="en-US"/>
              </w:rPr>
              <w:t>1. IDENTITY OF THE CSP (AND OF REPRESENTATIVE IN THE EU AS APPLICABLE), ITS ROLE, AND THE CONTACT INFORMATION OF THE DATA PROTECTION OFFICER AND THE INFORMATION SECURITY OFFICER</w:t>
            </w:r>
          </w:p>
        </w:tc>
        <w:tc>
          <w:tcPr>
            <w:tcW w:w="6145" w:type="dxa"/>
            <w:shd w:val="clear" w:color="auto" w:fill="auto"/>
          </w:tcPr>
          <w:p w:rsidR="0045486C" w:rsidRPr="0045486C" w:rsidRDefault="0045486C" w:rsidP="001D5BEA">
            <w:pPr>
              <w:spacing w:before="100" w:after="100" w:line="276" w:lineRule="auto"/>
              <w:contextualSpacing/>
              <w:jc w:val="both"/>
              <w:rPr>
                <w:rFonts w:ascii="Calibri" w:hAnsi="Calibri"/>
                <w:b/>
                <w:i/>
                <w:sz w:val="18"/>
                <w:szCs w:val="18"/>
                <w:lang w:val="en-US"/>
              </w:rPr>
            </w:pPr>
            <w:r w:rsidRPr="0045486C">
              <w:rPr>
                <w:rFonts w:ascii="Calibri" w:hAnsi="Calibri"/>
                <w:i/>
                <w:sz w:val="18"/>
                <w:szCs w:val="18"/>
                <w:lang w:val="en-US"/>
              </w:rPr>
              <w:t>Specify:</w:t>
            </w:r>
          </w:p>
          <w:p w:rsidR="0045486C" w:rsidRPr="0045486C" w:rsidRDefault="0045486C" w:rsidP="001D5BEA">
            <w:pPr>
              <w:spacing w:before="100" w:after="100" w:line="276" w:lineRule="auto"/>
              <w:contextualSpacing/>
              <w:jc w:val="both"/>
              <w:rPr>
                <w:rFonts w:ascii="Calibri" w:hAnsi="Calibri"/>
                <w:b/>
                <w:i/>
                <w:sz w:val="18"/>
                <w:szCs w:val="18"/>
                <w:lang w:val="en-US"/>
              </w:rPr>
            </w:pPr>
            <w:r w:rsidRPr="0045486C">
              <w:rPr>
                <w:rFonts w:ascii="Calibri" w:hAnsi="Calibri" w:hint="eastAsia"/>
                <w:i/>
                <w:sz w:val="18"/>
                <w:szCs w:val="18"/>
                <w:lang w:val="en-US"/>
              </w:rPr>
              <w:t>-</w:t>
            </w:r>
            <w:r w:rsidRPr="0045486C">
              <w:rPr>
                <w:rFonts w:ascii="Calibri" w:hAnsi="Calibri" w:hint="eastAsia"/>
                <w:i/>
                <w:sz w:val="18"/>
                <w:szCs w:val="18"/>
                <w:lang w:val="en-US"/>
              </w:rPr>
              <w:tab/>
              <w:t>CSP name, address, and place of establishment;</w:t>
            </w:r>
          </w:p>
          <w:p w:rsidR="0045486C" w:rsidRPr="0045486C" w:rsidRDefault="0045486C" w:rsidP="001D5BEA">
            <w:pPr>
              <w:spacing w:before="100" w:after="100" w:line="276" w:lineRule="auto"/>
              <w:contextualSpacing/>
              <w:jc w:val="both"/>
              <w:rPr>
                <w:rFonts w:ascii="Calibri" w:hAnsi="Calibri"/>
                <w:b/>
                <w:i/>
                <w:sz w:val="18"/>
                <w:szCs w:val="18"/>
                <w:lang w:val="en-US"/>
              </w:rPr>
            </w:pPr>
            <w:r w:rsidRPr="0045486C">
              <w:rPr>
                <w:rFonts w:ascii="Calibri" w:hAnsi="Calibri" w:hint="eastAsia"/>
                <w:i/>
                <w:sz w:val="18"/>
                <w:szCs w:val="18"/>
                <w:lang w:val="en-US"/>
              </w:rPr>
              <w:t>-</w:t>
            </w:r>
            <w:r w:rsidRPr="0045486C">
              <w:rPr>
                <w:rFonts w:ascii="Calibri" w:hAnsi="Calibri" w:hint="eastAsia"/>
                <w:i/>
                <w:sz w:val="18"/>
                <w:szCs w:val="18"/>
                <w:lang w:val="en-US"/>
              </w:rPr>
              <w:tab/>
              <w:t>Its local representative(s) (e.g. a local representative in the EU);</w:t>
            </w:r>
          </w:p>
          <w:p w:rsidR="0045486C" w:rsidRPr="0045486C" w:rsidRDefault="0045486C" w:rsidP="001D5BEA">
            <w:pPr>
              <w:spacing w:before="100" w:after="100" w:line="276" w:lineRule="auto"/>
              <w:ind w:left="709" w:hanging="709"/>
              <w:contextualSpacing/>
              <w:jc w:val="both"/>
              <w:rPr>
                <w:rFonts w:ascii="Calibri" w:hAnsi="Calibri"/>
                <w:b/>
                <w:i/>
                <w:sz w:val="18"/>
                <w:szCs w:val="18"/>
                <w:lang w:val="en-US"/>
              </w:rPr>
            </w:pPr>
            <w:r w:rsidRPr="0045486C">
              <w:rPr>
                <w:rFonts w:ascii="Calibri" w:hAnsi="Calibri" w:hint="eastAsia"/>
                <w:i/>
                <w:sz w:val="18"/>
                <w:szCs w:val="18"/>
                <w:lang w:val="en-US"/>
              </w:rPr>
              <w:t>-</w:t>
            </w:r>
            <w:r w:rsidRPr="0045486C">
              <w:rPr>
                <w:rFonts w:ascii="Calibri" w:hAnsi="Calibri" w:hint="eastAsia"/>
                <w:i/>
                <w:sz w:val="18"/>
                <w:szCs w:val="18"/>
                <w:lang w:val="en-US"/>
              </w:rPr>
              <w:tab/>
              <w:t xml:space="preserve">Its data protection role in the relevant processing (i.e., controller, joint-controller, processor, or </w:t>
            </w:r>
            <w:proofErr w:type="spellStart"/>
            <w:r w:rsidRPr="0045486C">
              <w:rPr>
                <w:rFonts w:ascii="Calibri" w:hAnsi="Calibri" w:hint="eastAsia"/>
                <w:i/>
                <w:sz w:val="18"/>
                <w:szCs w:val="18"/>
                <w:lang w:val="en-US"/>
              </w:rPr>
              <w:t>subprocessor</w:t>
            </w:r>
            <w:proofErr w:type="spellEnd"/>
            <w:r w:rsidRPr="0045486C">
              <w:rPr>
                <w:rFonts w:ascii="Calibri" w:hAnsi="Calibri" w:hint="eastAsia"/>
                <w:i/>
                <w:sz w:val="18"/>
                <w:szCs w:val="18"/>
                <w:lang w:val="en-US"/>
              </w:rPr>
              <w:t xml:space="preserve">); </w:t>
            </w:r>
          </w:p>
          <w:p w:rsidR="0045486C" w:rsidRPr="0045486C" w:rsidRDefault="0045486C" w:rsidP="001D5BEA">
            <w:pPr>
              <w:spacing w:before="100" w:after="100" w:line="276" w:lineRule="auto"/>
              <w:ind w:left="709" w:hanging="709"/>
              <w:contextualSpacing/>
              <w:jc w:val="both"/>
              <w:rPr>
                <w:rFonts w:ascii="Calibri" w:hAnsi="Calibri"/>
                <w:b/>
                <w:i/>
                <w:sz w:val="18"/>
                <w:szCs w:val="18"/>
                <w:lang w:val="en-US"/>
              </w:rPr>
            </w:pPr>
            <w:r w:rsidRPr="0045486C">
              <w:rPr>
                <w:rFonts w:ascii="Calibri" w:hAnsi="Calibri" w:hint="eastAsia"/>
                <w:i/>
                <w:sz w:val="18"/>
                <w:szCs w:val="18"/>
                <w:lang w:val="en-US"/>
              </w:rPr>
              <w:t>-</w:t>
            </w:r>
            <w:r w:rsidRPr="0045486C">
              <w:rPr>
                <w:rFonts w:ascii="Calibri" w:hAnsi="Calibri" w:hint="eastAsia"/>
                <w:i/>
                <w:sz w:val="18"/>
                <w:szCs w:val="18"/>
                <w:lang w:val="en-US"/>
              </w:rPr>
              <w:tab/>
              <w:t>Contact details of the Data Protection Officer or, if there is no DPO, the contact details of the individual in charge of privacy matters to whom the customer may address requests.</w:t>
            </w:r>
          </w:p>
          <w:p w:rsidR="0045486C" w:rsidRPr="0045486C" w:rsidRDefault="0045486C" w:rsidP="001D5BEA">
            <w:pPr>
              <w:spacing w:before="100" w:after="100" w:line="276" w:lineRule="auto"/>
              <w:ind w:left="709" w:hanging="709"/>
              <w:contextualSpacing/>
              <w:jc w:val="both"/>
              <w:rPr>
                <w:rFonts w:ascii="Calibri" w:hAnsi="Calibri"/>
                <w:b/>
                <w:i/>
                <w:sz w:val="18"/>
                <w:szCs w:val="18"/>
                <w:lang w:val="en-US"/>
              </w:rPr>
            </w:pPr>
            <w:r w:rsidRPr="0045486C">
              <w:rPr>
                <w:rFonts w:ascii="Calibri" w:hAnsi="Calibri" w:hint="eastAsia"/>
                <w:i/>
                <w:sz w:val="18"/>
                <w:szCs w:val="18"/>
                <w:lang w:val="en-US"/>
              </w:rPr>
              <w:t>-</w:t>
            </w:r>
            <w:r w:rsidRPr="0045486C">
              <w:rPr>
                <w:rFonts w:ascii="Calibri" w:hAnsi="Calibri" w:hint="eastAsia"/>
                <w:i/>
                <w:sz w:val="18"/>
                <w:szCs w:val="18"/>
                <w:lang w:val="en-US"/>
              </w:rPr>
              <w:tab/>
              <w:t xml:space="preserve">Contact details of the Information Security Officer, if there is no ISO, the contact details of the individual in charge of </w:t>
            </w:r>
            <w:r w:rsidRPr="0045486C">
              <w:rPr>
                <w:rFonts w:ascii="Calibri" w:hAnsi="Calibri"/>
                <w:i/>
                <w:sz w:val="18"/>
                <w:szCs w:val="18"/>
                <w:lang w:val="en-US"/>
              </w:rPr>
              <w:t>security</w:t>
            </w:r>
            <w:r w:rsidRPr="0045486C">
              <w:rPr>
                <w:rFonts w:ascii="Calibri" w:hAnsi="Calibri" w:hint="eastAsia"/>
                <w:i/>
                <w:sz w:val="18"/>
                <w:szCs w:val="18"/>
                <w:lang w:val="en-US"/>
              </w:rPr>
              <w:t xml:space="preserve"> matters to whom the customer may address requests.</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ind w:left="720" w:hanging="720"/>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rPr>
                <w:rFonts w:ascii="Calibri" w:hAnsi="Calibri"/>
                <w:b/>
                <w:color w:val="00549F"/>
                <w:lang w:val="en-US"/>
              </w:rPr>
            </w:pPr>
            <w:r w:rsidRPr="0045486C">
              <w:rPr>
                <w:rFonts w:ascii="Calibri" w:hAnsi="Calibri"/>
                <w:b/>
                <w:color w:val="00549F"/>
                <w:lang w:val="en-US"/>
              </w:rPr>
              <w:t xml:space="preserve">2. CATEGORIES OF PERSONAL DATA THAT THE CUSTOMER IS PROHIBITED FROM SENDING TO OR PROCESSING IN THE CLOUD </w:t>
            </w:r>
          </w:p>
        </w:tc>
        <w:tc>
          <w:tcPr>
            <w:tcW w:w="6145" w:type="dxa"/>
            <w:shd w:val="clear" w:color="auto" w:fill="auto"/>
          </w:tcPr>
          <w:p w:rsidR="0045486C" w:rsidRPr="0026072E" w:rsidRDefault="0045486C" w:rsidP="001D5BEA">
            <w:pPr>
              <w:spacing w:before="100" w:after="100" w:line="276" w:lineRule="auto"/>
              <w:jc w:val="both"/>
              <w:rPr>
                <w:rFonts w:ascii="Calibri" w:hAnsi="Calibri"/>
                <w:i/>
                <w:sz w:val="18"/>
                <w:szCs w:val="18"/>
                <w:lang w:val="en-US"/>
              </w:rPr>
            </w:pPr>
            <w:r w:rsidRPr="00E777E5">
              <w:rPr>
                <w:rFonts w:ascii="Calibri" w:hAnsi="Calibri"/>
                <w:i/>
                <w:sz w:val="18"/>
                <w:szCs w:val="18"/>
                <w:lang w:val="en-US"/>
              </w:rPr>
              <w:t>Specify which categories of personal data the customer is prohibited from sending to or processing in the cloud (e.g., health-related data).</w:t>
            </w:r>
          </w:p>
        </w:tc>
      </w:tr>
      <w:tr w:rsidR="0045486C" w:rsidRPr="007B3A83" w:rsidTr="00D9083E">
        <w:trPr>
          <w:trHeight w:val="540"/>
        </w:trPr>
        <w:tc>
          <w:tcPr>
            <w:tcW w:w="10195" w:type="dxa"/>
            <w:gridSpan w:val="2"/>
            <w:shd w:val="clear" w:color="auto" w:fill="auto"/>
          </w:tcPr>
          <w:p w:rsidR="0045486C" w:rsidRPr="0045486C" w:rsidRDefault="0045486C" w:rsidP="001D5BEA">
            <w:pPr>
              <w:spacing w:line="276" w:lineRule="auto"/>
              <w:rPr>
                <w:rFonts w:ascii="Calibri" w:hAnsi="Calibri" w:cs="Lucida Grande"/>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rPr>
                <w:rFonts w:ascii="Calibri" w:hAnsi="Calibri"/>
                <w:color w:val="00549F"/>
                <w:lang w:val="en-US"/>
              </w:rPr>
            </w:pPr>
            <w:r w:rsidRPr="0045486C">
              <w:rPr>
                <w:rFonts w:ascii="Calibri" w:hAnsi="Calibri"/>
                <w:b/>
                <w:color w:val="00549F"/>
                <w:lang w:val="en-US"/>
              </w:rPr>
              <w:t>3. WAYS IN WHICH THE DATA WILL BE PROCESSED</w:t>
            </w:r>
            <w:r w:rsidRPr="0045486C">
              <w:rPr>
                <w:rFonts w:ascii="Calibri" w:hAnsi="Calibri"/>
                <w:color w:val="00549F"/>
                <w:lang w:val="en-US"/>
              </w:rPr>
              <w:t xml:space="preserve">. </w:t>
            </w:r>
          </w:p>
          <w:p w:rsidR="0045486C" w:rsidRPr="0045486C" w:rsidRDefault="0045486C" w:rsidP="001D5BEA">
            <w:pPr>
              <w:spacing w:before="100" w:after="100"/>
              <w:jc w:val="both"/>
              <w:rPr>
                <w:rFonts w:ascii="Calibri" w:hAnsi="Calibri"/>
                <w:color w:val="00549F"/>
                <w:lang w:val="en-US"/>
              </w:rPr>
            </w:pPr>
          </w:p>
          <w:p w:rsidR="0045486C" w:rsidRPr="0045486C" w:rsidRDefault="0045486C" w:rsidP="001D5BEA">
            <w:pPr>
              <w:spacing w:before="100" w:after="100"/>
              <w:jc w:val="both"/>
              <w:rPr>
                <w:rFonts w:ascii="Calibri" w:hAnsi="Calibri"/>
                <w:color w:val="00549F"/>
                <w:lang w:val="en-US"/>
              </w:rPr>
            </w:pPr>
          </w:p>
        </w:tc>
        <w:tc>
          <w:tcPr>
            <w:tcW w:w="6145" w:type="dxa"/>
            <w:shd w:val="clear" w:color="auto" w:fill="auto"/>
          </w:tcPr>
          <w:p w:rsidR="0045486C" w:rsidRPr="00CD301C" w:rsidRDefault="0045486C" w:rsidP="001D5BEA">
            <w:pPr>
              <w:spacing w:before="100" w:after="100" w:line="276" w:lineRule="auto"/>
              <w:jc w:val="both"/>
              <w:rPr>
                <w:rFonts w:ascii="Calibri" w:hAnsi="Calibri"/>
                <w:i/>
                <w:sz w:val="18"/>
                <w:szCs w:val="18"/>
                <w:lang w:val="en-US"/>
              </w:rPr>
            </w:pPr>
            <w:r>
              <w:rPr>
                <w:rFonts w:ascii="Calibri" w:hAnsi="Calibri"/>
                <w:i/>
                <w:sz w:val="18"/>
                <w:szCs w:val="18"/>
                <w:lang w:val="en-US"/>
              </w:rPr>
              <w:t>If the CSP is a processor, p</w:t>
            </w:r>
            <w:r w:rsidRPr="00CD301C">
              <w:rPr>
                <w:rFonts w:ascii="Calibri" w:hAnsi="Calibri"/>
                <w:i/>
                <w:sz w:val="18"/>
                <w:szCs w:val="18"/>
                <w:lang w:val="en-US"/>
              </w:rPr>
              <w:t xml:space="preserve">rovide details on the extent and modalities in which the customer-data controller can issue its instructions to the CSP-data processor.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If applicable, distinguish activities that are conducted on the customer’s behalf to provide the agreed cloud service(s) (e.g., storage of data), activities that are conducted at the customer’s request (e.g., report preparation or production) and those that are conducted at the CSP’s initiative (e.g., back-up, disaster recovery, fraud monitoring).</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Specify how the cloud customer will be informed about relevant changes concerning the relevant cloud service(s) such as the implementation of additional functions.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3.a – Personal data location</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Specify the location(s) of all data centers where </w:t>
            </w:r>
            <w:r>
              <w:rPr>
                <w:rFonts w:ascii="Calibri" w:hAnsi="Calibri"/>
                <w:i/>
                <w:sz w:val="18"/>
                <w:szCs w:val="18"/>
                <w:lang w:val="en-US"/>
              </w:rPr>
              <w:t>personal data may be processed,</w:t>
            </w:r>
            <w:r w:rsidRPr="00CD301C">
              <w:rPr>
                <w:rFonts w:ascii="Calibri" w:hAnsi="Calibri"/>
                <w:i/>
                <w:sz w:val="18"/>
                <w:szCs w:val="18"/>
                <w:lang w:val="en-US"/>
              </w:rPr>
              <w:t xml:space="preserve"> and in particular, where and how they may be stored, mirrored, backed-up, and recovered.</w:t>
            </w:r>
          </w:p>
          <w:p w:rsidR="0045486C" w:rsidRPr="00CD301C" w:rsidRDefault="0045486C" w:rsidP="001D5BEA">
            <w:pPr>
              <w:spacing w:before="100" w:after="100" w:line="276" w:lineRule="auto"/>
              <w:jc w:val="both"/>
              <w:rPr>
                <w:rFonts w:ascii="Calibri" w:hAnsi="Calibri"/>
                <w:i/>
                <w:sz w:val="18"/>
                <w:szCs w:val="18"/>
                <w:lang w:val="en-US"/>
              </w:rPr>
            </w:pP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3.b – Subcontractors</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Identify the subcontractors and </w:t>
            </w:r>
            <w:proofErr w:type="spellStart"/>
            <w:r w:rsidRPr="00CD301C">
              <w:rPr>
                <w:rFonts w:ascii="Calibri" w:hAnsi="Calibri"/>
                <w:i/>
                <w:sz w:val="18"/>
                <w:szCs w:val="18"/>
                <w:lang w:val="en-US"/>
              </w:rPr>
              <w:t>subprocessors</w:t>
            </w:r>
            <w:proofErr w:type="spellEnd"/>
            <w:r w:rsidRPr="00CD301C">
              <w:rPr>
                <w:rFonts w:ascii="Calibri" w:hAnsi="Calibri"/>
                <w:i/>
                <w:sz w:val="18"/>
                <w:szCs w:val="18"/>
                <w:lang w:val="en-US"/>
              </w:rPr>
              <w:t xml:space="preserve"> that participate in the data </w:t>
            </w:r>
            <w:r w:rsidRPr="00CD301C">
              <w:rPr>
                <w:rFonts w:ascii="Calibri" w:hAnsi="Calibri"/>
                <w:i/>
                <w:sz w:val="18"/>
                <w:szCs w:val="18"/>
                <w:lang w:val="en-US"/>
              </w:rPr>
              <w:lastRenderedPageBreak/>
              <w:t xml:space="preserve">processing, the chain of accountability and approach used to ensure that data protection requirements are fulfilled.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Identify the procedures used to inform the cloud customer of any intended changes concerning the addition or replacement of subcontractors or </w:t>
            </w:r>
            <w:proofErr w:type="spellStart"/>
            <w:r w:rsidRPr="00CD301C">
              <w:rPr>
                <w:rFonts w:ascii="Calibri" w:hAnsi="Calibri"/>
                <w:i/>
                <w:sz w:val="18"/>
                <w:szCs w:val="18"/>
                <w:lang w:val="en-US"/>
              </w:rPr>
              <w:t>subprocessors</w:t>
            </w:r>
            <w:proofErr w:type="spellEnd"/>
            <w:r w:rsidRPr="00CD301C">
              <w:rPr>
                <w:rFonts w:ascii="Calibri" w:hAnsi="Calibri"/>
                <w:i/>
                <w:sz w:val="18"/>
                <w:szCs w:val="18"/>
                <w:lang w:val="en-US"/>
              </w:rPr>
              <w:t xml:space="preserve"> with the cloud customers retaining at all times the possibility to object to such changes or to terminate the contract.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 xml:space="preserve"> </w:t>
            </w:r>
          </w:p>
          <w:p w:rsidR="0045486C" w:rsidRPr="00CD301C" w:rsidRDefault="0045486C" w:rsidP="001D5BEA">
            <w:pPr>
              <w:spacing w:before="100" w:after="100" w:line="276" w:lineRule="auto"/>
              <w:jc w:val="both"/>
              <w:rPr>
                <w:rFonts w:ascii="Calibri" w:hAnsi="Calibri"/>
                <w:i/>
                <w:sz w:val="18"/>
                <w:szCs w:val="18"/>
                <w:lang w:val="en-US"/>
              </w:rPr>
            </w:pPr>
            <w:r w:rsidRPr="00CD301C">
              <w:rPr>
                <w:rFonts w:ascii="Calibri" w:hAnsi="Calibri"/>
                <w:i/>
                <w:sz w:val="18"/>
                <w:szCs w:val="18"/>
                <w:lang w:val="en-US"/>
              </w:rPr>
              <w:t>3.c – Installation of software on cloud customer’s system</w:t>
            </w:r>
          </w:p>
          <w:p w:rsidR="0045486C" w:rsidRPr="007B3A83" w:rsidRDefault="0045486C" w:rsidP="001D5BEA">
            <w:pPr>
              <w:spacing w:before="100" w:after="100" w:line="276" w:lineRule="auto"/>
              <w:jc w:val="both"/>
              <w:rPr>
                <w:rFonts w:ascii="Calibri" w:hAnsi="Calibri"/>
                <w:lang w:val="en-US"/>
              </w:rPr>
            </w:pPr>
            <w:r w:rsidRPr="00CD301C">
              <w:rPr>
                <w:rFonts w:ascii="Calibri" w:hAnsi="Calibri"/>
                <w:i/>
                <w:sz w:val="18"/>
                <w:szCs w:val="18"/>
                <w:lang w:val="en-US"/>
              </w:rPr>
              <w:t>Indicate whether the provision of the service requires the installation of software on the cloud customer’s system (e.g., browser plug-ins) and its implications from a data protection a</w:t>
            </w:r>
            <w:r>
              <w:rPr>
                <w:rFonts w:ascii="Calibri" w:hAnsi="Calibri"/>
                <w:i/>
                <w:sz w:val="18"/>
                <w:szCs w:val="18"/>
                <w:lang w:val="en-US"/>
              </w:rPr>
              <w:t>nd data security point of view.</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color w:val="00549F"/>
                <w:lang w:val="en-US"/>
              </w:rPr>
            </w:pPr>
            <w:r w:rsidRPr="0045486C">
              <w:rPr>
                <w:rFonts w:ascii="Calibri" w:hAnsi="Calibri"/>
                <w:b/>
                <w:color w:val="00549F"/>
                <w:lang w:val="en-US"/>
              </w:rPr>
              <w:t>4. DATA TRANSFER</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2F632A" w:rsidRDefault="0045486C" w:rsidP="001D5BEA">
            <w:pPr>
              <w:spacing w:before="100" w:after="100" w:line="276" w:lineRule="auto"/>
              <w:jc w:val="both"/>
              <w:rPr>
                <w:rFonts w:ascii="Calibri" w:hAnsi="Calibri"/>
                <w:i/>
                <w:sz w:val="18"/>
                <w:szCs w:val="18"/>
                <w:lang w:val="en-US"/>
              </w:rPr>
            </w:pPr>
            <w:r w:rsidRPr="002F632A">
              <w:rPr>
                <w:rFonts w:ascii="Calibri" w:hAnsi="Calibri"/>
                <w:i/>
                <w:sz w:val="18"/>
                <w:szCs w:val="18"/>
                <w:lang w:val="en-US"/>
              </w:rPr>
              <w:t>Indicate whether data might be transferred, backed-up and/or recovered across borders, in the regular course of operations or in an emergency.</w:t>
            </w:r>
            <w:r w:rsidR="002C6AA8">
              <w:rPr>
                <w:rFonts w:ascii="Calibri" w:hAnsi="Calibri"/>
                <w:i/>
                <w:sz w:val="18"/>
                <w:szCs w:val="18"/>
                <w:lang w:val="en-US"/>
              </w:rPr>
              <w:t xml:space="preserve">  </w:t>
            </w:r>
            <w:r w:rsidRPr="002F632A">
              <w:rPr>
                <w:rFonts w:ascii="Calibri" w:hAnsi="Calibri"/>
                <w:i/>
                <w:sz w:val="18"/>
                <w:szCs w:val="18"/>
                <w:lang w:val="en-US"/>
              </w:rPr>
              <w:t xml:space="preserve">If such transfer is restricted under applicable laws, identify the legal ground for the transfer (including onward transfers through several layers of subcontractors). </w:t>
            </w:r>
          </w:p>
          <w:p w:rsidR="0045486C" w:rsidRPr="002F632A" w:rsidRDefault="0045486C" w:rsidP="001D5BEA">
            <w:pPr>
              <w:spacing w:before="100" w:after="100" w:line="276" w:lineRule="auto"/>
              <w:jc w:val="both"/>
              <w:rPr>
                <w:rFonts w:ascii="Calibri" w:hAnsi="Calibri"/>
                <w:i/>
                <w:sz w:val="18"/>
                <w:szCs w:val="18"/>
                <w:lang w:val="en-US"/>
              </w:rPr>
            </w:pPr>
            <w:r w:rsidRPr="002F632A">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2F632A">
              <w:rPr>
                <w:rFonts w:ascii="Calibri" w:hAnsi="Calibri"/>
                <w:i/>
                <w:sz w:val="18"/>
                <w:szCs w:val="18"/>
                <w:lang w:val="en-US"/>
              </w:rPr>
              <w:t xml:space="preserve">Indicate whether data are to be transferred outside the European Economic Area. </w:t>
            </w:r>
            <w:r>
              <w:rPr>
                <w:rFonts w:ascii="Calibri" w:hAnsi="Calibri"/>
                <w:i/>
                <w:sz w:val="18"/>
                <w:szCs w:val="18"/>
                <w:lang w:val="en-US"/>
              </w:rPr>
              <w:t xml:space="preserve"> </w:t>
            </w:r>
            <w:r w:rsidRPr="002F632A">
              <w:rPr>
                <w:rFonts w:ascii="Calibri" w:hAnsi="Calibri"/>
                <w:i/>
                <w:sz w:val="18"/>
                <w:szCs w:val="18"/>
                <w:lang w:val="en-US"/>
              </w:rPr>
              <w:t xml:space="preserve">If such transfer takes place, identify on which legal ground: e.g., adequacy decision, model contracts, (Safe </w:t>
            </w:r>
            <w:proofErr w:type="gramStart"/>
            <w:r w:rsidRPr="002F632A">
              <w:rPr>
                <w:rFonts w:ascii="Calibri" w:hAnsi="Calibri"/>
                <w:i/>
                <w:sz w:val="18"/>
                <w:szCs w:val="18"/>
                <w:lang w:val="en-US"/>
              </w:rPr>
              <w:t xml:space="preserve">Harbor </w:t>
            </w:r>
            <w:r>
              <w:rPr>
                <w:rFonts w:ascii="Calibri" w:hAnsi="Calibri"/>
                <w:i/>
                <w:sz w:val="18"/>
                <w:szCs w:val="18"/>
                <w:lang w:val="en-US"/>
              </w:rPr>
              <w:t>)</w:t>
            </w:r>
            <w:proofErr w:type="gramEnd"/>
            <w:r>
              <w:rPr>
                <w:rFonts w:ascii="Calibri" w:hAnsi="Calibri"/>
                <w:i/>
                <w:sz w:val="18"/>
                <w:szCs w:val="18"/>
                <w:lang w:val="en-US"/>
              </w:rPr>
              <w:t xml:space="preserve"> Binding Corporate Rules (BCR)</w:t>
            </w:r>
            <w:r w:rsidRPr="002F632A">
              <w:rPr>
                <w:rFonts w:ascii="Calibri" w:hAnsi="Calibri"/>
                <w:i/>
                <w:sz w:val="18"/>
                <w:szCs w:val="18"/>
                <w:lang w:val="en-US"/>
              </w:rPr>
              <w:t>.</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b/>
                <w:color w:val="00549F"/>
                <w:lang w:val="en-US"/>
              </w:rPr>
            </w:pPr>
            <w:r w:rsidRPr="0045486C">
              <w:rPr>
                <w:rFonts w:ascii="Calibri" w:hAnsi="Calibri"/>
                <w:b/>
                <w:color w:val="00549F"/>
                <w:lang w:val="en-US"/>
              </w:rPr>
              <w:t>5. DATA SECURITY MEASURES</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E35B70"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Specify the technical, physical and organizational measures in place to protect personal data against accidental or unlawful destruction or accidental loss, alteration, unauthorized use, modification, disclosure or access and against all other unlawful forms of processing.</w:t>
            </w:r>
          </w:p>
          <w:p w:rsidR="0045486C" w:rsidRPr="00E35B70"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 xml:space="preserve"> </w:t>
            </w:r>
          </w:p>
          <w:p w:rsidR="0045486C" w:rsidRPr="00E35B70"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 xml:space="preserve">Describe the concrete technical, physical, and organizational measures to ensure: </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 xml:space="preserve">Availability:  describe the processes and measures in place to manage the risk of disruption and prevent, detect and react to incidents, such as backup Internet network links, redundant storage and effective data backup and restore mechanisms; </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 xml:space="preserve">Integrity:  describe how the CSP ensures integrity (e.g., detecting alterations to personal data by cryptographic mechanisms such as message authentication codes or signatures); </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 xml:space="preserve">Confidentiality:  describe how the CSP ensures confidentiality from a technical point of view (e.g., encryption of personal </w:t>
            </w:r>
            <w:r w:rsidR="006C3283">
              <w:rPr>
                <w:rFonts w:ascii="Calibri" w:hAnsi="Calibri"/>
                <w:i/>
                <w:sz w:val="18"/>
                <w:szCs w:val="18"/>
                <w:lang w:val="en-US"/>
              </w:rPr>
              <w:t xml:space="preserve">data ‘in transit’  and ‘at rest’ </w:t>
            </w:r>
            <w:r w:rsidRPr="00E35B70">
              <w:rPr>
                <w:rFonts w:ascii="Calibri" w:hAnsi="Calibri" w:hint="eastAsia"/>
                <w:i/>
                <w:sz w:val="18"/>
                <w:szCs w:val="18"/>
                <w:lang w:val="en-US"/>
              </w:rPr>
              <w:lastRenderedPageBreak/>
              <w:t xml:space="preserve">authorization mechanism and strong authentication ), and from a contractual point of view, such </w:t>
            </w:r>
            <w:r w:rsidRPr="00E35B70">
              <w:rPr>
                <w:rFonts w:ascii="Calibri" w:hAnsi="Calibri"/>
                <w:i/>
                <w:sz w:val="18"/>
                <w:szCs w:val="18"/>
                <w:lang w:val="en-US"/>
              </w:rPr>
              <w:t xml:space="preserve">as confidentiality agreements or confidentiality clauses, and company policies and procedures binding upon the CSP and any of its employees (full time, part time, contract employees), and subcontractors (if any), who may be able to access the data and assurance that only authorized persons can have access to data; </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Transparency: describe which technical, physical and organizational measures the CSP has in place to support transparency and to allow review by the customers (see, e.g., Sections 6 and 7) ;</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Isolation (purpose limitation): describe how the CSP provides isolation (e.g., adequate governance of the rights and roles for accessing personal data (reviewed on a regular basis), access management based on least privilege principle, hardening of hyper</w:t>
            </w:r>
            <w:r w:rsidRPr="00E35B70">
              <w:rPr>
                <w:rFonts w:ascii="Calibri" w:hAnsi="Calibri"/>
                <w:i/>
                <w:sz w:val="18"/>
                <w:szCs w:val="18"/>
                <w:lang w:val="en-US"/>
              </w:rPr>
              <w:t>visors and proper management of shared resources wherever virtual machines are used to share physical resources between different cloud customers);</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r>
            <w:proofErr w:type="spellStart"/>
            <w:r w:rsidRPr="00E35B70">
              <w:rPr>
                <w:rFonts w:ascii="Calibri" w:hAnsi="Calibri" w:hint="eastAsia"/>
                <w:i/>
                <w:sz w:val="18"/>
                <w:szCs w:val="18"/>
                <w:lang w:val="en-US"/>
              </w:rPr>
              <w:t>Intervenability</w:t>
            </w:r>
            <w:proofErr w:type="spellEnd"/>
            <w:r w:rsidRPr="00E35B70">
              <w:rPr>
                <w:rFonts w:ascii="Calibri" w:hAnsi="Calibri" w:hint="eastAsia"/>
                <w:i/>
                <w:sz w:val="18"/>
                <w:szCs w:val="18"/>
                <w:lang w:val="en-US"/>
              </w:rPr>
              <w:t>: describe h</w:t>
            </w:r>
            <w:r w:rsidR="006C3283">
              <w:rPr>
                <w:rFonts w:ascii="Calibri" w:hAnsi="Calibri" w:hint="eastAsia"/>
                <w:i/>
                <w:sz w:val="18"/>
                <w:szCs w:val="18"/>
                <w:lang w:val="en-US"/>
              </w:rPr>
              <w:t>ow the CSP enables data subject</w:t>
            </w:r>
            <w:r w:rsidR="006C3283">
              <w:rPr>
                <w:rFonts w:ascii="Calibri" w:hAnsi="Calibri"/>
                <w:i/>
                <w:sz w:val="18"/>
                <w:szCs w:val="18"/>
                <w:lang w:val="en-US"/>
              </w:rPr>
              <w:t>s’</w:t>
            </w:r>
            <w:r w:rsidRPr="00E35B70">
              <w:rPr>
                <w:rFonts w:ascii="Calibri" w:hAnsi="Calibri" w:hint="eastAsia"/>
                <w:i/>
                <w:sz w:val="18"/>
                <w:szCs w:val="18"/>
                <w:lang w:val="en-US"/>
              </w:rPr>
              <w:t xml:space="preserve"> rights of access, rectification, erasure, blocking and objection; in order to demonstrate the absence of technical and organizational obstacles to these requirements, including cases when data </w:t>
            </w:r>
            <w:r w:rsidRPr="00E35B70">
              <w:rPr>
                <w:rFonts w:ascii="Calibri" w:hAnsi="Calibri"/>
                <w:i/>
                <w:sz w:val="18"/>
                <w:szCs w:val="18"/>
                <w:lang w:val="en-US"/>
              </w:rPr>
              <w:t xml:space="preserve">are further processed by subcontractors; </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Portability: refer to Section 9;</w:t>
            </w:r>
          </w:p>
          <w:p w:rsidR="0045486C" w:rsidRPr="00E35B70" w:rsidRDefault="0045486C" w:rsidP="001D5BEA">
            <w:pPr>
              <w:spacing w:before="100" w:after="100" w:line="276" w:lineRule="auto"/>
              <w:jc w:val="both"/>
              <w:rPr>
                <w:rFonts w:ascii="Calibri" w:hAnsi="Calibri"/>
                <w:i/>
                <w:sz w:val="18"/>
                <w:szCs w:val="18"/>
                <w:lang w:val="en-US"/>
              </w:rPr>
            </w:pPr>
          </w:p>
          <w:p w:rsidR="0045486C" w:rsidRPr="00E35B70" w:rsidRDefault="0045486C" w:rsidP="001D5BEA">
            <w:pPr>
              <w:spacing w:before="100" w:after="100" w:line="276" w:lineRule="auto"/>
              <w:jc w:val="both"/>
              <w:rPr>
                <w:rFonts w:ascii="Calibri" w:hAnsi="Calibri"/>
                <w:i/>
                <w:sz w:val="18"/>
                <w:szCs w:val="18"/>
                <w:lang w:val="en-US"/>
              </w:rPr>
            </w:pPr>
            <w:r>
              <w:rPr>
                <w:rFonts w:ascii="Calibri" w:hAnsi="Calibri" w:hint="eastAsia"/>
                <w:i/>
                <w:sz w:val="18"/>
                <w:szCs w:val="18"/>
                <w:lang w:val="en-US"/>
              </w:rPr>
              <w:t>-</w:t>
            </w:r>
            <w:r w:rsidRPr="00E35B70">
              <w:rPr>
                <w:rFonts w:ascii="Calibri" w:hAnsi="Calibri" w:hint="eastAsia"/>
                <w:i/>
                <w:sz w:val="18"/>
                <w:szCs w:val="18"/>
                <w:lang w:val="en-US"/>
              </w:rPr>
              <w:tab/>
              <w:t>Accountability: refer to Section 11.</w:t>
            </w:r>
          </w:p>
          <w:p w:rsidR="0045486C" w:rsidRPr="00E35B70"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Specify which security controls framework(s) is/are in use (e.g., ISO/IEC 27002, CSA CCM, ENISA Information Assurance Framework, etc.) and which specific control is implemented.</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ind w:left="720" w:hanging="720"/>
              <w:jc w:val="both"/>
              <w:rPr>
                <w:rFonts w:ascii="Calibri" w:hAnsi="Calibri"/>
                <w:b/>
                <w:color w:val="00549F"/>
                <w:lang w:val="en-US"/>
              </w:rPr>
            </w:pPr>
            <w:r w:rsidRPr="0045486C">
              <w:rPr>
                <w:rFonts w:ascii="Calibri" w:hAnsi="Calibri"/>
                <w:b/>
                <w:color w:val="00549F"/>
                <w:lang w:val="en-US"/>
              </w:rPr>
              <w:t>6. MONITORING</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E35B70"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Indicate whether the customer has the option to monitor and/or audit in order to ensure that appropriate privacy and security measures described in the PLA are met on an on-going basis.</w:t>
            </w:r>
            <w:r w:rsidR="006C3283">
              <w:rPr>
                <w:rFonts w:ascii="Calibri" w:hAnsi="Calibri"/>
                <w:i/>
                <w:sz w:val="18"/>
                <w:szCs w:val="18"/>
                <w:lang w:val="en-US"/>
              </w:rPr>
              <w:t xml:space="preserve"> </w:t>
            </w:r>
            <w:r w:rsidRPr="00E35B70">
              <w:rPr>
                <w:rFonts w:ascii="Calibri" w:hAnsi="Calibri"/>
                <w:i/>
                <w:sz w:val="18"/>
                <w:szCs w:val="18"/>
                <w:lang w:val="en-US"/>
              </w:rPr>
              <w:t xml:space="preserve"> </w:t>
            </w:r>
            <w:proofErr w:type="gramStart"/>
            <w:r w:rsidRPr="00E35B70">
              <w:rPr>
                <w:rFonts w:ascii="Calibri" w:hAnsi="Calibri"/>
                <w:i/>
                <w:sz w:val="18"/>
                <w:szCs w:val="18"/>
                <w:lang w:val="en-US"/>
              </w:rPr>
              <w:t>If such monitoring is possible, detail how (e.g., reporting, audit).</w:t>
            </w:r>
            <w:proofErr w:type="gramEnd"/>
            <w:r w:rsidRPr="00E35B70">
              <w:rPr>
                <w:rFonts w:ascii="Calibri" w:hAnsi="Calibri"/>
                <w:i/>
                <w:sz w:val="18"/>
                <w:szCs w:val="18"/>
                <w:lang w:val="en-US"/>
              </w:rPr>
              <w:t xml:space="preserve"> </w:t>
            </w:r>
          </w:p>
          <w:p w:rsidR="0045486C" w:rsidRPr="00E35B70"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E35B70">
              <w:rPr>
                <w:rFonts w:ascii="Calibri" w:hAnsi="Calibri"/>
                <w:i/>
                <w:sz w:val="18"/>
                <w:szCs w:val="18"/>
                <w:lang w:val="en-US"/>
              </w:rPr>
              <w:t>Specify the controls that will be given to the customer, as well as the logging and auditing of relevant processing operations that are performed by</w:t>
            </w:r>
            <w:r>
              <w:rPr>
                <w:rFonts w:ascii="Calibri" w:hAnsi="Calibri"/>
                <w:i/>
                <w:sz w:val="18"/>
                <w:szCs w:val="18"/>
                <w:lang w:val="en-US"/>
              </w:rPr>
              <w:t xml:space="preserve"> the CSP or the subcontractors.</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b/>
                <w:color w:val="00549F"/>
                <w:lang w:val="en-US"/>
              </w:rPr>
            </w:pPr>
            <w:r w:rsidRPr="0045486C">
              <w:rPr>
                <w:rFonts w:ascii="Calibri" w:hAnsi="Calibri"/>
                <w:b/>
                <w:color w:val="00549F"/>
                <w:lang w:val="en-US"/>
              </w:rPr>
              <w:lastRenderedPageBreak/>
              <w:t xml:space="preserve">7. THIRD-PARTY AUDITS </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49467C" w:rsidRDefault="0045486C" w:rsidP="001D5BEA">
            <w:pPr>
              <w:spacing w:before="100" w:after="100" w:line="276" w:lineRule="auto"/>
              <w:jc w:val="both"/>
              <w:rPr>
                <w:rFonts w:ascii="Calibri" w:hAnsi="Calibri"/>
                <w:i/>
                <w:sz w:val="18"/>
                <w:szCs w:val="18"/>
                <w:lang w:val="en-US"/>
              </w:rPr>
            </w:pPr>
            <w:r w:rsidRPr="0049467C">
              <w:rPr>
                <w:rFonts w:ascii="Calibri" w:hAnsi="Calibri"/>
                <w:i/>
                <w:sz w:val="18"/>
                <w:szCs w:val="18"/>
                <w:lang w:val="en-US"/>
              </w:rPr>
              <w:t>Specify whether and what independent third party audit reports will be provided to the customer, their scope, the frequency at which these reports will be updated, and whether the full report or a summary of the report will be provided to the client.</w:t>
            </w:r>
          </w:p>
          <w:p w:rsidR="0045486C" w:rsidRPr="0049467C" w:rsidRDefault="0045486C" w:rsidP="001D5BEA">
            <w:pPr>
              <w:spacing w:before="100" w:after="100" w:line="276" w:lineRule="auto"/>
              <w:jc w:val="both"/>
              <w:rPr>
                <w:rFonts w:ascii="Calibri" w:hAnsi="Calibri"/>
                <w:i/>
                <w:sz w:val="18"/>
                <w:szCs w:val="18"/>
                <w:lang w:val="en-US"/>
              </w:rPr>
            </w:pPr>
            <w:r w:rsidRPr="0049467C">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49467C">
              <w:rPr>
                <w:rFonts w:ascii="Calibri" w:hAnsi="Calibri"/>
                <w:i/>
                <w:sz w:val="18"/>
                <w:szCs w:val="18"/>
                <w:lang w:val="en-US"/>
              </w:rPr>
              <w:t>Specify whether the third-party auditor can be chosen by the customer or chosen by both parties and who will pay for the cost of the audit.</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rPr>
                <w:rFonts w:ascii="Calibri" w:hAnsi="Calibri"/>
                <w:b/>
                <w:color w:val="00549F"/>
                <w:lang w:val="en-US"/>
              </w:rPr>
            </w:pPr>
            <w:r w:rsidRPr="0045486C">
              <w:rPr>
                <w:rFonts w:ascii="Calibri" w:hAnsi="Calibri"/>
                <w:b/>
                <w:color w:val="00549F"/>
                <w:lang w:val="en-US"/>
              </w:rPr>
              <w:t>8. PERSONAL DATA BREACH NOTIFICATION</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D03358" w:rsidRDefault="0045486C" w:rsidP="001D5BEA">
            <w:pPr>
              <w:spacing w:before="100" w:after="100" w:line="276" w:lineRule="auto"/>
              <w:jc w:val="both"/>
              <w:rPr>
                <w:rFonts w:ascii="Calibri" w:hAnsi="Calibri"/>
                <w:i/>
                <w:sz w:val="18"/>
                <w:szCs w:val="18"/>
                <w:lang w:val="en-US"/>
              </w:rPr>
            </w:pPr>
            <w:r w:rsidRPr="00D03358">
              <w:rPr>
                <w:rFonts w:ascii="Calibri" w:hAnsi="Calibri"/>
                <w:i/>
                <w:sz w:val="18"/>
                <w:szCs w:val="18"/>
                <w:lang w:val="en-US"/>
              </w:rPr>
              <w:t>“Personal data breach” means a breach of security leading to the accidental or unlawful destruction, loss, alteration, unauthorized disclosure of, or access to, personal data transmitted, stored or otherwise processed in connection with the provision of a service provided by a CSP.</w:t>
            </w:r>
          </w:p>
          <w:p w:rsidR="0045486C" w:rsidRPr="00D03358" w:rsidRDefault="0045486C" w:rsidP="001D5BEA">
            <w:pPr>
              <w:spacing w:before="100" w:after="100" w:line="276" w:lineRule="auto"/>
              <w:jc w:val="both"/>
              <w:rPr>
                <w:rFonts w:ascii="Calibri" w:hAnsi="Calibri"/>
                <w:i/>
                <w:sz w:val="18"/>
                <w:szCs w:val="18"/>
                <w:lang w:val="en-US"/>
              </w:rPr>
            </w:pPr>
            <w:r w:rsidRPr="00D03358">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D03358">
              <w:rPr>
                <w:rFonts w:ascii="Calibri" w:hAnsi="Calibri"/>
                <w:i/>
                <w:sz w:val="18"/>
                <w:szCs w:val="18"/>
                <w:lang w:val="en-US"/>
              </w:rPr>
              <w:t xml:space="preserve">Specify whether and how the customer will be informed of personal data and data </w:t>
            </w:r>
            <w:proofErr w:type="gramStart"/>
            <w:r w:rsidRPr="00D03358">
              <w:rPr>
                <w:rFonts w:ascii="Calibri" w:hAnsi="Calibri"/>
                <w:i/>
                <w:sz w:val="18"/>
                <w:szCs w:val="18"/>
                <w:lang w:val="en-US"/>
              </w:rPr>
              <w:t>security breaches affecting the customer’s data processed by the CSP and/or its subcontractors, within what timeframe and how</w:t>
            </w:r>
            <w:proofErr w:type="gramEnd"/>
            <w:r w:rsidRPr="00D03358">
              <w:rPr>
                <w:rFonts w:ascii="Calibri" w:hAnsi="Calibri"/>
                <w:i/>
                <w:sz w:val="18"/>
                <w:szCs w:val="18"/>
                <w:lang w:val="en-US"/>
              </w:rPr>
              <w:t xml:space="preserve">.  </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rPr>
                <w:rFonts w:ascii="Calibri" w:hAnsi="Calibri"/>
                <w:b/>
                <w:color w:val="00549F"/>
                <w:lang w:val="en-US"/>
              </w:rPr>
            </w:pPr>
            <w:r w:rsidRPr="0045486C">
              <w:rPr>
                <w:rFonts w:ascii="Calibri" w:hAnsi="Calibri"/>
                <w:b/>
                <w:color w:val="00549F"/>
                <w:lang w:val="en-US"/>
              </w:rPr>
              <w:t>9. DATA PORTABILITY, MIGRATION, AND TRANSFER BACK ASSISTANCE</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Specify the formats, the preservation of logical relations, and any costs associated to portability of data, applications and services. </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Describe whether, how, and at what cost the CSP will assist customers in the possible migration of the data to another provider or back</w:t>
            </w:r>
            <w:r>
              <w:rPr>
                <w:rFonts w:ascii="Calibri" w:hAnsi="Calibri"/>
                <w:i/>
                <w:sz w:val="18"/>
                <w:szCs w:val="18"/>
                <w:lang w:val="en-US"/>
              </w:rPr>
              <w:t xml:space="preserve"> to an in-house IT environment.</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rPr>
                <w:rFonts w:ascii="Calibri" w:hAnsi="Calibri"/>
                <w:b/>
                <w:color w:val="00549F"/>
                <w:lang w:val="en-US"/>
              </w:rPr>
            </w:pPr>
            <w:r w:rsidRPr="0045486C">
              <w:rPr>
                <w:rFonts w:ascii="Calibri" w:hAnsi="Calibri"/>
                <w:b/>
                <w:color w:val="00549F"/>
                <w:lang w:val="en-US"/>
              </w:rPr>
              <w:t>10. DATA RETENTION, RESTITUTION AND DELETION</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Describe the CSP’s data retention policies and the conditions for returning the personal data and destroying the data once the service is terminated.</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 </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10.a – Data retention policy</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Indicate for how long the personal </w:t>
            </w:r>
            <w:r>
              <w:rPr>
                <w:rFonts w:ascii="Calibri" w:hAnsi="Calibri"/>
                <w:i/>
                <w:sz w:val="18"/>
                <w:szCs w:val="18"/>
                <w:lang w:val="en-US"/>
              </w:rPr>
              <w:t>data will or may be retained.</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 </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10.b – Data deletion</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Indicate the methods available or used to delete data, and whether data may be retained after the cloud customer has deleted (or requested deletion of) the data, or after the termination of the contract, and in each case the period during which the CSP will retain the data.</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 </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lastRenderedPageBreak/>
              <w:t>10.c – Data retention for compliance with legal requirements</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Describe how the CSP satisfies the legal requirements concerning data retention that apply to the CSP and the cloud customer. </w:t>
            </w:r>
          </w:p>
          <w:p w:rsidR="0045486C" w:rsidRPr="00BC62B8" w:rsidRDefault="0045486C" w:rsidP="001D5BEA">
            <w:pPr>
              <w:spacing w:before="100" w:after="100" w:line="276" w:lineRule="auto"/>
              <w:jc w:val="both"/>
              <w:rPr>
                <w:rFonts w:ascii="Calibri" w:hAnsi="Calibri"/>
                <w:i/>
                <w:sz w:val="18"/>
                <w:szCs w:val="18"/>
                <w:lang w:val="en-US"/>
              </w:rPr>
            </w:pPr>
          </w:p>
          <w:p w:rsidR="0045486C" w:rsidRPr="0045486C"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Indicate whether and how the cloud customer can request the CSP to comply with specific</w:t>
            </w:r>
            <w:r>
              <w:rPr>
                <w:rFonts w:ascii="Calibri" w:hAnsi="Calibri"/>
                <w:i/>
                <w:sz w:val="18"/>
                <w:szCs w:val="18"/>
                <w:lang w:val="en-US"/>
              </w:rPr>
              <w:t xml:space="preserve"> </w:t>
            </w:r>
            <w:proofErr w:type="spellStart"/>
            <w:r>
              <w:rPr>
                <w:rFonts w:ascii="Calibri" w:hAnsi="Calibri"/>
                <w:i/>
                <w:sz w:val="18"/>
                <w:szCs w:val="18"/>
                <w:lang w:val="en-US"/>
              </w:rPr>
              <w:t>sectoral</w:t>
            </w:r>
            <w:proofErr w:type="spellEnd"/>
            <w:r>
              <w:rPr>
                <w:rFonts w:ascii="Calibri" w:hAnsi="Calibri"/>
                <w:i/>
                <w:sz w:val="18"/>
                <w:szCs w:val="18"/>
                <w:lang w:val="en-US"/>
              </w:rPr>
              <w:t xml:space="preserve"> laws and regulations.</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b/>
                <w:color w:val="00549F"/>
                <w:lang w:val="en-US"/>
              </w:rPr>
            </w:pPr>
            <w:r w:rsidRPr="0045486C">
              <w:rPr>
                <w:rFonts w:ascii="Calibri" w:hAnsi="Calibri"/>
                <w:b/>
                <w:color w:val="00549F"/>
                <w:lang w:val="en-US"/>
              </w:rPr>
              <w:t>11. ACCOUNTABILITY</w:t>
            </w:r>
          </w:p>
        </w:tc>
        <w:tc>
          <w:tcPr>
            <w:tcW w:w="6145" w:type="dxa"/>
            <w:shd w:val="clear" w:color="auto" w:fill="auto"/>
          </w:tcPr>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Describe what policies/procedures the CSP has in place to ensure and demonstrate compliance by the CSP and its subcontractors or business associates, including by way of adoption of internal policies and mechanisms for ensuring such compliance, e.g., maintaining documentation of all processing operations under its responsibility, providing reliable monitoring and comprehensive logging mechanisms. </w:t>
            </w:r>
          </w:p>
          <w:p w:rsidR="0045486C" w:rsidRPr="00BC62B8"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 xml:space="preserve"> </w:t>
            </w:r>
          </w:p>
          <w:p w:rsidR="0045486C" w:rsidRPr="0045486C" w:rsidRDefault="0045486C" w:rsidP="001D5BEA">
            <w:pPr>
              <w:spacing w:before="100" w:after="100" w:line="276" w:lineRule="auto"/>
              <w:jc w:val="both"/>
              <w:rPr>
                <w:rFonts w:ascii="Calibri" w:hAnsi="Calibri"/>
                <w:i/>
                <w:sz w:val="18"/>
                <w:szCs w:val="18"/>
                <w:lang w:val="en-US"/>
              </w:rPr>
            </w:pPr>
            <w:r w:rsidRPr="00BC62B8">
              <w:rPr>
                <w:rFonts w:ascii="Calibri" w:hAnsi="Calibri"/>
                <w:i/>
                <w:sz w:val="18"/>
                <w:szCs w:val="18"/>
                <w:lang w:val="en-US"/>
              </w:rPr>
              <w:t>Identify the relevant</w:t>
            </w:r>
            <w:r>
              <w:rPr>
                <w:rFonts w:ascii="Calibri" w:hAnsi="Calibri"/>
                <w:i/>
                <w:sz w:val="18"/>
                <w:szCs w:val="18"/>
                <w:lang w:val="en-US"/>
              </w:rPr>
              <w:t xml:space="preserve"> third party audit certificates</w:t>
            </w:r>
            <w:r w:rsidRPr="00BC62B8">
              <w:rPr>
                <w:rFonts w:ascii="Calibri" w:hAnsi="Calibri"/>
                <w:i/>
                <w:sz w:val="18"/>
                <w:szCs w:val="18"/>
                <w:lang w:val="en-US"/>
              </w:rPr>
              <w:t xml:space="preserve"> obtained by the CS</w:t>
            </w:r>
            <w:r>
              <w:rPr>
                <w:rFonts w:ascii="Calibri" w:hAnsi="Calibri"/>
                <w:i/>
                <w:sz w:val="18"/>
                <w:szCs w:val="18"/>
                <w:lang w:val="en-US"/>
              </w:rPr>
              <w:t>P, their date, and their scope.</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b/>
                <w:color w:val="00549F"/>
                <w:lang w:val="en-US"/>
              </w:rPr>
            </w:pPr>
            <w:r w:rsidRPr="0045486C">
              <w:rPr>
                <w:rFonts w:ascii="Calibri" w:hAnsi="Calibri"/>
                <w:b/>
                <w:color w:val="00549F"/>
                <w:lang w:val="en-US"/>
              </w:rPr>
              <w:t>12. COOPERATION</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3730FA" w:rsidRDefault="0045486C" w:rsidP="001D5BEA">
            <w:pPr>
              <w:spacing w:before="100" w:after="100" w:line="276" w:lineRule="auto"/>
              <w:jc w:val="both"/>
              <w:rPr>
                <w:rFonts w:ascii="Calibri" w:hAnsi="Calibri"/>
                <w:i/>
                <w:sz w:val="18"/>
                <w:szCs w:val="18"/>
                <w:lang w:val="en-US"/>
              </w:rPr>
            </w:pPr>
            <w:r w:rsidRPr="003730FA">
              <w:rPr>
                <w:rFonts w:ascii="Calibri" w:hAnsi="Calibri"/>
                <w:i/>
                <w:sz w:val="18"/>
                <w:szCs w:val="18"/>
                <w:lang w:val="en-US"/>
              </w:rPr>
              <w:t xml:space="preserve">Specify how the CSP will cooperate with the cloud customer in order to ensure compliance with applicable data protection provisions: e.g., to enable the customer to effectively guarantee the exercise of data subjects’ rights (right of access, correction, erasure, blocking, </w:t>
            </w:r>
            <w:proofErr w:type="gramStart"/>
            <w:r w:rsidRPr="003730FA">
              <w:rPr>
                <w:rFonts w:ascii="Calibri" w:hAnsi="Calibri"/>
                <w:i/>
                <w:sz w:val="18"/>
                <w:szCs w:val="18"/>
                <w:lang w:val="en-US"/>
              </w:rPr>
              <w:t>opposition</w:t>
            </w:r>
            <w:proofErr w:type="gramEnd"/>
            <w:r w:rsidRPr="003730FA">
              <w:rPr>
                <w:rFonts w:ascii="Calibri" w:hAnsi="Calibri"/>
                <w:i/>
                <w:sz w:val="18"/>
                <w:szCs w:val="18"/>
                <w:lang w:val="en-US"/>
              </w:rPr>
              <w:t>)</w:t>
            </w:r>
            <w:r w:rsidR="00C91EA2">
              <w:rPr>
                <w:rFonts w:ascii="Calibri" w:hAnsi="Calibri"/>
                <w:i/>
                <w:sz w:val="18"/>
                <w:szCs w:val="18"/>
                <w:lang w:val="en-US"/>
              </w:rPr>
              <w:t>.</w:t>
            </w:r>
            <w:r w:rsidRPr="003730FA">
              <w:rPr>
                <w:rFonts w:ascii="Calibri" w:hAnsi="Calibri"/>
                <w:i/>
                <w:sz w:val="18"/>
                <w:szCs w:val="18"/>
                <w:lang w:val="en-US"/>
              </w:rPr>
              <w:t xml:space="preserve">  [See also Section 5: </w:t>
            </w:r>
            <w:proofErr w:type="spellStart"/>
            <w:r w:rsidRPr="003730FA">
              <w:rPr>
                <w:rFonts w:ascii="Calibri" w:hAnsi="Calibri"/>
                <w:i/>
                <w:sz w:val="18"/>
                <w:szCs w:val="18"/>
                <w:lang w:val="en-US"/>
              </w:rPr>
              <w:t>Intervenability</w:t>
            </w:r>
            <w:proofErr w:type="spellEnd"/>
            <w:r w:rsidRPr="003730FA">
              <w:rPr>
                <w:rFonts w:ascii="Calibri" w:hAnsi="Calibri"/>
                <w:i/>
                <w:sz w:val="18"/>
                <w:szCs w:val="18"/>
                <w:lang w:val="en-US"/>
              </w:rPr>
              <w:t>].</w:t>
            </w:r>
          </w:p>
          <w:p w:rsidR="0045486C" w:rsidRPr="003730FA" w:rsidRDefault="0045486C" w:rsidP="001D5BEA">
            <w:pPr>
              <w:spacing w:before="100" w:after="100" w:line="276" w:lineRule="auto"/>
              <w:jc w:val="both"/>
              <w:rPr>
                <w:rFonts w:ascii="Calibri" w:hAnsi="Calibri"/>
                <w:i/>
                <w:sz w:val="18"/>
                <w:szCs w:val="18"/>
                <w:lang w:val="en-US"/>
              </w:rPr>
            </w:pPr>
          </w:p>
          <w:p w:rsidR="0045486C" w:rsidRPr="0045486C" w:rsidRDefault="0045486C" w:rsidP="001D5BEA">
            <w:pPr>
              <w:spacing w:before="100" w:after="100" w:line="276" w:lineRule="auto"/>
              <w:jc w:val="both"/>
              <w:rPr>
                <w:rFonts w:ascii="Calibri" w:hAnsi="Calibri"/>
                <w:i/>
                <w:sz w:val="18"/>
                <w:szCs w:val="18"/>
                <w:lang w:val="en-US"/>
              </w:rPr>
            </w:pPr>
            <w:r w:rsidRPr="003730FA">
              <w:rPr>
                <w:rFonts w:ascii="Calibri" w:hAnsi="Calibri"/>
                <w:i/>
                <w:sz w:val="18"/>
                <w:szCs w:val="18"/>
                <w:lang w:val="en-US"/>
              </w:rPr>
              <w:t>Describe how the CSP will make available to the customer and supervisory authorities the information necessary to demonstrate compliance.</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b/>
                <w:color w:val="00549F"/>
                <w:lang w:val="en-US"/>
              </w:rPr>
            </w:pPr>
            <w:r w:rsidRPr="0045486C">
              <w:rPr>
                <w:rFonts w:ascii="Calibri" w:hAnsi="Calibri"/>
                <w:b/>
                <w:color w:val="00549F"/>
                <w:lang w:val="en-US"/>
              </w:rPr>
              <w:t>13. LAW ENFORCEMENT ACCESS</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45486C" w:rsidRDefault="0045486C" w:rsidP="001D5BEA">
            <w:pPr>
              <w:spacing w:before="100" w:after="100" w:line="276" w:lineRule="auto"/>
              <w:jc w:val="both"/>
              <w:rPr>
                <w:rFonts w:ascii="Calibri" w:hAnsi="Calibri"/>
                <w:i/>
                <w:sz w:val="18"/>
                <w:szCs w:val="18"/>
                <w:lang w:val="en-US"/>
              </w:rPr>
            </w:pPr>
            <w:r w:rsidRPr="0045486C">
              <w:rPr>
                <w:rFonts w:ascii="Calibri" w:hAnsi="Calibri"/>
                <w:i/>
                <w:sz w:val="18"/>
                <w:szCs w:val="18"/>
                <w:lang w:val="en-US"/>
              </w:rPr>
              <w:t>Describe the process in place to manage and respond to requests for disclosure of personal data by Law Enforcement Authorities</w:t>
            </w:r>
            <w:proofErr w:type="gramStart"/>
            <w:r w:rsidRPr="0045486C">
              <w:rPr>
                <w:rFonts w:ascii="Calibri" w:hAnsi="Calibri"/>
                <w:i/>
                <w:sz w:val="18"/>
                <w:szCs w:val="18"/>
                <w:lang w:val="en-US"/>
              </w:rPr>
              <w:t>;</w:t>
            </w:r>
            <w:proofErr w:type="gramEnd"/>
            <w:r w:rsidRPr="0045486C">
              <w:rPr>
                <w:rFonts w:ascii="Calibri" w:hAnsi="Calibri"/>
                <w:i/>
                <w:sz w:val="18"/>
                <w:szCs w:val="18"/>
                <w:lang w:val="en-US"/>
              </w:rPr>
              <w:t xml:space="preserve"> with special attention to notification procedure to interested customers, unless otherwise prohibited, such as a prohibition under criminal law to preserve confidentiality of a</w:t>
            </w:r>
            <w:r>
              <w:rPr>
                <w:rFonts w:ascii="Calibri" w:hAnsi="Calibri"/>
                <w:i/>
                <w:sz w:val="18"/>
                <w:szCs w:val="18"/>
                <w:lang w:val="en-US"/>
              </w:rPr>
              <w:t xml:space="preserve"> law enforcement investigation.</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jc w:val="both"/>
              <w:rPr>
                <w:rFonts w:ascii="Calibri" w:hAnsi="Calibri"/>
                <w:b/>
                <w:color w:val="00549F"/>
                <w:lang w:val="en-US"/>
              </w:rPr>
            </w:pPr>
            <w:r w:rsidRPr="0045486C">
              <w:rPr>
                <w:rFonts w:ascii="Calibri" w:hAnsi="Calibri"/>
                <w:b/>
                <w:color w:val="00549F"/>
                <w:lang w:val="en-US"/>
              </w:rPr>
              <w:t>14. REMEDIES</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45486C" w:rsidRDefault="0045486C" w:rsidP="001D5BEA">
            <w:pPr>
              <w:spacing w:before="100" w:after="100" w:line="276" w:lineRule="auto"/>
              <w:jc w:val="both"/>
              <w:rPr>
                <w:rFonts w:ascii="Calibri" w:hAnsi="Calibri"/>
                <w:i/>
                <w:sz w:val="18"/>
                <w:szCs w:val="18"/>
                <w:lang w:val="en-US"/>
              </w:rPr>
            </w:pPr>
            <w:r w:rsidRPr="008910CE">
              <w:rPr>
                <w:rFonts w:ascii="Calibri" w:hAnsi="Calibri"/>
                <w:i/>
                <w:sz w:val="18"/>
                <w:szCs w:val="18"/>
                <w:lang w:val="en-US"/>
              </w:rPr>
              <w:t xml:space="preserve">Indicate what remedies are available to the cloud customer in the event the CSP – and/or the CSP’s subcontractors – breaches its contractual obligations under the PLA, such as whether contractual remedies are available for failure to meet data security, monitoring, data breach notification, data portability and/or data </w:t>
            </w:r>
            <w:r w:rsidRPr="008910CE">
              <w:rPr>
                <w:rFonts w:ascii="Calibri" w:hAnsi="Calibri"/>
                <w:i/>
                <w:sz w:val="18"/>
                <w:szCs w:val="18"/>
                <w:lang w:val="en-US"/>
              </w:rPr>
              <w:lastRenderedPageBreak/>
              <w:t xml:space="preserve">retention obligations. </w:t>
            </w:r>
            <w:r w:rsidR="00250B69">
              <w:rPr>
                <w:rFonts w:ascii="Calibri" w:hAnsi="Calibri"/>
                <w:i/>
                <w:sz w:val="18"/>
                <w:szCs w:val="18"/>
                <w:lang w:val="en-US"/>
              </w:rPr>
              <w:t xml:space="preserve"> </w:t>
            </w:r>
            <w:r w:rsidRPr="008910CE">
              <w:rPr>
                <w:rFonts w:ascii="Calibri" w:hAnsi="Calibri"/>
                <w:i/>
                <w:sz w:val="18"/>
                <w:szCs w:val="18"/>
                <w:lang w:val="en-US"/>
              </w:rPr>
              <w:t>Remedies could include compensation for certain types of damages, service credits, and/or contractual penalties (financial or otherwise inclu</w:t>
            </w:r>
            <w:r>
              <w:rPr>
                <w:rFonts w:ascii="Calibri" w:hAnsi="Calibri"/>
                <w:i/>
                <w:sz w:val="18"/>
                <w:szCs w:val="18"/>
                <w:lang w:val="en-US"/>
              </w:rPr>
              <w:t>ding the ability to sue the CSP</w:t>
            </w:r>
            <w:r w:rsidRPr="008910CE">
              <w:rPr>
                <w:rFonts w:ascii="Calibri" w:hAnsi="Calibri"/>
                <w:i/>
                <w:sz w:val="18"/>
                <w:szCs w:val="18"/>
                <w:lang w:val="en-US"/>
              </w:rPr>
              <w:t>).</w:t>
            </w:r>
          </w:p>
        </w:tc>
      </w:tr>
      <w:tr w:rsidR="0045486C" w:rsidRPr="007B3A83" w:rsidTr="00D9083E">
        <w:tc>
          <w:tcPr>
            <w:tcW w:w="10195" w:type="dxa"/>
            <w:gridSpan w:val="2"/>
            <w:shd w:val="clear" w:color="auto" w:fill="auto"/>
          </w:tcPr>
          <w:p w:rsidR="0045486C" w:rsidRPr="0045486C" w:rsidRDefault="0045486C" w:rsidP="001D5BEA">
            <w:pPr>
              <w:spacing w:before="100" w:after="100"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ind w:left="720" w:hanging="720"/>
              <w:rPr>
                <w:rFonts w:ascii="Calibri" w:hAnsi="Calibri"/>
                <w:b/>
                <w:color w:val="00549F"/>
                <w:lang w:val="en-US"/>
              </w:rPr>
            </w:pPr>
            <w:r w:rsidRPr="0045486C">
              <w:rPr>
                <w:rFonts w:ascii="Calibri" w:hAnsi="Calibri"/>
                <w:b/>
                <w:color w:val="00549F"/>
                <w:lang w:val="en-US"/>
              </w:rPr>
              <w:t>15. COMPLAINT; DISPUTE RESOLUTION</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886CF7" w:rsidRDefault="0045486C" w:rsidP="001D5BEA">
            <w:pPr>
              <w:spacing w:before="120" w:line="276" w:lineRule="auto"/>
              <w:jc w:val="both"/>
              <w:rPr>
                <w:rFonts w:ascii="Calibri" w:hAnsi="Calibri"/>
                <w:i/>
                <w:sz w:val="18"/>
                <w:szCs w:val="18"/>
                <w:lang w:val="en-US"/>
              </w:rPr>
            </w:pPr>
            <w:r w:rsidRPr="00886CF7">
              <w:rPr>
                <w:rFonts w:ascii="Calibri" w:hAnsi="Calibri"/>
                <w:i/>
                <w:sz w:val="18"/>
                <w:szCs w:val="18"/>
                <w:lang w:val="en-US"/>
              </w:rPr>
              <w:t>Provide the contact details of the CSP representative who will receive questions or complaints regarding the CSP’s personal data handling practices.</w:t>
            </w:r>
          </w:p>
          <w:p w:rsidR="0045486C" w:rsidRPr="00886CF7" w:rsidRDefault="0045486C" w:rsidP="001D5BEA">
            <w:pPr>
              <w:spacing w:line="276" w:lineRule="auto"/>
              <w:jc w:val="both"/>
              <w:rPr>
                <w:rFonts w:ascii="Calibri" w:hAnsi="Calibri"/>
                <w:i/>
                <w:sz w:val="18"/>
                <w:szCs w:val="18"/>
                <w:lang w:val="en-US"/>
              </w:rPr>
            </w:pPr>
          </w:p>
          <w:p w:rsidR="0045486C" w:rsidRPr="0045486C" w:rsidRDefault="0045486C" w:rsidP="001D5BEA">
            <w:pPr>
              <w:spacing w:before="240" w:line="276" w:lineRule="auto"/>
              <w:jc w:val="both"/>
              <w:rPr>
                <w:rFonts w:ascii="Calibri" w:hAnsi="Calibri"/>
                <w:i/>
                <w:sz w:val="18"/>
                <w:szCs w:val="18"/>
                <w:lang w:val="en-US"/>
              </w:rPr>
            </w:pPr>
            <w:r w:rsidRPr="00886CF7">
              <w:rPr>
                <w:rFonts w:ascii="Calibri" w:hAnsi="Calibri"/>
                <w:i/>
                <w:sz w:val="18"/>
                <w:szCs w:val="18"/>
                <w:lang w:val="en-US"/>
              </w:rPr>
              <w:t xml:space="preserve">Provide the contact details of the third party, if </w:t>
            </w:r>
            <w:proofErr w:type="gramStart"/>
            <w:r w:rsidRPr="00886CF7">
              <w:rPr>
                <w:rFonts w:ascii="Calibri" w:hAnsi="Calibri"/>
                <w:i/>
                <w:sz w:val="18"/>
                <w:szCs w:val="18"/>
                <w:lang w:val="en-US"/>
              </w:rPr>
              <w:t>any</w:t>
            </w:r>
            <w:r w:rsidR="00250B69">
              <w:rPr>
                <w:rFonts w:ascii="Calibri" w:hAnsi="Calibri"/>
                <w:i/>
                <w:sz w:val="18"/>
                <w:szCs w:val="18"/>
                <w:lang w:val="en-US"/>
              </w:rPr>
              <w:t xml:space="preserve">, </w:t>
            </w:r>
            <w:r w:rsidRPr="00886CF7">
              <w:rPr>
                <w:rFonts w:ascii="Calibri" w:hAnsi="Calibri"/>
                <w:i/>
                <w:sz w:val="18"/>
                <w:szCs w:val="18"/>
                <w:lang w:val="en-US"/>
              </w:rPr>
              <w:t>that</w:t>
            </w:r>
            <w:proofErr w:type="gramEnd"/>
            <w:r w:rsidRPr="00886CF7">
              <w:rPr>
                <w:rFonts w:ascii="Calibri" w:hAnsi="Calibri"/>
                <w:i/>
                <w:sz w:val="18"/>
                <w:szCs w:val="18"/>
                <w:lang w:val="en-US"/>
              </w:rPr>
              <w:t xml:space="preserve"> may be contacted in order to assist in the resolution of a dispute with the CSP, such as a specific data protection authority, arbitration or mediation service.</w:t>
            </w:r>
          </w:p>
        </w:tc>
      </w:tr>
      <w:tr w:rsidR="0045486C" w:rsidRPr="007B3A83" w:rsidTr="00D9083E">
        <w:trPr>
          <w:trHeight w:val="507"/>
        </w:trPr>
        <w:tc>
          <w:tcPr>
            <w:tcW w:w="10195" w:type="dxa"/>
            <w:gridSpan w:val="2"/>
            <w:shd w:val="clear" w:color="auto" w:fill="auto"/>
          </w:tcPr>
          <w:p w:rsidR="0045486C" w:rsidRPr="0045486C" w:rsidRDefault="0045486C" w:rsidP="001D5BEA">
            <w:pPr>
              <w:spacing w:line="276" w:lineRule="auto"/>
              <w:jc w:val="both"/>
              <w:rPr>
                <w:rFonts w:ascii="Calibri" w:hAnsi="Calibri"/>
                <w:color w:val="00549F"/>
                <w:lang w:val="en-US"/>
              </w:rPr>
            </w:pPr>
          </w:p>
        </w:tc>
      </w:tr>
      <w:tr w:rsidR="0045486C" w:rsidRPr="007B3A83" w:rsidTr="00D9083E">
        <w:tc>
          <w:tcPr>
            <w:tcW w:w="4050" w:type="dxa"/>
            <w:shd w:val="clear" w:color="auto" w:fill="auto"/>
          </w:tcPr>
          <w:p w:rsidR="0045486C" w:rsidRPr="0045486C" w:rsidRDefault="0045486C" w:rsidP="001D5BEA">
            <w:pPr>
              <w:spacing w:before="100" w:after="100"/>
              <w:ind w:left="720" w:hanging="720"/>
              <w:jc w:val="both"/>
              <w:rPr>
                <w:rFonts w:ascii="Calibri" w:hAnsi="Calibri"/>
                <w:b/>
                <w:color w:val="00549F"/>
                <w:lang w:val="en-US"/>
              </w:rPr>
            </w:pPr>
            <w:r w:rsidRPr="0045486C">
              <w:rPr>
                <w:rFonts w:ascii="Calibri" w:hAnsi="Calibri"/>
                <w:b/>
                <w:color w:val="00549F"/>
                <w:lang w:val="en-US"/>
              </w:rPr>
              <w:t>16. CSP INSURANCE POLICY</w:t>
            </w:r>
          </w:p>
          <w:p w:rsidR="0045486C" w:rsidRPr="0045486C" w:rsidRDefault="0045486C" w:rsidP="001D5BEA">
            <w:pPr>
              <w:spacing w:before="100" w:after="100"/>
              <w:jc w:val="both"/>
              <w:rPr>
                <w:rFonts w:ascii="Calibri" w:hAnsi="Calibri"/>
                <w:b/>
                <w:color w:val="00549F"/>
                <w:lang w:val="en-US"/>
              </w:rPr>
            </w:pPr>
          </w:p>
        </w:tc>
        <w:tc>
          <w:tcPr>
            <w:tcW w:w="6145" w:type="dxa"/>
            <w:shd w:val="clear" w:color="auto" w:fill="auto"/>
          </w:tcPr>
          <w:p w:rsidR="0045486C" w:rsidRPr="0026072E" w:rsidRDefault="0045486C" w:rsidP="001D5BEA">
            <w:pPr>
              <w:spacing w:before="100" w:line="276" w:lineRule="auto"/>
              <w:jc w:val="both"/>
              <w:rPr>
                <w:rFonts w:ascii="Calibri" w:hAnsi="Calibri"/>
                <w:lang w:val="en-US"/>
              </w:rPr>
            </w:pPr>
            <w:r w:rsidRPr="00C025D6">
              <w:rPr>
                <w:rFonts w:ascii="Calibri" w:hAnsi="Calibri"/>
                <w:i/>
                <w:sz w:val="18"/>
                <w:szCs w:val="18"/>
                <w:lang w:val="en-US"/>
              </w:rPr>
              <w:t>Describe the scope of the CSP’s cyber-insurance policy, if any, including insurance regarding security breaches.</w:t>
            </w:r>
          </w:p>
        </w:tc>
      </w:tr>
      <w:tr w:rsidR="0045486C" w:rsidRPr="007B3A83" w:rsidTr="00D9083E">
        <w:trPr>
          <w:trHeight w:val="507"/>
        </w:trPr>
        <w:tc>
          <w:tcPr>
            <w:tcW w:w="10195" w:type="dxa"/>
            <w:gridSpan w:val="2"/>
            <w:shd w:val="clear" w:color="auto" w:fill="auto"/>
          </w:tcPr>
          <w:p w:rsidR="0045486C" w:rsidRPr="0045486C" w:rsidRDefault="0045486C" w:rsidP="001D5BEA">
            <w:pPr>
              <w:spacing w:line="276" w:lineRule="auto"/>
              <w:jc w:val="both"/>
              <w:rPr>
                <w:rFonts w:ascii="Calibri" w:hAnsi="Calibri"/>
                <w:color w:val="00549F"/>
                <w:lang w:val="en-US"/>
              </w:rPr>
            </w:pPr>
          </w:p>
        </w:tc>
      </w:tr>
    </w:tbl>
    <w:p w:rsidR="0045486C" w:rsidRPr="0045486C" w:rsidRDefault="0045486C" w:rsidP="0045486C"/>
    <w:sectPr w:rsidR="0045486C" w:rsidRPr="0045486C" w:rsidSect="008E4BA5">
      <w:headerReference w:type="default" r:id="rId13"/>
      <w:footerReference w:type="default" r:id="rId14"/>
      <w:pgSz w:w="12240" w:h="15840" w:code="1"/>
      <w:pgMar w:top="1440" w:right="1080" w:bottom="1440" w:left="1080" w:header="720" w:footer="331"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0905" w:rsidRDefault="004D0905" w:rsidP="00E7669C">
      <w:r>
        <w:separator/>
      </w:r>
    </w:p>
  </w:endnote>
  <w:endnote w:type="continuationSeparator" w:id="0">
    <w:p w:rsidR="004D0905" w:rsidRDefault="004D0905" w:rsidP="00E7669C">
      <w:r>
        <w:continuationSeparator/>
      </w:r>
    </w:p>
  </w:endnote>
  <w:endnote w:type="continuationNotice" w:id="1">
    <w:p w:rsidR="004D0905" w:rsidRDefault="004D0905" w:rsidP="00E76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Ginga&gt;"/>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43" w:type="pct"/>
      <w:tblInd w:w="115" w:type="dxa"/>
      <w:tblBorders>
        <w:top w:val="single" w:sz="36" w:space="0" w:color="00549F"/>
      </w:tblBorders>
      <w:tblCellMar>
        <w:top w:w="72" w:type="dxa"/>
        <w:left w:w="115" w:type="dxa"/>
        <w:bottom w:w="72" w:type="dxa"/>
        <w:right w:w="115" w:type="dxa"/>
      </w:tblCellMar>
      <w:tblLook w:val="04A0" w:firstRow="1" w:lastRow="0" w:firstColumn="1" w:lastColumn="0" w:noHBand="0" w:noVBand="1"/>
    </w:tblPr>
    <w:tblGrid>
      <w:gridCol w:w="8922"/>
      <w:gridCol w:w="1270"/>
    </w:tblGrid>
    <w:tr w:rsidR="008515F0" w:rsidRPr="00FE285F" w:rsidTr="000B32B0">
      <w:trPr>
        <w:trHeight w:val="301"/>
      </w:trPr>
      <w:tc>
        <w:tcPr>
          <w:tcW w:w="4377" w:type="pct"/>
        </w:tcPr>
        <w:p w:rsidR="008515F0" w:rsidRPr="000C2B2A" w:rsidRDefault="00997992" w:rsidP="000C2B2A">
          <w:pPr>
            <w:pStyle w:val="Footer"/>
            <w:rPr>
              <w:rFonts w:asciiTheme="majorHAnsi" w:hAnsiTheme="majorHAnsi" w:cstheme="majorHAnsi"/>
              <w:sz w:val="18"/>
            </w:rPr>
          </w:pPr>
          <w:r w:rsidRPr="00997992">
            <w:rPr>
              <w:rFonts w:asciiTheme="majorHAnsi" w:hAnsiTheme="majorHAnsi" w:cstheme="majorHAnsi"/>
              <w:sz w:val="18"/>
            </w:rPr>
            <w:t>© 2013 Cloud Securit</w:t>
          </w:r>
          <w:r>
            <w:rPr>
              <w:rFonts w:asciiTheme="majorHAnsi" w:hAnsiTheme="majorHAnsi" w:cstheme="majorHAnsi"/>
              <w:sz w:val="18"/>
            </w:rPr>
            <w:t>y Alliance – All Rights Reserved</w:t>
          </w:r>
        </w:p>
      </w:tc>
      <w:tc>
        <w:tcPr>
          <w:tcW w:w="623" w:type="pct"/>
        </w:tcPr>
        <w:p w:rsidR="008515F0" w:rsidRPr="00FE285F" w:rsidRDefault="008515F0" w:rsidP="001154D3">
          <w:pPr>
            <w:pStyle w:val="Footer"/>
            <w:jc w:val="right"/>
            <w:rPr>
              <w:rFonts w:asciiTheme="majorHAnsi" w:hAnsiTheme="majorHAnsi" w:cstheme="majorHAnsi"/>
              <w:sz w:val="18"/>
            </w:rPr>
          </w:pPr>
          <w:r w:rsidRPr="00FE285F">
            <w:rPr>
              <w:rFonts w:asciiTheme="majorHAnsi" w:hAnsiTheme="majorHAnsi" w:cstheme="majorHAnsi"/>
              <w:sz w:val="18"/>
            </w:rPr>
            <w:fldChar w:fldCharType="begin"/>
          </w:r>
          <w:r w:rsidRPr="00FE285F">
            <w:rPr>
              <w:rFonts w:asciiTheme="majorHAnsi" w:hAnsiTheme="majorHAnsi" w:cstheme="majorHAnsi"/>
              <w:sz w:val="18"/>
            </w:rPr>
            <w:instrText xml:space="preserve"> PAGE   \* MERGEFORMAT </w:instrText>
          </w:r>
          <w:r w:rsidRPr="00FE285F">
            <w:rPr>
              <w:rFonts w:asciiTheme="majorHAnsi" w:hAnsiTheme="majorHAnsi" w:cstheme="majorHAnsi"/>
              <w:sz w:val="18"/>
            </w:rPr>
            <w:fldChar w:fldCharType="separate"/>
          </w:r>
          <w:r w:rsidR="00242E39">
            <w:rPr>
              <w:rFonts w:asciiTheme="majorHAnsi" w:hAnsiTheme="majorHAnsi" w:cstheme="majorHAnsi"/>
              <w:noProof/>
              <w:sz w:val="18"/>
            </w:rPr>
            <w:t>3</w:t>
          </w:r>
          <w:r w:rsidRPr="00FE285F">
            <w:rPr>
              <w:rFonts w:asciiTheme="majorHAnsi" w:hAnsiTheme="majorHAnsi" w:cstheme="majorHAnsi"/>
              <w:noProof/>
              <w:sz w:val="18"/>
            </w:rPr>
            <w:fldChar w:fldCharType="end"/>
          </w:r>
        </w:p>
      </w:tc>
    </w:tr>
  </w:tbl>
  <w:p w:rsidR="008515F0" w:rsidRPr="005E55E2" w:rsidRDefault="008515F0" w:rsidP="00E766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0905" w:rsidRDefault="004D0905" w:rsidP="00E7669C">
      <w:r>
        <w:separator/>
      </w:r>
    </w:p>
  </w:footnote>
  <w:footnote w:type="continuationSeparator" w:id="0">
    <w:p w:rsidR="004D0905" w:rsidRDefault="004D0905" w:rsidP="00E7669C">
      <w:r>
        <w:continuationSeparator/>
      </w:r>
    </w:p>
  </w:footnote>
  <w:footnote w:type="continuationNotice" w:id="1">
    <w:p w:rsidR="004D0905" w:rsidRDefault="004D0905" w:rsidP="00E7669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5F0" w:rsidRPr="008515F0" w:rsidRDefault="008515F0" w:rsidP="000C2B2A">
    <w:pPr>
      <w:pStyle w:val="Header"/>
      <w:tabs>
        <w:tab w:val="clear" w:pos="4680"/>
        <w:tab w:val="clear" w:pos="9360"/>
        <w:tab w:val="center" w:pos="5040"/>
        <w:tab w:val="right" w:pos="10080"/>
      </w:tabs>
      <w:rPr>
        <w:lang w:val="it-IT"/>
      </w:rPr>
    </w:pPr>
    <w:r w:rsidRPr="008515F0">
      <w:rPr>
        <w:noProof/>
      </w:rPr>
      <mc:AlternateContent>
        <mc:Choice Requires="wps">
          <w:drawing>
            <wp:anchor distT="0" distB="0" distL="114300" distR="114300" simplePos="0" relativeHeight="251659264" behindDoc="0" locked="0" layoutInCell="1" allowOverlap="1" wp14:anchorId="1EE0C770" wp14:editId="304FC810">
              <wp:simplePos x="0" y="0"/>
              <wp:positionH relativeFrom="column">
                <wp:posOffset>19050</wp:posOffset>
              </wp:positionH>
              <wp:positionV relativeFrom="paragraph">
                <wp:posOffset>104775</wp:posOffset>
              </wp:positionV>
              <wp:extent cx="6457950" cy="62230"/>
              <wp:effectExtent l="0" t="0" r="0" b="0"/>
              <wp:wrapNone/>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57950" cy="62230"/>
                      </a:xfrm>
                      <a:prstGeom prst="rect">
                        <a:avLst/>
                      </a:prstGeom>
                      <a:solidFill>
                        <a:srgbClr val="00549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515F0" w:rsidRDefault="008515F0" w:rsidP="00E7669C">
                          <w:proofErr w:type="gramStart"/>
                          <w:r>
                            <w:t>v</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5pt;margin-top:8.25pt;width:508.5pt;height:4.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" fillcolor="#00549f" stroked="f" strokeweight="2pt">
              <v:path arrowok="t"/>
              <v:textbox>
                <w:txbxContent>
                  <w:p w:rsidR="008515F0" w:rsidRDefault="008515F0" w:rsidP="00E7669C">
                    <w:r>
                      <w:t>v</w:t>
                    </w:r>
                  </w:p>
                </w:txbxContent>
              </v:textbox>
            </v:rect>
          </w:pict>
        </mc:Fallback>
      </mc:AlternateContent>
    </w:r>
    <w:r w:rsidRPr="008515F0">
      <w:rPr>
        <w:noProof/>
      </w:rPr>
      <mc:AlternateContent>
        <mc:Choice Requires="wps">
          <w:drawing>
            <wp:anchor distT="0" distB="0" distL="114300" distR="114300" simplePos="0" relativeHeight="251660288" behindDoc="0" locked="0" layoutInCell="1" allowOverlap="1" wp14:anchorId="7FBAE660" wp14:editId="4024E58A">
              <wp:simplePos x="0" y="0"/>
              <wp:positionH relativeFrom="column">
                <wp:posOffset>20955</wp:posOffset>
              </wp:positionH>
              <wp:positionV relativeFrom="paragraph">
                <wp:posOffset>-164465</wp:posOffset>
              </wp:positionV>
              <wp:extent cx="6515100" cy="266700"/>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15100"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515F0" w:rsidRPr="00DA6563" w:rsidRDefault="008515F0" w:rsidP="00DA6563">
                          <w:pPr>
                            <w:spacing w:after="0" w:line="240" w:lineRule="auto"/>
                            <w:jc w:val="right"/>
                            <w:rPr>
                              <w:rFonts w:asciiTheme="majorHAnsi" w:hAnsiTheme="majorHAnsi" w:cstheme="majorHAnsi"/>
                              <w:sz w:val="18"/>
                            </w:rPr>
                          </w:pPr>
                          <w:r w:rsidRPr="00DA6563">
                            <w:rPr>
                              <w:rFonts w:asciiTheme="majorHAnsi" w:hAnsiTheme="majorHAnsi" w:cstheme="majorHAnsi"/>
                              <w:color w:val="00549F"/>
                              <w:sz w:val="18"/>
                            </w:rPr>
                            <w:t xml:space="preserve">CLOUD SECURITY ALLIANCE </w:t>
                          </w:r>
                          <w:r w:rsidR="000C2B2A">
                            <w:rPr>
                              <w:rFonts w:asciiTheme="majorHAnsi" w:hAnsiTheme="majorHAnsi" w:cstheme="majorHAnsi"/>
                              <w:sz w:val="18"/>
                            </w:rPr>
                            <w:t xml:space="preserve">PLA </w:t>
                          </w:r>
                          <w:r w:rsidR="00997992">
                            <w:rPr>
                              <w:rFonts w:asciiTheme="majorHAnsi" w:hAnsiTheme="majorHAnsi" w:cstheme="majorHAnsi"/>
                              <w:sz w:val="18"/>
                            </w:rPr>
                            <w:t xml:space="preserve">Outline </w:t>
                          </w:r>
                          <w:r w:rsidR="00242E39">
                            <w:rPr>
                              <w:rFonts w:asciiTheme="majorHAnsi" w:hAnsiTheme="majorHAnsi" w:cstheme="majorHAnsi"/>
                              <w:sz w:val="18"/>
                            </w:rPr>
                            <w:t>Annex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7" type="#_x0000_t202" style="position:absolute;margin-left:1.65pt;margin-top:-12.95pt;width:513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" fillcolor="white [3201]" stroked="f" strokeweight=".5pt">
              <v:path arrowok="t"/>
              <v:textbox>
                <w:txbxContent>
                  <w:p w:rsidR="008515F0" w:rsidRPr="00DA6563" w:rsidRDefault="008515F0" w:rsidP="00DA6563">
                    <w:pPr>
                      <w:spacing w:after="0" w:line="240" w:lineRule="auto"/>
                      <w:jc w:val="right"/>
                      <w:rPr>
                        <w:rFonts w:asciiTheme="majorHAnsi" w:hAnsiTheme="majorHAnsi" w:cstheme="majorHAnsi"/>
                        <w:sz w:val="18"/>
                      </w:rPr>
                    </w:pPr>
                    <w:r w:rsidRPr="00DA6563">
                      <w:rPr>
                        <w:rFonts w:asciiTheme="majorHAnsi" w:hAnsiTheme="majorHAnsi" w:cstheme="majorHAnsi"/>
                        <w:color w:val="00549F"/>
                        <w:sz w:val="18"/>
                      </w:rPr>
                      <w:t xml:space="preserve">CLOUD SECURITY ALLIANCE </w:t>
                    </w:r>
                    <w:r w:rsidR="000C2B2A">
                      <w:rPr>
                        <w:rFonts w:asciiTheme="majorHAnsi" w:hAnsiTheme="majorHAnsi" w:cstheme="majorHAnsi"/>
                        <w:sz w:val="18"/>
                      </w:rPr>
                      <w:t xml:space="preserve">PLA </w:t>
                    </w:r>
                    <w:r w:rsidR="00997992">
                      <w:rPr>
                        <w:rFonts w:asciiTheme="majorHAnsi" w:hAnsiTheme="majorHAnsi" w:cstheme="majorHAnsi"/>
                        <w:sz w:val="18"/>
                      </w:rPr>
                      <w:t xml:space="preserve">Outline </w:t>
                    </w:r>
                    <w:r w:rsidR="00242E39">
                      <w:rPr>
                        <w:rFonts w:asciiTheme="majorHAnsi" w:hAnsiTheme="majorHAnsi" w:cstheme="majorHAnsi"/>
                        <w:sz w:val="18"/>
                      </w:rPr>
                      <w:t>Annex</w:t>
                    </w:r>
                  </w:p>
                </w:txbxContent>
              </v:textbox>
            </v:shape>
          </w:pict>
        </mc:Fallback>
      </mc:AlternateContent>
    </w:r>
    <w:r w:rsidRPr="008515F0">
      <w:rPr>
        <w:lang w:val="it-IT"/>
      </w:rPr>
      <w:tab/>
    </w:r>
    <w:r w:rsidR="000C2B2A">
      <w:rPr>
        <w:lang w:val="it-IT"/>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11C9E2E"/>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1358ED"/>
    <w:multiLevelType w:val="hybridMultilevel"/>
    <w:tmpl w:val="73761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BA0CBF"/>
    <w:multiLevelType w:val="multilevel"/>
    <w:tmpl w:val="ECA653E0"/>
    <w:lvl w:ilvl="0">
      <w:start w:val="1"/>
      <w:numFmt w:val="decimal"/>
      <w:suff w:val="space"/>
      <w:lvlText w:val="%1.0"/>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3">
    <w:nsid w:val="18BE5FD2"/>
    <w:multiLevelType w:val="hybridMultilevel"/>
    <w:tmpl w:val="B28E9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767419"/>
    <w:multiLevelType w:val="hybridMultilevel"/>
    <w:tmpl w:val="69729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D44F3"/>
    <w:multiLevelType w:val="hybridMultilevel"/>
    <w:tmpl w:val="CE3C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5080909"/>
    <w:multiLevelType w:val="hybridMultilevel"/>
    <w:tmpl w:val="B6883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8307875"/>
    <w:multiLevelType w:val="hybridMultilevel"/>
    <w:tmpl w:val="64102532"/>
    <w:lvl w:ilvl="0" w:tplc="74FC7FF4">
      <w:start w:val="1"/>
      <w:numFmt w:val="upperRoman"/>
      <w:pStyle w:val="Heading1"/>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2C53ED"/>
    <w:multiLevelType w:val="hybridMultilevel"/>
    <w:tmpl w:val="EE5E438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9">
    <w:nsid w:val="7D766867"/>
    <w:multiLevelType w:val="hybridMultilevel"/>
    <w:tmpl w:val="C52CE674"/>
    <w:lvl w:ilvl="0" w:tplc="72AEED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6"/>
  </w:num>
  <w:num w:numId="5">
    <w:abstractNumId w:val="1"/>
  </w:num>
  <w:num w:numId="6">
    <w:abstractNumId w:val="3"/>
  </w:num>
  <w:num w:numId="7">
    <w:abstractNumId w:val="8"/>
  </w:num>
  <w:num w:numId="8">
    <w:abstractNumId w:val="5"/>
  </w:num>
  <w:num w:numId="9">
    <w:abstractNumId w:val="4"/>
  </w:num>
  <w:num w:numId="10">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GB" w:vendorID="64" w:dllVersion="131078" w:nlCheck="1" w:checkStyle="1"/>
  <w:proofState w:spelling="clean" w:grammar="clean"/>
  <w:defaultTabStop w:val="43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B2A"/>
    <w:rsid w:val="00000199"/>
    <w:rsid w:val="000004B1"/>
    <w:rsid w:val="000034CB"/>
    <w:rsid w:val="000063CB"/>
    <w:rsid w:val="000078C7"/>
    <w:rsid w:val="00011D0B"/>
    <w:rsid w:val="00012454"/>
    <w:rsid w:val="00022705"/>
    <w:rsid w:val="000310C3"/>
    <w:rsid w:val="00032D09"/>
    <w:rsid w:val="000335F5"/>
    <w:rsid w:val="00034241"/>
    <w:rsid w:val="00034D59"/>
    <w:rsid w:val="00052CDE"/>
    <w:rsid w:val="000547CA"/>
    <w:rsid w:val="0007141A"/>
    <w:rsid w:val="0007305C"/>
    <w:rsid w:val="00076615"/>
    <w:rsid w:val="000808E8"/>
    <w:rsid w:val="00080B9B"/>
    <w:rsid w:val="00085A06"/>
    <w:rsid w:val="00087D07"/>
    <w:rsid w:val="00094B6B"/>
    <w:rsid w:val="000973B5"/>
    <w:rsid w:val="000A099E"/>
    <w:rsid w:val="000A166F"/>
    <w:rsid w:val="000B32B0"/>
    <w:rsid w:val="000B473D"/>
    <w:rsid w:val="000B77C1"/>
    <w:rsid w:val="000C0935"/>
    <w:rsid w:val="000C2B2A"/>
    <w:rsid w:val="000C47AE"/>
    <w:rsid w:val="000D34CC"/>
    <w:rsid w:val="000E4DCE"/>
    <w:rsid w:val="000F093F"/>
    <w:rsid w:val="000F2170"/>
    <w:rsid w:val="001019F1"/>
    <w:rsid w:val="001154D3"/>
    <w:rsid w:val="001222E8"/>
    <w:rsid w:val="001251B8"/>
    <w:rsid w:val="00133FBB"/>
    <w:rsid w:val="00137F90"/>
    <w:rsid w:val="0014045B"/>
    <w:rsid w:val="00142680"/>
    <w:rsid w:val="00144647"/>
    <w:rsid w:val="0016554D"/>
    <w:rsid w:val="001714C8"/>
    <w:rsid w:val="0017433D"/>
    <w:rsid w:val="00177CAF"/>
    <w:rsid w:val="0018758A"/>
    <w:rsid w:val="00194DEB"/>
    <w:rsid w:val="00195058"/>
    <w:rsid w:val="001A051E"/>
    <w:rsid w:val="001A1EE8"/>
    <w:rsid w:val="001A59A3"/>
    <w:rsid w:val="001A6B47"/>
    <w:rsid w:val="001B21C8"/>
    <w:rsid w:val="001B3191"/>
    <w:rsid w:val="001C513A"/>
    <w:rsid w:val="001D3AE4"/>
    <w:rsid w:val="001D4BF9"/>
    <w:rsid w:val="001D5BEA"/>
    <w:rsid w:val="001E2848"/>
    <w:rsid w:val="001E2B27"/>
    <w:rsid w:val="001E489D"/>
    <w:rsid w:val="002019E3"/>
    <w:rsid w:val="0020329E"/>
    <w:rsid w:val="00216D44"/>
    <w:rsid w:val="002173AF"/>
    <w:rsid w:val="0023069C"/>
    <w:rsid w:val="002346D8"/>
    <w:rsid w:val="002373A1"/>
    <w:rsid w:val="002374DB"/>
    <w:rsid w:val="0024295A"/>
    <w:rsid w:val="00242E39"/>
    <w:rsid w:val="002509BC"/>
    <w:rsid w:val="00250B69"/>
    <w:rsid w:val="00251D3E"/>
    <w:rsid w:val="00252369"/>
    <w:rsid w:val="00276A04"/>
    <w:rsid w:val="00286185"/>
    <w:rsid w:val="002903FE"/>
    <w:rsid w:val="00295B2F"/>
    <w:rsid w:val="002A2F4B"/>
    <w:rsid w:val="002A5524"/>
    <w:rsid w:val="002A7015"/>
    <w:rsid w:val="002B5AA6"/>
    <w:rsid w:val="002C6378"/>
    <w:rsid w:val="002C6AA8"/>
    <w:rsid w:val="002D6854"/>
    <w:rsid w:val="002E467C"/>
    <w:rsid w:val="002F1016"/>
    <w:rsid w:val="002F1503"/>
    <w:rsid w:val="002F368D"/>
    <w:rsid w:val="002F4323"/>
    <w:rsid w:val="002F4638"/>
    <w:rsid w:val="002F5F7E"/>
    <w:rsid w:val="002F7733"/>
    <w:rsid w:val="00300C4F"/>
    <w:rsid w:val="003068D8"/>
    <w:rsid w:val="00315BDC"/>
    <w:rsid w:val="00321861"/>
    <w:rsid w:val="003222B6"/>
    <w:rsid w:val="00322311"/>
    <w:rsid w:val="00326F39"/>
    <w:rsid w:val="0032795B"/>
    <w:rsid w:val="0035275D"/>
    <w:rsid w:val="00354370"/>
    <w:rsid w:val="00356748"/>
    <w:rsid w:val="00362BD2"/>
    <w:rsid w:val="00365C98"/>
    <w:rsid w:val="00367EED"/>
    <w:rsid w:val="00371F47"/>
    <w:rsid w:val="0037543A"/>
    <w:rsid w:val="00376489"/>
    <w:rsid w:val="00376BCF"/>
    <w:rsid w:val="00377AC0"/>
    <w:rsid w:val="00380262"/>
    <w:rsid w:val="00382F60"/>
    <w:rsid w:val="0038328E"/>
    <w:rsid w:val="00383F1C"/>
    <w:rsid w:val="00386644"/>
    <w:rsid w:val="00387192"/>
    <w:rsid w:val="00394E97"/>
    <w:rsid w:val="00395B91"/>
    <w:rsid w:val="00396618"/>
    <w:rsid w:val="003A107D"/>
    <w:rsid w:val="003A2EAF"/>
    <w:rsid w:val="003A59C8"/>
    <w:rsid w:val="003A5C31"/>
    <w:rsid w:val="003B23E0"/>
    <w:rsid w:val="003D1DE1"/>
    <w:rsid w:val="003E4CC2"/>
    <w:rsid w:val="003E6524"/>
    <w:rsid w:val="003E7056"/>
    <w:rsid w:val="003F1C51"/>
    <w:rsid w:val="003F5EE3"/>
    <w:rsid w:val="003F614B"/>
    <w:rsid w:val="00400A8A"/>
    <w:rsid w:val="00400ED9"/>
    <w:rsid w:val="00407183"/>
    <w:rsid w:val="00413223"/>
    <w:rsid w:val="00413CE9"/>
    <w:rsid w:val="00415119"/>
    <w:rsid w:val="00420990"/>
    <w:rsid w:val="00425B7D"/>
    <w:rsid w:val="0043089F"/>
    <w:rsid w:val="00431504"/>
    <w:rsid w:val="00431CF1"/>
    <w:rsid w:val="004379AF"/>
    <w:rsid w:val="0045486C"/>
    <w:rsid w:val="00462BEE"/>
    <w:rsid w:val="00462E08"/>
    <w:rsid w:val="004674E8"/>
    <w:rsid w:val="0047470C"/>
    <w:rsid w:val="004752AB"/>
    <w:rsid w:val="004768DF"/>
    <w:rsid w:val="00480A08"/>
    <w:rsid w:val="00484070"/>
    <w:rsid w:val="004841B0"/>
    <w:rsid w:val="004876D6"/>
    <w:rsid w:val="00493EE2"/>
    <w:rsid w:val="0049439C"/>
    <w:rsid w:val="0049695A"/>
    <w:rsid w:val="004B25F5"/>
    <w:rsid w:val="004D0905"/>
    <w:rsid w:val="004D4A58"/>
    <w:rsid w:val="004E11A9"/>
    <w:rsid w:val="004F0115"/>
    <w:rsid w:val="00500A58"/>
    <w:rsid w:val="005040C8"/>
    <w:rsid w:val="00517100"/>
    <w:rsid w:val="00520988"/>
    <w:rsid w:val="00523846"/>
    <w:rsid w:val="005268EE"/>
    <w:rsid w:val="00526C27"/>
    <w:rsid w:val="00530FA5"/>
    <w:rsid w:val="00531919"/>
    <w:rsid w:val="005324B4"/>
    <w:rsid w:val="00534D23"/>
    <w:rsid w:val="005432FB"/>
    <w:rsid w:val="00544104"/>
    <w:rsid w:val="005445D7"/>
    <w:rsid w:val="00544F47"/>
    <w:rsid w:val="00552208"/>
    <w:rsid w:val="005610F3"/>
    <w:rsid w:val="00562381"/>
    <w:rsid w:val="00562EA4"/>
    <w:rsid w:val="005649AD"/>
    <w:rsid w:val="00573046"/>
    <w:rsid w:val="00573F2C"/>
    <w:rsid w:val="0058147A"/>
    <w:rsid w:val="00586E95"/>
    <w:rsid w:val="00594F02"/>
    <w:rsid w:val="005A044C"/>
    <w:rsid w:val="005A2802"/>
    <w:rsid w:val="005A755E"/>
    <w:rsid w:val="005C2489"/>
    <w:rsid w:val="005C5E0D"/>
    <w:rsid w:val="005D1C7C"/>
    <w:rsid w:val="005D2FE8"/>
    <w:rsid w:val="005D432B"/>
    <w:rsid w:val="005D64AC"/>
    <w:rsid w:val="005E55E2"/>
    <w:rsid w:val="005E7909"/>
    <w:rsid w:val="005F5B30"/>
    <w:rsid w:val="00605139"/>
    <w:rsid w:val="00606FCA"/>
    <w:rsid w:val="006172DE"/>
    <w:rsid w:val="0061777D"/>
    <w:rsid w:val="00620EDC"/>
    <w:rsid w:val="006222D6"/>
    <w:rsid w:val="006235C4"/>
    <w:rsid w:val="0062409D"/>
    <w:rsid w:val="00624477"/>
    <w:rsid w:val="00625FCF"/>
    <w:rsid w:val="00627A0D"/>
    <w:rsid w:val="00634644"/>
    <w:rsid w:val="006403CA"/>
    <w:rsid w:val="006410C0"/>
    <w:rsid w:val="00650C6E"/>
    <w:rsid w:val="00651687"/>
    <w:rsid w:val="00660691"/>
    <w:rsid w:val="00670D5E"/>
    <w:rsid w:val="006739FE"/>
    <w:rsid w:val="0067464D"/>
    <w:rsid w:val="00684591"/>
    <w:rsid w:val="0068460A"/>
    <w:rsid w:val="0068633F"/>
    <w:rsid w:val="00694670"/>
    <w:rsid w:val="00696E96"/>
    <w:rsid w:val="006A08C7"/>
    <w:rsid w:val="006A6C51"/>
    <w:rsid w:val="006C3283"/>
    <w:rsid w:val="006C4D6F"/>
    <w:rsid w:val="006C577A"/>
    <w:rsid w:val="006C7301"/>
    <w:rsid w:val="006D5677"/>
    <w:rsid w:val="006E06EF"/>
    <w:rsid w:val="006E077F"/>
    <w:rsid w:val="006F77CE"/>
    <w:rsid w:val="00700981"/>
    <w:rsid w:val="00706AD1"/>
    <w:rsid w:val="00714D87"/>
    <w:rsid w:val="00726C96"/>
    <w:rsid w:val="00731D20"/>
    <w:rsid w:val="007342FC"/>
    <w:rsid w:val="00752251"/>
    <w:rsid w:val="007547BB"/>
    <w:rsid w:val="007669BE"/>
    <w:rsid w:val="00770811"/>
    <w:rsid w:val="00770BCD"/>
    <w:rsid w:val="00774602"/>
    <w:rsid w:val="00774C00"/>
    <w:rsid w:val="007750AF"/>
    <w:rsid w:val="0077528B"/>
    <w:rsid w:val="00785E30"/>
    <w:rsid w:val="00791D8B"/>
    <w:rsid w:val="007A02FA"/>
    <w:rsid w:val="007A0417"/>
    <w:rsid w:val="007B0B96"/>
    <w:rsid w:val="007B498A"/>
    <w:rsid w:val="007C1B3C"/>
    <w:rsid w:val="007D05D4"/>
    <w:rsid w:val="007D0B8C"/>
    <w:rsid w:val="007D2E88"/>
    <w:rsid w:val="007F0040"/>
    <w:rsid w:val="007F1FCE"/>
    <w:rsid w:val="007F2233"/>
    <w:rsid w:val="00803FF5"/>
    <w:rsid w:val="00804B0A"/>
    <w:rsid w:val="00805F3B"/>
    <w:rsid w:val="008062A4"/>
    <w:rsid w:val="00811233"/>
    <w:rsid w:val="00812583"/>
    <w:rsid w:val="008152E9"/>
    <w:rsid w:val="00815798"/>
    <w:rsid w:val="0081637C"/>
    <w:rsid w:val="00816745"/>
    <w:rsid w:val="008262C4"/>
    <w:rsid w:val="00836CF1"/>
    <w:rsid w:val="00845A91"/>
    <w:rsid w:val="008515F0"/>
    <w:rsid w:val="00851812"/>
    <w:rsid w:val="008532FC"/>
    <w:rsid w:val="0085408A"/>
    <w:rsid w:val="00856075"/>
    <w:rsid w:val="0085654A"/>
    <w:rsid w:val="008644C5"/>
    <w:rsid w:val="008652BC"/>
    <w:rsid w:val="00874CBB"/>
    <w:rsid w:val="00875502"/>
    <w:rsid w:val="008768B4"/>
    <w:rsid w:val="00886B2C"/>
    <w:rsid w:val="00895483"/>
    <w:rsid w:val="00895AB5"/>
    <w:rsid w:val="00897561"/>
    <w:rsid w:val="008A3B24"/>
    <w:rsid w:val="008A71E8"/>
    <w:rsid w:val="008B77C4"/>
    <w:rsid w:val="008C2916"/>
    <w:rsid w:val="008D200B"/>
    <w:rsid w:val="008D2AC9"/>
    <w:rsid w:val="008D35A2"/>
    <w:rsid w:val="008D5C19"/>
    <w:rsid w:val="008E20DB"/>
    <w:rsid w:val="008E4BA5"/>
    <w:rsid w:val="008F23AF"/>
    <w:rsid w:val="008F5647"/>
    <w:rsid w:val="009045E4"/>
    <w:rsid w:val="00905F80"/>
    <w:rsid w:val="00906341"/>
    <w:rsid w:val="00917DD4"/>
    <w:rsid w:val="00920148"/>
    <w:rsid w:val="009245C1"/>
    <w:rsid w:val="009256AF"/>
    <w:rsid w:val="00936B27"/>
    <w:rsid w:val="0094492C"/>
    <w:rsid w:val="0094608C"/>
    <w:rsid w:val="00955FED"/>
    <w:rsid w:val="00963D86"/>
    <w:rsid w:val="00965CA5"/>
    <w:rsid w:val="0098205A"/>
    <w:rsid w:val="00997992"/>
    <w:rsid w:val="009A01C8"/>
    <w:rsid w:val="009A3C5E"/>
    <w:rsid w:val="009B1C8A"/>
    <w:rsid w:val="009B405A"/>
    <w:rsid w:val="009B5ECF"/>
    <w:rsid w:val="009C77F5"/>
    <w:rsid w:val="009E66C0"/>
    <w:rsid w:val="009E751D"/>
    <w:rsid w:val="009F529A"/>
    <w:rsid w:val="00A0302A"/>
    <w:rsid w:val="00A053F0"/>
    <w:rsid w:val="00A05E20"/>
    <w:rsid w:val="00A24D4D"/>
    <w:rsid w:val="00A25457"/>
    <w:rsid w:val="00A35C95"/>
    <w:rsid w:val="00A45103"/>
    <w:rsid w:val="00A566D8"/>
    <w:rsid w:val="00A63974"/>
    <w:rsid w:val="00A73556"/>
    <w:rsid w:val="00A8086C"/>
    <w:rsid w:val="00A93752"/>
    <w:rsid w:val="00A94444"/>
    <w:rsid w:val="00A969E2"/>
    <w:rsid w:val="00AA0F34"/>
    <w:rsid w:val="00AA2B1B"/>
    <w:rsid w:val="00AA32DF"/>
    <w:rsid w:val="00AB25A1"/>
    <w:rsid w:val="00AC11E3"/>
    <w:rsid w:val="00AC6D8D"/>
    <w:rsid w:val="00AC7A0F"/>
    <w:rsid w:val="00AE17A7"/>
    <w:rsid w:val="00AE3C9D"/>
    <w:rsid w:val="00AE79C8"/>
    <w:rsid w:val="00AF0BA8"/>
    <w:rsid w:val="00B036BC"/>
    <w:rsid w:val="00B21ECF"/>
    <w:rsid w:val="00B229AA"/>
    <w:rsid w:val="00B25D5D"/>
    <w:rsid w:val="00B3101F"/>
    <w:rsid w:val="00B32C57"/>
    <w:rsid w:val="00B33154"/>
    <w:rsid w:val="00B335DF"/>
    <w:rsid w:val="00B33FE9"/>
    <w:rsid w:val="00B37B1F"/>
    <w:rsid w:val="00B40BB0"/>
    <w:rsid w:val="00B45757"/>
    <w:rsid w:val="00B6092F"/>
    <w:rsid w:val="00B732E9"/>
    <w:rsid w:val="00B73991"/>
    <w:rsid w:val="00B823EA"/>
    <w:rsid w:val="00B8262E"/>
    <w:rsid w:val="00B86DA4"/>
    <w:rsid w:val="00B87937"/>
    <w:rsid w:val="00B920CE"/>
    <w:rsid w:val="00B95902"/>
    <w:rsid w:val="00BA0972"/>
    <w:rsid w:val="00BA751F"/>
    <w:rsid w:val="00BB0E30"/>
    <w:rsid w:val="00BB39BA"/>
    <w:rsid w:val="00BC73BE"/>
    <w:rsid w:val="00BE663F"/>
    <w:rsid w:val="00BF0DC1"/>
    <w:rsid w:val="00C03263"/>
    <w:rsid w:val="00C11207"/>
    <w:rsid w:val="00C12881"/>
    <w:rsid w:val="00C139AD"/>
    <w:rsid w:val="00C15467"/>
    <w:rsid w:val="00C160C3"/>
    <w:rsid w:val="00C23FA0"/>
    <w:rsid w:val="00C24F89"/>
    <w:rsid w:val="00C40241"/>
    <w:rsid w:val="00C56C30"/>
    <w:rsid w:val="00C57BBB"/>
    <w:rsid w:val="00C62DA3"/>
    <w:rsid w:val="00C6646A"/>
    <w:rsid w:val="00C71C8F"/>
    <w:rsid w:val="00C750FF"/>
    <w:rsid w:val="00C856D4"/>
    <w:rsid w:val="00C9134F"/>
    <w:rsid w:val="00C91BBB"/>
    <w:rsid w:val="00C91EA2"/>
    <w:rsid w:val="00C93A90"/>
    <w:rsid w:val="00CA21C3"/>
    <w:rsid w:val="00CA33DE"/>
    <w:rsid w:val="00CA38BC"/>
    <w:rsid w:val="00CA4923"/>
    <w:rsid w:val="00CA55EB"/>
    <w:rsid w:val="00CA6338"/>
    <w:rsid w:val="00CB57F4"/>
    <w:rsid w:val="00CC419A"/>
    <w:rsid w:val="00CD4B14"/>
    <w:rsid w:val="00CD6930"/>
    <w:rsid w:val="00CF703C"/>
    <w:rsid w:val="00D018C5"/>
    <w:rsid w:val="00D1335C"/>
    <w:rsid w:val="00D23A91"/>
    <w:rsid w:val="00D250A0"/>
    <w:rsid w:val="00D26548"/>
    <w:rsid w:val="00D327A1"/>
    <w:rsid w:val="00D34343"/>
    <w:rsid w:val="00D518D1"/>
    <w:rsid w:val="00D67A40"/>
    <w:rsid w:val="00D82E74"/>
    <w:rsid w:val="00D9083E"/>
    <w:rsid w:val="00D917B1"/>
    <w:rsid w:val="00D954BE"/>
    <w:rsid w:val="00DA1140"/>
    <w:rsid w:val="00DA1E6B"/>
    <w:rsid w:val="00DA224F"/>
    <w:rsid w:val="00DA2DD8"/>
    <w:rsid w:val="00DA3999"/>
    <w:rsid w:val="00DA6563"/>
    <w:rsid w:val="00DB01C6"/>
    <w:rsid w:val="00DB1110"/>
    <w:rsid w:val="00DB1DC6"/>
    <w:rsid w:val="00DB2E59"/>
    <w:rsid w:val="00DB6BCC"/>
    <w:rsid w:val="00DC3687"/>
    <w:rsid w:val="00DE0504"/>
    <w:rsid w:val="00DE2D8D"/>
    <w:rsid w:val="00DE77FF"/>
    <w:rsid w:val="00DF39C0"/>
    <w:rsid w:val="00DF5C0F"/>
    <w:rsid w:val="00E03B43"/>
    <w:rsid w:val="00E162BA"/>
    <w:rsid w:val="00E20607"/>
    <w:rsid w:val="00E22745"/>
    <w:rsid w:val="00E2520B"/>
    <w:rsid w:val="00E267EC"/>
    <w:rsid w:val="00E3390B"/>
    <w:rsid w:val="00E4167D"/>
    <w:rsid w:val="00E417F9"/>
    <w:rsid w:val="00E525B0"/>
    <w:rsid w:val="00E54204"/>
    <w:rsid w:val="00E56B92"/>
    <w:rsid w:val="00E65682"/>
    <w:rsid w:val="00E6586E"/>
    <w:rsid w:val="00E65C18"/>
    <w:rsid w:val="00E66046"/>
    <w:rsid w:val="00E7669C"/>
    <w:rsid w:val="00E7738C"/>
    <w:rsid w:val="00E84E29"/>
    <w:rsid w:val="00E94F49"/>
    <w:rsid w:val="00EA1E16"/>
    <w:rsid w:val="00EB39DB"/>
    <w:rsid w:val="00EC0AC0"/>
    <w:rsid w:val="00EC39DD"/>
    <w:rsid w:val="00EC3D53"/>
    <w:rsid w:val="00EC7845"/>
    <w:rsid w:val="00ED143D"/>
    <w:rsid w:val="00ED1D4A"/>
    <w:rsid w:val="00EE0F9F"/>
    <w:rsid w:val="00EE1009"/>
    <w:rsid w:val="00EE3877"/>
    <w:rsid w:val="00EF072A"/>
    <w:rsid w:val="00EF2730"/>
    <w:rsid w:val="00EF4D25"/>
    <w:rsid w:val="00EF5375"/>
    <w:rsid w:val="00F06668"/>
    <w:rsid w:val="00F06B8C"/>
    <w:rsid w:val="00F072B8"/>
    <w:rsid w:val="00F0781C"/>
    <w:rsid w:val="00F24682"/>
    <w:rsid w:val="00F2549B"/>
    <w:rsid w:val="00F35536"/>
    <w:rsid w:val="00F36CF4"/>
    <w:rsid w:val="00F43714"/>
    <w:rsid w:val="00F474FB"/>
    <w:rsid w:val="00F546E6"/>
    <w:rsid w:val="00F56B95"/>
    <w:rsid w:val="00F66A72"/>
    <w:rsid w:val="00F71E2A"/>
    <w:rsid w:val="00F73B65"/>
    <w:rsid w:val="00F759D8"/>
    <w:rsid w:val="00F81CCB"/>
    <w:rsid w:val="00F84A31"/>
    <w:rsid w:val="00F914B9"/>
    <w:rsid w:val="00FA5E26"/>
    <w:rsid w:val="00FB4C00"/>
    <w:rsid w:val="00FB66DC"/>
    <w:rsid w:val="00FC1D08"/>
    <w:rsid w:val="00FC60B3"/>
    <w:rsid w:val="00FC66C1"/>
    <w:rsid w:val="00FD09F9"/>
    <w:rsid w:val="00FD5BE9"/>
    <w:rsid w:val="00FD7A60"/>
    <w:rsid w:val="00FE285F"/>
    <w:rsid w:val="00FF0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9C"/>
  </w:style>
  <w:style w:type="paragraph" w:styleId="Heading1">
    <w:name w:val="heading 1"/>
    <w:basedOn w:val="Normal"/>
    <w:next w:val="Normal"/>
    <w:link w:val="Heading1Char"/>
    <w:autoRedefine/>
    <w:uiPriority w:val="9"/>
    <w:qFormat/>
    <w:rsid w:val="000C2B2A"/>
    <w:pPr>
      <w:keepNext/>
      <w:keepLines/>
      <w:numPr>
        <w:numId w:val="3"/>
      </w:numPr>
      <w:spacing w:before="480" w:after="240"/>
      <w:ind w:left="450" w:hanging="450"/>
      <w:outlineLvl w:val="0"/>
    </w:pPr>
    <w:rPr>
      <w:rFonts w:asciiTheme="majorHAnsi" w:eastAsiaTheme="majorEastAsia" w:hAnsiTheme="majorHAnsi" w:cstheme="majorHAnsi"/>
      <w:bCs/>
      <w:color w:val="00549F"/>
      <w:sz w:val="44"/>
      <w:szCs w:val="36"/>
    </w:rPr>
  </w:style>
  <w:style w:type="paragraph" w:styleId="Heading2">
    <w:name w:val="heading 2"/>
    <w:basedOn w:val="Normal"/>
    <w:next w:val="Normal"/>
    <w:link w:val="Heading2Char"/>
    <w:uiPriority w:val="9"/>
    <w:unhideWhenUsed/>
    <w:qFormat/>
    <w:rsid w:val="002F5F7E"/>
    <w:pPr>
      <w:keepNext/>
      <w:keepLines/>
      <w:numPr>
        <w:ilvl w:val="1"/>
        <w:numId w:val="2"/>
      </w:numPr>
      <w:spacing w:before="200" w:after="120"/>
      <w:outlineLvl w:val="1"/>
    </w:pPr>
    <w:rPr>
      <w:rFonts w:asciiTheme="majorHAnsi" w:eastAsiaTheme="majorEastAsia" w:hAnsiTheme="majorHAnsi" w:cstheme="majorBidi"/>
      <w:bCs/>
      <w:color w:val="00549F"/>
      <w:sz w:val="36"/>
      <w:szCs w:val="28"/>
    </w:rPr>
  </w:style>
  <w:style w:type="paragraph" w:styleId="Heading3">
    <w:name w:val="heading 3"/>
    <w:basedOn w:val="Normal"/>
    <w:next w:val="Normal"/>
    <w:link w:val="Heading3Char"/>
    <w:uiPriority w:val="9"/>
    <w:unhideWhenUsed/>
    <w:qFormat/>
    <w:rsid w:val="002F5F7E"/>
    <w:pPr>
      <w:keepNext/>
      <w:keepLines/>
      <w:numPr>
        <w:ilvl w:val="2"/>
        <w:numId w:val="2"/>
      </w:numPr>
      <w:spacing w:before="200" w:after="120"/>
      <w:outlineLvl w:val="2"/>
    </w:pPr>
    <w:rPr>
      <w:rFonts w:asciiTheme="majorHAnsi" w:eastAsiaTheme="majorEastAsia" w:hAnsiTheme="majorHAnsi" w:cstheme="majorBidi"/>
      <w:bCs/>
      <w:color w:val="00549F"/>
      <w:sz w:val="32"/>
      <w:szCs w:val="24"/>
      <w:lang w:eastAsia="ar-SA"/>
    </w:rPr>
  </w:style>
  <w:style w:type="paragraph" w:styleId="Heading4">
    <w:name w:val="heading 4"/>
    <w:basedOn w:val="Normal"/>
    <w:next w:val="Normal"/>
    <w:link w:val="Heading4Char"/>
    <w:uiPriority w:val="9"/>
    <w:unhideWhenUsed/>
    <w:qFormat/>
    <w:rsid w:val="000B32B0"/>
    <w:pPr>
      <w:keepNext/>
      <w:keepLines/>
      <w:numPr>
        <w:ilvl w:val="3"/>
        <w:numId w:val="2"/>
      </w:numPr>
      <w:spacing w:before="200" w:after="120"/>
      <w:outlineLvl w:val="3"/>
    </w:pPr>
    <w:rPr>
      <w:rFonts w:asciiTheme="majorHAnsi" w:eastAsiaTheme="majorEastAsia" w:hAnsiTheme="majorHAnsi" w:cstheme="majorHAnsi"/>
      <w:bCs/>
      <w:iCs/>
      <w:color w:val="00549F"/>
      <w:sz w:val="28"/>
    </w:rPr>
  </w:style>
  <w:style w:type="paragraph" w:styleId="Heading5">
    <w:name w:val="heading 5"/>
    <w:basedOn w:val="Normal"/>
    <w:next w:val="Normal"/>
    <w:link w:val="Heading5Char"/>
    <w:uiPriority w:val="9"/>
    <w:unhideWhenUsed/>
    <w:qFormat/>
    <w:rsid w:val="000B32B0"/>
    <w:pPr>
      <w:numPr>
        <w:ilvl w:val="4"/>
        <w:numId w:val="2"/>
      </w:numPr>
      <w:spacing w:before="200" w:after="120"/>
      <w:outlineLvl w:val="4"/>
    </w:pPr>
    <w:rPr>
      <w:rFonts w:asciiTheme="majorHAnsi" w:eastAsiaTheme="majorEastAsia" w:hAnsiTheme="majorHAnsi" w:cstheme="majorBidi"/>
      <w:bCs/>
      <w:color w:val="00549F"/>
      <w:sz w:val="24"/>
    </w:rPr>
  </w:style>
  <w:style w:type="paragraph" w:styleId="Heading6">
    <w:name w:val="heading 6"/>
    <w:basedOn w:val="Normal"/>
    <w:next w:val="Normal"/>
    <w:link w:val="Heading6Char"/>
    <w:uiPriority w:val="9"/>
    <w:semiHidden/>
    <w:unhideWhenUsed/>
    <w:qFormat/>
    <w:rsid w:val="000B32B0"/>
    <w:pPr>
      <w:numPr>
        <w:ilvl w:val="5"/>
        <w:numId w:val="2"/>
      </w:numPr>
      <w:spacing w:after="0" w:line="271" w:lineRule="auto"/>
      <w:outlineLvl w:val="5"/>
    </w:pPr>
    <w:rPr>
      <w:rFonts w:ascii="Open Sans Semibold" w:eastAsiaTheme="majorEastAsia" w:hAnsi="Open Sans Semibold" w:cstheme="majorBidi"/>
      <w:bCs/>
      <w:i/>
      <w:iCs/>
      <w:color w:val="7F7F7F" w:themeColor="text1" w:themeTint="80"/>
    </w:rPr>
  </w:style>
  <w:style w:type="paragraph" w:styleId="Heading7">
    <w:name w:val="heading 7"/>
    <w:basedOn w:val="Normal"/>
    <w:next w:val="Normal"/>
    <w:link w:val="Heading7Char"/>
    <w:uiPriority w:val="9"/>
    <w:semiHidden/>
    <w:unhideWhenUsed/>
    <w:qFormat/>
    <w:rsid w:val="00367EED"/>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67EED"/>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67EED"/>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2A"/>
    <w:rPr>
      <w:rFonts w:asciiTheme="majorHAnsi" w:eastAsiaTheme="majorEastAsia" w:hAnsiTheme="majorHAnsi" w:cstheme="majorHAnsi"/>
      <w:bCs/>
      <w:color w:val="00549F"/>
      <w:sz w:val="44"/>
      <w:szCs w:val="36"/>
    </w:rPr>
  </w:style>
  <w:style w:type="character" w:customStyle="1" w:styleId="Heading2Char">
    <w:name w:val="Heading 2 Char"/>
    <w:basedOn w:val="DefaultParagraphFont"/>
    <w:link w:val="Heading2"/>
    <w:uiPriority w:val="9"/>
    <w:rsid w:val="002F5F7E"/>
    <w:rPr>
      <w:rFonts w:asciiTheme="majorHAnsi" w:eastAsiaTheme="majorEastAsia" w:hAnsiTheme="majorHAnsi" w:cstheme="majorBidi"/>
      <w:bCs/>
      <w:color w:val="00549F"/>
      <w:sz w:val="36"/>
      <w:szCs w:val="28"/>
    </w:rPr>
  </w:style>
  <w:style w:type="paragraph" w:styleId="ListParagraph">
    <w:name w:val="List Paragraph"/>
    <w:basedOn w:val="Normal"/>
    <w:uiPriority w:val="34"/>
    <w:qFormat/>
    <w:rsid w:val="00367EED"/>
    <w:pPr>
      <w:ind w:left="720"/>
      <w:contextualSpacing/>
    </w:pPr>
  </w:style>
  <w:style w:type="character" w:customStyle="1" w:styleId="Heading3Char">
    <w:name w:val="Heading 3 Char"/>
    <w:basedOn w:val="DefaultParagraphFont"/>
    <w:link w:val="Heading3"/>
    <w:uiPriority w:val="9"/>
    <w:rsid w:val="002F5F7E"/>
    <w:rPr>
      <w:rFonts w:asciiTheme="majorHAnsi" w:eastAsiaTheme="majorEastAsia" w:hAnsiTheme="majorHAnsi" w:cstheme="majorBidi"/>
      <w:bCs/>
      <w:color w:val="00549F"/>
      <w:sz w:val="32"/>
      <w:szCs w:val="24"/>
      <w:lang w:eastAsia="ar-SA"/>
    </w:rPr>
  </w:style>
  <w:style w:type="character" w:customStyle="1" w:styleId="Heading4Char">
    <w:name w:val="Heading 4 Char"/>
    <w:basedOn w:val="DefaultParagraphFont"/>
    <w:link w:val="Heading4"/>
    <w:uiPriority w:val="9"/>
    <w:rsid w:val="000B32B0"/>
    <w:rPr>
      <w:rFonts w:asciiTheme="majorHAnsi" w:eastAsiaTheme="majorEastAsia" w:hAnsiTheme="majorHAnsi" w:cstheme="majorHAnsi"/>
      <w:bCs/>
      <w:iCs/>
      <w:color w:val="00549F"/>
      <w:sz w:val="28"/>
    </w:rPr>
  </w:style>
  <w:style w:type="character" w:customStyle="1" w:styleId="Heading5Char">
    <w:name w:val="Heading 5 Char"/>
    <w:basedOn w:val="DefaultParagraphFont"/>
    <w:link w:val="Heading5"/>
    <w:uiPriority w:val="9"/>
    <w:rsid w:val="000B32B0"/>
    <w:rPr>
      <w:rFonts w:asciiTheme="majorHAnsi" w:eastAsiaTheme="majorEastAsia" w:hAnsiTheme="majorHAnsi" w:cstheme="majorBidi"/>
      <w:bCs/>
      <w:color w:val="00549F"/>
      <w:sz w:val="24"/>
    </w:rPr>
  </w:style>
  <w:style w:type="character" w:customStyle="1" w:styleId="Heading6Char">
    <w:name w:val="Heading 6 Char"/>
    <w:basedOn w:val="DefaultParagraphFont"/>
    <w:link w:val="Heading6"/>
    <w:uiPriority w:val="9"/>
    <w:semiHidden/>
    <w:rsid w:val="000B32B0"/>
    <w:rPr>
      <w:rFonts w:ascii="Open Sans Semibold" w:eastAsiaTheme="majorEastAsia" w:hAnsi="Open Sans Semibold" w:cstheme="majorBidi"/>
      <w:bCs/>
      <w:i/>
      <w:iCs/>
      <w:color w:val="7F7F7F" w:themeColor="text1" w:themeTint="80"/>
    </w:rPr>
  </w:style>
  <w:style w:type="character" w:customStyle="1" w:styleId="Heading7Char">
    <w:name w:val="Heading 7 Char"/>
    <w:basedOn w:val="DefaultParagraphFont"/>
    <w:link w:val="Heading7"/>
    <w:uiPriority w:val="9"/>
    <w:semiHidden/>
    <w:rsid w:val="00367E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67E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67EED"/>
    <w:rPr>
      <w:rFonts w:asciiTheme="majorHAnsi" w:eastAsiaTheme="majorEastAsia" w:hAnsiTheme="majorHAnsi" w:cstheme="majorBidi"/>
      <w:i/>
      <w:iCs/>
      <w:spacing w:val="5"/>
      <w:sz w:val="20"/>
      <w:szCs w:val="20"/>
    </w:rPr>
  </w:style>
  <w:style w:type="character" w:styleId="Strong">
    <w:name w:val="Strong"/>
    <w:uiPriority w:val="22"/>
    <w:qFormat/>
    <w:rsid w:val="00367EED"/>
    <w:rPr>
      <w:b/>
      <w:bCs/>
    </w:rPr>
  </w:style>
  <w:style w:type="paragraph" w:styleId="Title">
    <w:name w:val="Title"/>
    <w:basedOn w:val="Normal"/>
    <w:next w:val="Normal"/>
    <w:link w:val="TitleChar"/>
    <w:uiPriority w:val="10"/>
    <w:qFormat/>
    <w:rsid w:val="00367E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67E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285F"/>
    <w:pPr>
      <w:spacing w:before="240" w:after="600"/>
      <w:jc w:val="center"/>
    </w:pPr>
    <w:rPr>
      <w:rFonts w:ascii="Open Sans Semibold" w:eastAsiaTheme="majorEastAsia" w:hAnsi="Open Sans Semibold" w:cs="Open Sans Semibold"/>
      <w:i/>
      <w:iCs/>
      <w:color w:val="7F7F7F" w:themeColor="text1" w:themeTint="80"/>
      <w:spacing w:val="13"/>
    </w:rPr>
  </w:style>
  <w:style w:type="character" w:customStyle="1" w:styleId="SubtitleChar">
    <w:name w:val="Subtitle Char"/>
    <w:basedOn w:val="DefaultParagraphFont"/>
    <w:link w:val="Subtitle"/>
    <w:uiPriority w:val="11"/>
    <w:rsid w:val="00FE285F"/>
    <w:rPr>
      <w:rFonts w:ascii="Open Sans Semibold" w:eastAsiaTheme="majorEastAsia" w:hAnsi="Open Sans Semibold" w:cs="Open Sans Semibold"/>
      <w:i/>
      <w:iCs/>
      <w:color w:val="7F7F7F" w:themeColor="text1" w:themeTint="80"/>
      <w:spacing w:val="13"/>
    </w:rPr>
  </w:style>
  <w:style w:type="character" w:styleId="Emphasis">
    <w:name w:val="Emphasis"/>
    <w:uiPriority w:val="20"/>
    <w:qFormat/>
    <w:rsid w:val="00367EED"/>
    <w:rPr>
      <w:b/>
      <w:bCs/>
      <w:i/>
      <w:iCs/>
      <w:spacing w:val="10"/>
      <w:bdr w:val="none" w:sz="0" w:space="0" w:color="auto"/>
      <w:shd w:val="clear" w:color="auto" w:fill="auto"/>
    </w:rPr>
  </w:style>
  <w:style w:type="paragraph" w:styleId="NoSpacing">
    <w:name w:val="No Spacing"/>
    <w:basedOn w:val="Normal"/>
    <w:link w:val="NoSpacingChar"/>
    <w:uiPriority w:val="1"/>
    <w:qFormat/>
    <w:rsid w:val="00367EED"/>
    <w:pPr>
      <w:spacing w:after="0" w:line="240" w:lineRule="auto"/>
    </w:pPr>
  </w:style>
  <w:style w:type="paragraph" w:styleId="Quote">
    <w:name w:val="Quote"/>
    <w:basedOn w:val="Normal"/>
    <w:next w:val="Normal"/>
    <w:link w:val="QuoteChar"/>
    <w:uiPriority w:val="29"/>
    <w:qFormat/>
    <w:rsid w:val="00367EED"/>
    <w:pPr>
      <w:spacing w:before="200" w:after="0"/>
      <w:ind w:left="360" w:right="360"/>
    </w:pPr>
    <w:rPr>
      <w:i/>
      <w:iCs/>
    </w:rPr>
  </w:style>
  <w:style w:type="character" w:customStyle="1" w:styleId="QuoteChar">
    <w:name w:val="Quote Char"/>
    <w:basedOn w:val="DefaultParagraphFont"/>
    <w:link w:val="Quote"/>
    <w:uiPriority w:val="29"/>
    <w:rsid w:val="00367EED"/>
    <w:rPr>
      <w:i/>
      <w:iCs/>
    </w:rPr>
  </w:style>
  <w:style w:type="paragraph" w:styleId="IntenseQuote">
    <w:name w:val="Intense Quote"/>
    <w:basedOn w:val="Normal"/>
    <w:next w:val="Normal"/>
    <w:link w:val="IntenseQuoteChar"/>
    <w:uiPriority w:val="30"/>
    <w:qFormat/>
    <w:rsid w:val="00367E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67EED"/>
    <w:rPr>
      <w:b/>
      <w:bCs/>
      <w:i/>
      <w:iCs/>
    </w:rPr>
  </w:style>
  <w:style w:type="character" w:styleId="SubtleEmphasis">
    <w:name w:val="Subtle Emphasis"/>
    <w:uiPriority w:val="19"/>
    <w:qFormat/>
    <w:rsid w:val="00367EED"/>
    <w:rPr>
      <w:i/>
      <w:iCs/>
    </w:rPr>
  </w:style>
  <w:style w:type="character" w:styleId="IntenseEmphasis">
    <w:name w:val="Intense Emphasis"/>
    <w:uiPriority w:val="21"/>
    <w:qFormat/>
    <w:rsid w:val="00367EED"/>
    <w:rPr>
      <w:b/>
      <w:bCs/>
    </w:rPr>
  </w:style>
  <w:style w:type="character" w:styleId="SubtleReference">
    <w:name w:val="Subtle Reference"/>
    <w:uiPriority w:val="31"/>
    <w:qFormat/>
    <w:rsid w:val="00367EED"/>
    <w:rPr>
      <w:smallCaps/>
    </w:rPr>
  </w:style>
  <w:style w:type="character" w:styleId="IntenseReference">
    <w:name w:val="Intense Reference"/>
    <w:uiPriority w:val="32"/>
    <w:qFormat/>
    <w:rsid w:val="00367EED"/>
    <w:rPr>
      <w:smallCaps/>
      <w:spacing w:val="5"/>
      <w:u w:val="single"/>
    </w:rPr>
  </w:style>
  <w:style w:type="character" w:styleId="BookTitle">
    <w:name w:val="Book Title"/>
    <w:uiPriority w:val="33"/>
    <w:qFormat/>
    <w:rsid w:val="00367EED"/>
    <w:rPr>
      <w:i/>
      <w:iCs/>
      <w:smallCaps/>
      <w:spacing w:val="5"/>
    </w:rPr>
  </w:style>
  <w:style w:type="paragraph" w:styleId="TOCHeading">
    <w:name w:val="TOC Heading"/>
    <w:basedOn w:val="Heading1"/>
    <w:next w:val="Normal"/>
    <w:uiPriority w:val="39"/>
    <w:unhideWhenUsed/>
    <w:qFormat/>
    <w:rsid w:val="00367EED"/>
    <w:pPr>
      <w:outlineLvl w:val="9"/>
    </w:pPr>
    <w:rPr>
      <w:lang w:bidi="en-US"/>
    </w:rPr>
  </w:style>
  <w:style w:type="character" w:styleId="Hyperlink">
    <w:name w:val="Hyperlink"/>
    <w:basedOn w:val="DefaultParagraphFont"/>
    <w:uiPriority w:val="99"/>
    <w:rsid w:val="00586E95"/>
    <w:rPr>
      <w:rFonts w:ascii="Times New Roman" w:hAnsi="Times New Roman" w:cs="Times New Roman"/>
      <w:color w:val="0000FF"/>
      <w:u w:val="single"/>
    </w:rPr>
  </w:style>
  <w:style w:type="paragraph" w:styleId="Header">
    <w:name w:val="header"/>
    <w:basedOn w:val="Normal"/>
    <w:link w:val="HeaderChar"/>
    <w:uiPriority w:val="99"/>
    <w:unhideWhenUsed/>
    <w:rsid w:val="00D67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A40"/>
  </w:style>
  <w:style w:type="paragraph" w:styleId="Footer">
    <w:name w:val="footer"/>
    <w:basedOn w:val="Normal"/>
    <w:link w:val="FooterChar"/>
    <w:uiPriority w:val="99"/>
    <w:unhideWhenUsed/>
    <w:rsid w:val="00D67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40"/>
  </w:style>
  <w:style w:type="paragraph" w:styleId="BalloonText">
    <w:name w:val="Balloon Text"/>
    <w:basedOn w:val="Normal"/>
    <w:link w:val="BalloonTextChar"/>
    <w:uiPriority w:val="99"/>
    <w:semiHidden/>
    <w:unhideWhenUsed/>
    <w:rsid w:val="00D67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7A40"/>
    <w:rPr>
      <w:rFonts w:ascii="Tahoma" w:hAnsi="Tahoma" w:cs="Tahoma"/>
      <w:sz w:val="16"/>
      <w:szCs w:val="16"/>
    </w:rPr>
  </w:style>
  <w:style w:type="character" w:styleId="PlaceholderText">
    <w:name w:val="Placeholder Text"/>
    <w:basedOn w:val="DefaultParagraphFont"/>
    <w:uiPriority w:val="99"/>
    <w:semiHidden/>
    <w:rsid w:val="00D67A40"/>
    <w:rPr>
      <w:color w:val="808080"/>
    </w:rPr>
  </w:style>
  <w:style w:type="character" w:styleId="CommentReference">
    <w:name w:val="annotation reference"/>
    <w:basedOn w:val="DefaultParagraphFont"/>
    <w:unhideWhenUsed/>
    <w:rsid w:val="001B21C8"/>
    <w:rPr>
      <w:sz w:val="16"/>
      <w:szCs w:val="16"/>
    </w:rPr>
  </w:style>
  <w:style w:type="paragraph" w:styleId="CommentText">
    <w:name w:val="annotation text"/>
    <w:basedOn w:val="Normal"/>
    <w:link w:val="CommentTextChar"/>
    <w:unhideWhenUsed/>
    <w:rsid w:val="001B21C8"/>
    <w:pPr>
      <w:spacing w:line="240" w:lineRule="auto"/>
    </w:pPr>
    <w:rPr>
      <w:rFonts w:eastAsiaTheme="minorHAnsi"/>
      <w:sz w:val="20"/>
      <w:szCs w:val="20"/>
    </w:rPr>
  </w:style>
  <w:style w:type="character" w:customStyle="1" w:styleId="CommentTextChar">
    <w:name w:val="Comment Text Char"/>
    <w:basedOn w:val="DefaultParagraphFont"/>
    <w:link w:val="CommentText"/>
    <w:rsid w:val="001B21C8"/>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1B21C8"/>
    <w:rPr>
      <w:rFonts w:eastAsiaTheme="minorEastAsia"/>
      <w:b/>
      <w:bCs/>
    </w:rPr>
  </w:style>
  <w:style w:type="character" w:customStyle="1" w:styleId="CommentSubjectChar">
    <w:name w:val="Comment Subject Char"/>
    <w:basedOn w:val="CommentTextChar"/>
    <w:link w:val="CommentSubject"/>
    <w:uiPriority w:val="99"/>
    <w:semiHidden/>
    <w:rsid w:val="001B21C8"/>
    <w:rPr>
      <w:rFonts w:eastAsiaTheme="minorHAnsi"/>
      <w:b/>
      <w:bCs/>
      <w:sz w:val="20"/>
      <w:szCs w:val="20"/>
    </w:rPr>
  </w:style>
  <w:style w:type="character" w:styleId="FollowedHyperlink">
    <w:name w:val="FollowedHyperlink"/>
    <w:basedOn w:val="DefaultParagraphFont"/>
    <w:uiPriority w:val="99"/>
    <w:semiHidden/>
    <w:unhideWhenUsed/>
    <w:rsid w:val="007B0B96"/>
    <w:rPr>
      <w:color w:val="800080" w:themeColor="followedHyperlink"/>
      <w:u w:val="single"/>
    </w:rPr>
  </w:style>
  <w:style w:type="paragraph" w:styleId="NormalWeb">
    <w:name w:val="Normal (Web)"/>
    <w:basedOn w:val="Normal"/>
    <w:uiPriority w:val="99"/>
    <w:unhideWhenUsed/>
    <w:rsid w:val="00886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6B2C"/>
  </w:style>
  <w:style w:type="character" w:customStyle="1" w:styleId="caps">
    <w:name w:val="caps"/>
    <w:basedOn w:val="DefaultParagraphFont"/>
    <w:rsid w:val="00886B2C"/>
  </w:style>
  <w:style w:type="paragraph" w:styleId="Revision">
    <w:name w:val="Revision"/>
    <w:hidden/>
    <w:uiPriority w:val="99"/>
    <w:semiHidden/>
    <w:rsid w:val="000547CA"/>
    <w:pPr>
      <w:spacing w:after="0" w:line="240" w:lineRule="auto"/>
    </w:pPr>
  </w:style>
  <w:style w:type="paragraph" w:styleId="TOC1">
    <w:name w:val="toc 1"/>
    <w:basedOn w:val="Normal"/>
    <w:next w:val="Normal"/>
    <w:autoRedefine/>
    <w:uiPriority w:val="39"/>
    <w:unhideWhenUsed/>
    <w:rsid w:val="008B77C4"/>
    <w:pPr>
      <w:spacing w:after="100"/>
    </w:pPr>
  </w:style>
  <w:style w:type="paragraph" w:styleId="TOC2">
    <w:name w:val="toc 2"/>
    <w:basedOn w:val="Normal"/>
    <w:next w:val="Normal"/>
    <w:autoRedefine/>
    <w:uiPriority w:val="39"/>
    <w:unhideWhenUsed/>
    <w:rsid w:val="008B77C4"/>
    <w:pPr>
      <w:spacing w:after="100"/>
      <w:ind w:left="220"/>
    </w:pPr>
  </w:style>
  <w:style w:type="paragraph" w:styleId="TOC3">
    <w:name w:val="toc 3"/>
    <w:basedOn w:val="Normal"/>
    <w:next w:val="Normal"/>
    <w:autoRedefine/>
    <w:uiPriority w:val="39"/>
    <w:unhideWhenUsed/>
    <w:rsid w:val="008B77C4"/>
    <w:pPr>
      <w:spacing w:after="100"/>
      <w:ind w:left="440"/>
    </w:pPr>
  </w:style>
  <w:style w:type="character" w:customStyle="1" w:styleId="NoSpacingChar">
    <w:name w:val="No Spacing Char"/>
    <w:basedOn w:val="DefaultParagraphFont"/>
    <w:link w:val="NoSpacing"/>
    <w:uiPriority w:val="1"/>
    <w:rsid w:val="005E55E2"/>
  </w:style>
  <w:style w:type="paragraph" w:customStyle="1" w:styleId="Default">
    <w:name w:val="Default"/>
    <w:rsid w:val="00620EDC"/>
    <w:pPr>
      <w:autoSpaceDE w:val="0"/>
      <w:autoSpaceDN w:val="0"/>
      <w:adjustRightInd w:val="0"/>
      <w:spacing w:after="0" w:line="240" w:lineRule="auto"/>
    </w:pPr>
    <w:rPr>
      <w:rFonts w:ascii="Book Antiqua" w:eastAsiaTheme="minorHAnsi" w:hAnsi="Book Antiqua" w:cs="Book Antiqua"/>
      <w:color w:val="000000"/>
      <w:sz w:val="24"/>
      <w:szCs w:val="24"/>
    </w:rPr>
  </w:style>
  <w:style w:type="paragraph" w:customStyle="1" w:styleId="NoteLevel11">
    <w:name w:val="Note Level 11"/>
    <w:basedOn w:val="Normal"/>
    <w:uiPriority w:val="99"/>
    <w:unhideWhenUsed/>
    <w:rsid w:val="00620EDC"/>
    <w:pPr>
      <w:keepNext/>
      <w:numPr>
        <w:numId w:val="1"/>
      </w:numPr>
      <w:spacing w:after="0" w:line="240" w:lineRule="auto"/>
      <w:contextualSpacing/>
      <w:outlineLvl w:val="0"/>
    </w:pPr>
    <w:rPr>
      <w:rFonts w:ascii="Verdana" w:eastAsia="MS Gothic" w:hAnsi="Verdana" w:cs="Times New Roman"/>
      <w:sz w:val="24"/>
      <w:szCs w:val="24"/>
    </w:rPr>
  </w:style>
  <w:style w:type="paragraph" w:customStyle="1" w:styleId="NoteLevel21">
    <w:name w:val="Note Level 21"/>
    <w:basedOn w:val="Normal"/>
    <w:unhideWhenUsed/>
    <w:rsid w:val="00620EDC"/>
    <w:pPr>
      <w:keepNext/>
      <w:numPr>
        <w:ilvl w:val="1"/>
        <w:numId w:val="1"/>
      </w:numPr>
      <w:spacing w:after="0" w:line="240" w:lineRule="auto"/>
      <w:contextualSpacing/>
      <w:outlineLvl w:val="1"/>
    </w:pPr>
    <w:rPr>
      <w:rFonts w:ascii="Verdana" w:eastAsia="MS Gothic" w:hAnsi="Verdana" w:cs="Times New Roman"/>
      <w:sz w:val="24"/>
      <w:szCs w:val="24"/>
    </w:rPr>
  </w:style>
  <w:style w:type="paragraph" w:customStyle="1" w:styleId="NoteLevel31">
    <w:name w:val="Note Level 31"/>
    <w:basedOn w:val="Normal"/>
    <w:uiPriority w:val="99"/>
    <w:semiHidden/>
    <w:unhideWhenUsed/>
    <w:rsid w:val="00620EDC"/>
    <w:pPr>
      <w:keepNext/>
      <w:numPr>
        <w:ilvl w:val="2"/>
        <w:numId w:val="1"/>
      </w:numPr>
      <w:spacing w:after="0" w:line="240" w:lineRule="auto"/>
      <w:contextualSpacing/>
      <w:outlineLvl w:val="2"/>
    </w:pPr>
    <w:rPr>
      <w:rFonts w:ascii="Verdana" w:eastAsia="MS Gothic" w:hAnsi="Verdana" w:cs="Times New Roman"/>
      <w:sz w:val="24"/>
      <w:szCs w:val="24"/>
    </w:rPr>
  </w:style>
  <w:style w:type="paragraph" w:customStyle="1" w:styleId="NoteLevel41">
    <w:name w:val="Note Level 41"/>
    <w:basedOn w:val="Normal"/>
    <w:uiPriority w:val="99"/>
    <w:semiHidden/>
    <w:unhideWhenUsed/>
    <w:rsid w:val="00620EDC"/>
    <w:pPr>
      <w:keepNext/>
      <w:numPr>
        <w:ilvl w:val="3"/>
        <w:numId w:val="1"/>
      </w:numPr>
      <w:spacing w:after="0" w:line="240" w:lineRule="auto"/>
      <w:contextualSpacing/>
      <w:outlineLvl w:val="3"/>
    </w:pPr>
    <w:rPr>
      <w:rFonts w:ascii="Verdana" w:eastAsia="MS Gothic" w:hAnsi="Verdana" w:cs="Times New Roman"/>
      <w:sz w:val="24"/>
      <w:szCs w:val="24"/>
    </w:rPr>
  </w:style>
  <w:style w:type="paragraph" w:customStyle="1" w:styleId="NoteLevel51">
    <w:name w:val="Note Level 51"/>
    <w:basedOn w:val="Normal"/>
    <w:uiPriority w:val="99"/>
    <w:semiHidden/>
    <w:unhideWhenUsed/>
    <w:rsid w:val="00620EDC"/>
    <w:pPr>
      <w:keepNext/>
      <w:numPr>
        <w:ilvl w:val="4"/>
        <w:numId w:val="1"/>
      </w:numPr>
      <w:spacing w:after="0" w:line="240" w:lineRule="auto"/>
      <w:contextualSpacing/>
      <w:outlineLvl w:val="4"/>
    </w:pPr>
    <w:rPr>
      <w:rFonts w:ascii="Verdana" w:eastAsia="MS Gothic" w:hAnsi="Verdana" w:cs="Times New Roman"/>
      <w:sz w:val="24"/>
      <w:szCs w:val="24"/>
    </w:rPr>
  </w:style>
  <w:style w:type="paragraph" w:customStyle="1" w:styleId="NoteLevel61">
    <w:name w:val="Note Level 61"/>
    <w:basedOn w:val="Normal"/>
    <w:uiPriority w:val="99"/>
    <w:semiHidden/>
    <w:unhideWhenUsed/>
    <w:rsid w:val="00620EDC"/>
    <w:pPr>
      <w:keepNext/>
      <w:numPr>
        <w:ilvl w:val="5"/>
        <w:numId w:val="1"/>
      </w:numPr>
      <w:spacing w:after="0" w:line="240" w:lineRule="auto"/>
      <w:contextualSpacing/>
      <w:outlineLvl w:val="5"/>
    </w:pPr>
    <w:rPr>
      <w:rFonts w:ascii="Verdana" w:eastAsia="MS Gothic" w:hAnsi="Verdana" w:cs="Times New Roman"/>
      <w:sz w:val="24"/>
      <w:szCs w:val="24"/>
    </w:rPr>
  </w:style>
  <w:style w:type="paragraph" w:customStyle="1" w:styleId="NoteLevel71">
    <w:name w:val="Note Level 71"/>
    <w:basedOn w:val="Normal"/>
    <w:uiPriority w:val="99"/>
    <w:semiHidden/>
    <w:unhideWhenUsed/>
    <w:rsid w:val="00620EDC"/>
    <w:pPr>
      <w:keepNext/>
      <w:numPr>
        <w:ilvl w:val="6"/>
        <w:numId w:val="1"/>
      </w:numPr>
      <w:spacing w:after="0" w:line="240" w:lineRule="auto"/>
      <w:contextualSpacing/>
      <w:outlineLvl w:val="6"/>
    </w:pPr>
    <w:rPr>
      <w:rFonts w:ascii="Verdana" w:eastAsia="MS Gothic" w:hAnsi="Verdana" w:cs="Times New Roman"/>
      <w:sz w:val="24"/>
      <w:szCs w:val="24"/>
    </w:rPr>
  </w:style>
  <w:style w:type="paragraph" w:customStyle="1" w:styleId="NoteLevel81">
    <w:name w:val="Note Level 81"/>
    <w:basedOn w:val="Normal"/>
    <w:uiPriority w:val="99"/>
    <w:semiHidden/>
    <w:unhideWhenUsed/>
    <w:rsid w:val="00620EDC"/>
    <w:pPr>
      <w:keepNext/>
      <w:numPr>
        <w:ilvl w:val="7"/>
        <w:numId w:val="1"/>
      </w:numPr>
      <w:spacing w:after="0" w:line="240" w:lineRule="auto"/>
      <w:contextualSpacing/>
      <w:outlineLvl w:val="7"/>
    </w:pPr>
    <w:rPr>
      <w:rFonts w:ascii="Verdana" w:eastAsia="MS Gothic" w:hAnsi="Verdana" w:cs="Times New Roman"/>
      <w:sz w:val="24"/>
      <w:szCs w:val="24"/>
    </w:rPr>
  </w:style>
  <w:style w:type="paragraph" w:customStyle="1" w:styleId="NoteLevel91">
    <w:name w:val="Note Level 91"/>
    <w:basedOn w:val="Normal"/>
    <w:uiPriority w:val="99"/>
    <w:semiHidden/>
    <w:unhideWhenUsed/>
    <w:rsid w:val="00620EDC"/>
    <w:pPr>
      <w:keepNext/>
      <w:numPr>
        <w:ilvl w:val="8"/>
        <w:numId w:val="1"/>
      </w:numPr>
      <w:spacing w:after="0" w:line="240" w:lineRule="auto"/>
      <w:contextualSpacing/>
      <w:outlineLvl w:val="8"/>
    </w:pPr>
    <w:rPr>
      <w:rFonts w:ascii="Verdana" w:eastAsia="MS Gothic" w:hAnsi="Verdana" w:cs="Times New Roman"/>
      <w:sz w:val="24"/>
      <w:szCs w:val="24"/>
    </w:rPr>
  </w:style>
  <w:style w:type="table" w:styleId="TableGrid">
    <w:name w:val="Table Grid"/>
    <w:basedOn w:val="TableNormal"/>
    <w:uiPriority w:val="59"/>
    <w:rsid w:val="00142680"/>
    <w:pPr>
      <w:spacing w:after="0" w:line="240" w:lineRule="auto"/>
    </w:pPr>
    <w:rPr>
      <w:rFonts w:eastAsiaTheme="minorHAnsi"/>
      <w:lang w:val="en-GB"/>
    </w:rPr>
    <w:tblPr>
      <w:tblInd w:w="0" w:type="dxa"/>
      <w:tblBorders>
        <w:top w:val="single" w:sz="12" w:space="0" w:color="00549F"/>
        <w:left w:val="single" w:sz="12" w:space="0" w:color="00549F"/>
        <w:bottom w:val="single" w:sz="12" w:space="0" w:color="00549F"/>
        <w:right w:val="single" w:sz="12" w:space="0" w:color="00549F"/>
        <w:insideH w:val="single" w:sz="12" w:space="0" w:color="00549F"/>
        <w:insideV w:val="single" w:sz="12" w:space="0" w:color="00549F"/>
      </w:tblBorders>
      <w:tblCellMar>
        <w:top w:w="58" w:type="dxa"/>
        <w:left w:w="115" w:type="dxa"/>
        <w:bottom w:w="58" w:type="dxa"/>
        <w:right w:w="115" w:type="dxa"/>
      </w:tblCellMar>
    </w:tblPr>
    <w:tblStylePr w:type="firstRow">
      <w:rPr>
        <w:b/>
        <w:color w:val="FFFFFF" w:themeColor="background1"/>
      </w:rPr>
      <w:tblPr/>
      <w:tcPr>
        <w:shd w:val="clear" w:color="auto" w:fill="00549F"/>
      </w:tcPr>
    </w:tblStylePr>
  </w:style>
  <w:style w:type="paragraph" w:styleId="Caption">
    <w:name w:val="caption"/>
    <w:basedOn w:val="Normal"/>
    <w:next w:val="Normal"/>
    <w:uiPriority w:val="35"/>
    <w:unhideWhenUsed/>
    <w:qFormat/>
    <w:rsid w:val="008515F0"/>
    <w:pPr>
      <w:spacing w:line="240" w:lineRule="auto"/>
      <w:jc w:val="center"/>
    </w:pPr>
    <w:rPr>
      <w:b/>
      <w:bCs/>
      <w:i/>
      <w:color w:val="A6A6A6" w:themeColor="background1" w:themeShade="A6"/>
      <w:sz w:val="20"/>
      <w:szCs w:val="18"/>
      <w:lang w:val="en-GB"/>
    </w:rPr>
  </w:style>
  <w:style w:type="paragraph" w:styleId="DocumentMap">
    <w:name w:val="Document Map"/>
    <w:basedOn w:val="Normal"/>
    <w:link w:val="DocumentMapChar"/>
    <w:autoRedefine/>
    <w:uiPriority w:val="99"/>
    <w:semiHidden/>
    <w:unhideWhenUsed/>
    <w:rsid w:val="00011D0B"/>
    <w:pPr>
      <w:spacing w:after="0" w:line="240" w:lineRule="auto"/>
    </w:pPr>
    <w:rPr>
      <w:rFonts w:ascii="Tahoma" w:hAnsi="Tahoma" w:cs="Tahoma"/>
      <w:sz w:val="20"/>
      <w:szCs w:val="16"/>
      <w:lang w:val="en-GB"/>
    </w:rPr>
  </w:style>
  <w:style w:type="character" w:customStyle="1" w:styleId="DocumentMapChar">
    <w:name w:val="Document Map Char"/>
    <w:basedOn w:val="DefaultParagraphFont"/>
    <w:link w:val="DocumentMap"/>
    <w:uiPriority w:val="99"/>
    <w:semiHidden/>
    <w:rsid w:val="00011D0B"/>
    <w:rPr>
      <w:rFonts w:ascii="Tahoma" w:hAnsi="Tahoma" w:cs="Tahoma"/>
      <w:sz w:val="20"/>
      <w:szCs w:val="16"/>
      <w:lang w:val="en-GB"/>
    </w:rPr>
  </w:style>
  <w:style w:type="paragraph" w:styleId="FootnoteText">
    <w:name w:val="footnote text"/>
    <w:basedOn w:val="Normal"/>
    <w:link w:val="FootnoteTextChar"/>
    <w:uiPriority w:val="99"/>
    <w:unhideWhenUsed/>
    <w:rsid w:val="00011D0B"/>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011D0B"/>
    <w:rPr>
      <w:sz w:val="20"/>
      <w:szCs w:val="20"/>
      <w:lang w:val="en-GB"/>
    </w:rPr>
  </w:style>
  <w:style w:type="character" w:styleId="FootnoteReference">
    <w:name w:val="footnote reference"/>
    <w:basedOn w:val="DefaultParagraphFont"/>
    <w:uiPriority w:val="99"/>
    <w:unhideWhenUsed/>
    <w:rsid w:val="00011D0B"/>
    <w:rPr>
      <w:vertAlign w:val="superscript"/>
    </w:rPr>
  </w:style>
  <w:style w:type="table" w:customStyle="1" w:styleId="LightGrid-Accent11">
    <w:name w:val="Light Grid - Accent 11"/>
    <w:basedOn w:val="TableNormal"/>
    <w:uiPriority w:val="62"/>
    <w:rsid w:val="00011D0B"/>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s-rteelement-p">
    <w:name w:val="ms-rteelement-p"/>
    <w:basedOn w:val="Normal"/>
    <w:rsid w:val="00011D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1222E8"/>
    <w:pPr>
      <w:spacing w:after="0" w:line="240" w:lineRule="auto"/>
    </w:pPr>
    <w:rPr>
      <w:rFonts w:ascii="Wingdings" w:eastAsia="Times New Roman" w:hAnsi="Wingdings" w:cs="Times New Roman"/>
      <w:sz w:val="17"/>
      <w:szCs w:val="24"/>
    </w:rPr>
  </w:style>
  <w:style w:type="paragraph" w:customStyle="1" w:styleId="CSASecaaSStyles">
    <w:name w:val="CSA SecaaS Styles"/>
    <w:basedOn w:val="Normal"/>
    <w:link w:val="CSASecaaSStylesChar"/>
    <w:qFormat/>
    <w:rsid w:val="000B32B0"/>
  </w:style>
  <w:style w:type="character" w:customStyle="1" w:styleId="CSASecaaSStylesChar">
    <w:name w:val="CSA SecaaS Styles Char"/>
    <w:basedOn w:val="DefaultParagraphFont"/>
    <w:link w:val="CSASecaaSStyles"/>
    <w:rsid w:val="000B32B0"/>
  </w:style>
  <w:style w:type="paragraph" w:customStyle="1" w:styleId="Normal1">
    <w:name w:val="Normal1"/>
    <w:rsid w:val="000C2B2A"/>
    <w:pPr>
      <w:spacing w:after="0"/>
      <w:jc w:val="both"/>
    </w:pPr>
    <w:rPr>
      <w:rFonts w:ascii="Calibri" w:eastAsia="Calibri" w:hAnsi="Calibri" w:cs="Calibri"/>
      <w:color w:val="000000"/>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69C"/>
  </w:style>
  <w:style w:type="paragraph" w:styleId="Heading1">
    <w:name w:val="heading 1"/>
    <w:basedOn w:val="Normal"/>
    <w:next w:val="Normal"/>
    <w:link w:val="Heading1Char"/>
    <w:autoRedefine/>
    <w:uiPriority w:val="9"/>
    <w:qFormat/>
    <w:rsid w:val="000C2B2A"/>
    <w:pPr>
      <w:keepNext/>
      <w:keepLines/>
      <w:numPr>
        <w:numId w:val="3"/>
      </w:numPr>
      <w:spacing w:before="480" w:after="240"/>
      <w:ind w:left="450" w:hanging="450"/>
      <w:outlineLvl w:val="0"/>
    </w:pPr>
    <w:rPr>
      <w:rFonts w:asciiTheme="majorHAnsi" w:eastAsiaTheme="majorEastAsia" w:hAnsiTheme="majorHAnsi" w:cstheme="majorHAnsi"/>
      <w:bCs/>
      <w:color w:val="00549F"/>
      <w:sz w:val="44"/>
      <w:szCs w:val="36"/>
    </w:rPr>
  </w:style>
  <w:style w:type="paragraph" w:styleId="Heading2">
    <w:name w:val="heading 2"/>
    <w:basedOn w:val="Normal"/>
    <w:next w:val="Normal"/>
    <w:link w:val="Heading2Char"/>
    <w:uiPriority w:val="9"/>
    <w:unhideWhenUsed/>
    <w:qFormat/>
    <w:rsid w:val="002F5F7E"/>
    <w:pPr>
      <w:keepNext/>
      <w:keepLines/>
      <w:numPr>
        <w:ilvl w:val="1"/>
        <w:numId w:val="2"/>
      </w:numPr>
      <w:spacing w:before="200" w:after="120"/>
      <w:outlineLvl w:val="1"/>
    </w:pPr>
    <w:rPr>
      <w:rFonts w:asciiTheme="majorHAnsi" w:eastAsiaTheme="majorEastAsia" w:hAnsiTheme="majorHAnsi" w:cstheme="majorBidi"/>
      <w:bCs/>
      <w:color w:val="00549F"/>
      <w:sz w:val="36"/>
      <w:szCs w:val="28"/>
    </w:rPr>
  </w:style>
  <w:style w:type="paragraph" w:styleId="Heading3">
    <w:name w:val="heading 3"/>
    <w:basedOn w:val="Normal"/>
    <w:next w:val="Normal"/>
    <w:link w:val="Heading3Char"/>
    <w:uiPriority w:val="9"/>
    <w:unhideWhenUsed/>
    <w:qFormat/>
    <w:rsid w:val="002F5F7E"/>
    <w:pPr>
      <w:keepNext/>
      <w:keepLines/>
      <w:numPr>
        <w:ilvl w:val="2"/>
        <w:numId w:val="2"/>
      </w:numPr>
      <w:spacing w:before="200" w:after="120"/>
      <w:outlineLvl w:val="2"/>
    </w:pPr>
    <w:rPr>
      <w:rFonts w:asciiTheme="majorHAnsi" w:eastAsiaTheme="majorEastAsia" w:hAnsiTheme="majorHAnsi" w:cstheme="majorBidi"/>
      <w:bCs/>
      <w:color w:val="00549F"/>
      <w:sz w:val="32"/>
      <w:szCs w:val="24"/>
      <w:lang w:eastAsia="ar-SA"/>
    </w:rPr>
  </w:style>
  <w:style w:type="paragraph" w:styleId="Heading4">
    <w:name w:val="heading 4"/>
    <w:basedOn w:val="Normal"/>
    <w:next w:val="Normal"/>
    <w:link w:val="Heading4Char"/>
    <w:uiPriority w:val="9"/>
    <w:unhideWhenUsed/>
    <w:qFormat/>
    <w:rsid w:val="000B32B0"/>
    <w:pPr>
      <w:keepNext/>
      <w:keepLines/>
      <w:numPr>
        <w:ilvl w:val="3"/>
        <w:numId w:val="2"/>
      </w:numPr>
      <w:spacing w:before="200" w:after="120"/>
      <w:outlineLvl w:val="3"/>
    </w:pPr>
    <w:rPr>
      <w:rFonts w:asciiTheme="majorHAnsi" w:eastAsiaTheme="majorEastAsia" w:hAnsiTheme="majorHAnsi" w:cstheme="majorHAnsi"/>
      <w:bCs/>
      <w:iCs/>
      <w:color w:val="00549F"/>
      <w:sz w:val="28"/>
    </w:rPr>
  </w:style>
  <w:style w:type="paragraph" w:styleId="Heading5">
    <w:name w:val="heading 5"/>
    <w:basedOn w:val="Normal"/>
    <w:next w:val="Normal"/>
    <w:link w:val="Heading5Char"/>
    <w:uiPriority w:val="9"/>
    <w:unhideWhenUsed/>
    <w:qFormat/>
    <w:rsid w:val="000B32B0"/>
    <w:pPr>
      <w:numPr>
        <w:ilvl w:val="4"/>
        <w:numId w:val="2"/>
      </w:numPr>
      <w:spacing w:before="200" w:after="120"/>
      <w:outlineLvl w:val="4"/>
    </w:pPr>
    <w:rPr>
      <w:rFonts w:asciiTheme="majorHAnsi" w:eastAsiaTheme="majorEastAsia" w:hAnsiTheme="majorHAnsi" w:cstheme="majorBidi"/>
      <w:bCs/>
      <w:color w:val="00549F"/>
      <w:sz w:val="24"/>
    </w:rPr>
  </w:style>
  <w:style w:type="paragraph" w:styleId="Heading6">
    <w:name w:val="heading 6"/>
    <w:basedOn w:val="Normal"/>
    <w:next w:val="Normal"/>
    <w:link w:val="Heading6Char"/>
    <w:uiPriority w:val="9"/>
    <w:semiHidden/>
    <w:unhideWhenUsed/>
    <w:qFormat/>
    <w:rsid w:val="000B32B0"/>
    <w:pPr>
      <w:numPr>
        <w:ilvl w:val="5"/>
        <w:numId w:val="2"/>
      </w:numPr>
      <w:spacing w:after="0" w:line="271" w:lineRule="auto"/>
      <w:outlineLvl w:val="5"/>
    </w:pPr>
    <w:rPr>
      <w:rFonts w:ascii="Open Sans Semibold" w:eastAsiaTheme="majorEastAsia" w:hAnsi="Open Sans Semibold" w:cstheme="majorBidi"/>
      <w:bCs/>
      <w:i/>
      <w:iCs/>
      <w:color w:val="7F7F7F" w:themeColor="text1" w:themeTint="80"/>
    </w:rPr>
  </w:style>
  <w:style w:type="paragraph" w:styleId="Heading7">
    <w:name w:val="heading 7"/>
    <w:basedOn w:val="Normal"/>
    <w:next w:val="Normal"/>
    <w:link w:val="Heading7Char"/>
    <w:uiPriority w:val="9"/>
    <w:semiHidden/>
    <w:unhideWhenUsed/>
    <w:qFormat/>
    <w:rsid w:val="00367EED"/>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67EED"/>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67EED"/>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B2A"/>
    <w:rPr>
      <w:rFonts w:asciiTheme="majorHAnsi" w:eastAsiaTheme="majorEastAsia" w:hAnsiTheme="majorHAnsi" w:cstheme="majorHAnsi"/>
      <w:bCs/>
      <w:color w:val="00549F"/>
      <w:sz w:val="44"/>
      <w:szCs w:val="36"/>
    </w:rPr>
  </w:style>
  <w:style w:type="character" w:customStyle="1" w:styleId="Heading2Char">
    <w:name w:val="Heading 2 Char"/>
    <w:basedOn w:val="DefaultParagraphFont"/>
    <w:link w:val="Heading2"/>
    <w:uiPriority w:val="9"/>
    <w:rsid w:val="002F5F7E"/>
    <w:rPr>
      <w:rFonts w:asciiTheme="majorHAnsi" w:eastAsiaTheme="majorEastAsia" w:hAnsiTheme="majorHAnsi" w:cstheme="majorBidi"/>
      <w:bCs/>
      <w:color w:val="00549F"/>
      <w:sz w:val="36"/>
      <w:szCs w:val="28"/>
    </w:rPr>
  </w:style>
  <w:style w:type="paragraph" w:styleId="ListParagraph">
    <w:name w:val="List Paragraph"/>
    <w:basedOn w:val="Normal"/>
    <w:uiPriority w:val="34"/>
    <w:qFormat/>
    <w:rsid w:val="00367EED"/>
    <w:pPr>
      <w:ind w:left="720"/>
      <w:contextualSpacing/>
    </w:pPr>
  </w:style>
  <w:style w:type="character" w:customStyle="1" w:styleId="Heading3Char">
    <w:name w:val="Heading 3 Char"/>
    <w:basedOn w:val="DefaultParagraphFont"/>
    <w:link w:val="Heading3"/>
    <w:uiPriority w:val="9"/>
    <w:rsid w:val="002F5F7E"/>
    <w:rPr>
      <w:rFonts w:asciiTheme="majorHAnsi" w:eastAsiaTheme="majorEastAsia" w:hAnsiTheme="majorHAnsi" w:cstheme="majorBidi"/>
      <w:bCs/>
      <w:color w:val="00549F"/>
      <w:sz w:val="32"/>
      <w:szCs w:val="24"/>
      <w:lang w:eastAsia="ar-SA"/>
    </w:rPr>
  </w:style>
  <w:style w:type="character" w:customStyle="1" w:styleId="Heading4Char">
    <w:name w:val="Heading 4 Char"/>
    <w:basedOn w:val="DefaultParagraphFont"/>
    <w:link w:val="Heading4"/>
    <w:uiPriority w:val="9"/>
    <w:rsid w:val="000B32B0"/>
    <w:rPr>
      <w:rFonts w:asciiTheme="majorHAnsi" w:eastAsiaTheme="majorEastAsia" w:hAnsiTheme="majorHAnsi" w:cstheme="majorHAnsi"/>
      <w:bCs/>
      <w:iCs/>
      <w:color w:val="00549F"/>
      <w:sz w:val="28"/>
    </w:rPr>
  </w:style>
  <w:style w:type="character" w:customStyle="1" w:styleId="Heading5Char">
    <w:name w:val="Heading 5 Char"/>
    <w:basedOn w:val="DefaultParagraphFont"/>
    <w:link w:val="Heading5"/>
    <w:uiPriority w:val="9"/>
    <w:rsid w:val="000B32B0"/>
    <w:rPr>
      <w:rFonts w:asciiTheme="majorHAnsi" w:eastAsiaTheme="majorEastAsia" w:hAnsiTheme="majorHAnsi" w:cstheme="majorBidi"/>
      <w:bCs/>
      <w:color w:val="00549F"/>
      <w:sz w:val="24"/>
    </w:rPr>
  </w:style>
  <w:style w:type="character" w:customStyle="1" w:styleId="Heading6Char">
    <w:name w:val="Heading 6 Char"/>
    <w:basedOn w:val="DefaultParagraphFont"/>
    <w:link w:val="Heading6"/>
    <w:uiPriority w:val="9"/>
    <w:semiHidden/>
    <w:rsid w:val="000B32B0"/>
    <w:rPr>
      <w:rFonts w:ascii="Open Sans Semibold" w:eastAsiaTheme="majorEastAsia" w:hAnsi="Open Sans Semibold" w:cstheme="majorBidi"/>
      <w:bCs/>
      <w:i/>
      <w:iCs/>
      <w:color w:val="7F7F7F" w:themeColor="text1" w:themeTint="80"/>
    </w:rPr>
  </w:style>
  <w:style w:type="character" w:customStyle="1" w:styleId="Heading7Char">
    <w:name w:val="Heading 7 Char"/>
    <w:basedOn w:val="DefaultParagraphFont"/>
    <w:link w:val="Heading7"/>
    <w:uiPriority w:val="9"/>
    <w:semiHidden/>
    <w:rsid w:val="00367EE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67EED"/>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67EED"/>
    <w:rPr>
      <w:rFonts w:asciiTheme="majorHAnsi" w:eastAsiaTheme="majorEastAsia" w:hAnsiTheme="majorHAnsi" w:cstheme="majorBidi"/>
      <w:i/>
      <w:iCs/>
      <w:spacing w:val="5"/>
      <w:sz w:val="20"/>
      <w:szCs w:val="20"/>
    </w:rPr>
  </w:style>
  <w:style w:type="character" w:styleId="Strong">
    <w:name w:val="Strong"/>
    <w:uiPriority w:val="22"/>
    <w:qFormat/>
    <w:rsid w:val="00367EED"/>
    <w:rPr>
      <w:b/>
      <w:bCs/>
    </w:rPr>
  </w:style>
  <w:style w:type="paragraph" w:styleId="Title">
    <w:name w:val="Title"/>
    <w:basedOn w:val="Normal"/>
    <w:next w:val="Normal"/>
    <w:link w:val="TitleChar"/>
    <w:uiPriority w:val="10"/>
    <w:qFormat/>
    <w:rsid w:val="00367EED"/>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67EED"/>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E285F"/>
    <w:pPr>
      <w:spacing w:before="240" w:after="600"/>
      <w:jc w:val="center"/>
    </w:pPr>
    <w:rPr>
      <w:rFonts w:ascii="Open Sans Semibold" w:eastAsiaTheme="majorEastAsia" w:hAnsi="Open Sans Semibold" w:cs="Open Sans Semibold"/>
      <w:i/>
      <w:iCs/>
      <w:color w:val="7F7F7F" w:themeColor="text1" w:themeTint="80"/>
      <w:spacing w:val="13"/>
    </w:rPr>
  </w:style>
  <w:style w:type="character" w:customStyle="1" w:styleId="SubtitleChar">
    <w:name w:val="Subtitle Char"/>
    <w:basedOn w:val="DefaultParagraphFont"/>
    <w:link w:val="Subtitle"/>
    <w:uiPriority w:val="11"/>
    <w:rsid w:val="00FE285F"/>
    <w:rPr>
      <w:rFonts w:ascii="Open Sans Semibold" w:eastAsiaTheme="majorEastAsia" w:hAnsi="Open Sans Semibold" w:cs="Open Sans Semibold"/>
      <w:i/>
      <w:iCs/>
      <w:color w:val="7F7F7F" w:themeColor="text1" w:themeTint="80"/>
      <w:spacing w:val="13"/>
    </w:rPr>
  </w:style>
  <w:style w:type="character" w:styleId="Emphasis">
    <w:name w:val="Emphasis"/>
    <w:uiPriority w:val="20"/>
    <w:qFormat/>
    <w:rsid w:val="00367EED"/>
    <w:rPr>
      <w:b/>
      <w:bCs/>
      <w:i/>
      <w:iCs/>
      <w:spacing w:val="10"/>
      <w:bdr w:val="none" w:sz="0" w:space="0" w:color="auto"/>
      <w:shd w:val="clear" w:color="auto" w:fill="auto"/>
    </w:rPr>
  </w:style>
  <w:style w:type="paragraph" w:styleId="NoSpacing">
    <w:name w:val="No Spacing"/>
    <w:basedOn w:val="Normal"/>
    <w:link w:val="NoSpacingChar"/>
    <w:uiPriority w:val="1"/>
    <w:qFormat/>
    <w:rsid w:val="00367EED"/>
    <w:pPr>
      <w:spacing w:after="0" w:line="240" w:lineRule="auto"/>
    </w:pPr>
  </w:style>
  <w:style w:type="paragraph" w:styleId="Quote">
    <w:name w:val="Quote"/>
    <w:basedOn w:val="Normal"/>
    <w:next w:val="Normal"/>
    <w:link w:val="QuoteChar"/>
    <w:uiPriority w:val="29"/>
    <w:qFormat/>
    <w:rsid w:val="00367EED"/>
    <w:pPr>
      <w:spacing w:before="200" w:after="0"/>
      <w:ind w:left="360" w:right="360"/>
    </w:pPr>
    <w:rPr>
      <w:i/>
      <w:iCs/>
    </w:rPr>
  </w:style>
  <w:style w:type="character" w:customStyle="1" w:styleId="QuoteChar">
    <w:name w:val="Quote Char"/>
    <w:basedOn w:val="DefaultParagraphFont"/>
    <w:link w:val="Quote"/>
    <w:uiPriority w:val="29"/>
    <w:rsid w:val="00367EED"/>
    <w:rPr>
      <w:i/>
      <w:iCs/>
    </w:rPr>
  </w:style>
  <w:style w:type="paragraph" w:styleId="IntenseQuote">
    <w:name w:val="Intense Quote"/>
    <w:basedOn w:val="Normal"/>
    <w:next w:val="Normal"/>
    <w:link w:val="IntenseQuoteChar"/>
    <w:uiPriority w:val="30"/>
    <w:qFormat/>
    <w:rsid w:val="00367EED"/>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67EED"/>
    <w:rPr>
      <w:b/>
      <w:bCs/>
      <w:i/>
      <w:iCs/>
    </w:rPr>
  </w:style>
  <w:style w:type="character" w:styleId="SubtleEmphasis">
    <w:name w:val="Subtle Emphasis"/>
    <w:uiPriority w:val="19"/>
    <w:qFormat/>
    <w:rsid w:val="00367EED"/>
    <w:rPr>
      <w:i/>
      <w:iCs/>
    </w:rPr>
  </w:style>
  <w:style w:type="character" w:styleId="IntenseEmphasis">
    <w:name w:val="Intense Emphasis"/>
    <w:uiPriority w:val="21"/>
    <w:qFormat/>
    <w:rsid w:val="00367EED"/>
    <w:rPr>
      <w:b/>
      <w:bCs/>
    </w:rPr>
  </w:style>
  <w:style w:type="character" w:styleId="SubtleReference">
    <w:name w:val="Subtle Reference"/>
    <w:uiPriority w:val="31"/>
    <w:qFormat/>
    <w:rsid w:val="00367EED"/>
    <w:rPr>
      <w:smallCaps/>
    </w:rPr>
  </w:style>
  <w:style w:type="character" w:styleId="IntenseReference">
    <w:name w:val="Intense Reference"/>
    <w:uiPriority w:val="32"/>
    <w:qFormat/>
    <w:rsid w:val="00367EED"/>
    <w:rPr>
      <w:smallCaps/>
      <w:spacing w:val="5"/>
      <w:u w:val="single"/>
    </w:rPr>
  </w:style>
  <w:style w:type="character" w:styleId="BookTitle">
    <w:name w:val="Book Title"/>
    <w:uiPriority w:val="33"/>
    <w:qFormat/>
    <w:rsid w:val="00367EED"/>
    <w:rPr>
      <w:i/>
      <w:iCs/>
      <w:smallCaps/>
      <w:spacing w:val="5"/>
    </w:rPr>
  </w:style>
  <w:style w:type="paragraph" w:styleId="TOCHeading">
    <w:name w:val="TOC Heading"/>
    <w:basedOn w:val="Heading1"/>
    <w:next w:val="Normal"/>
    <w:uiPriority w:val="39"/>
    <w:unhideWhenUsed/>
    <w:qFormat/>
    <w:rsid w:val="00367EED"/>
    <w:pPr>
      <w:outlineLvl w:val="9"/>
    </w:pPr>
    <w:rPr>
      <w:lang w:bidi="en-US"/>
    </w:rPr>
  </w:style>
  <w:style w:type="character" w:styleId="Hyperlink">
    <w:name w:val="Hyperlink"/>
    <w:basedOn w:val="DefaultParagraphFont"/>
    <w:uiPriority w:val="99"/>
    <w:rsid w:val="00586E95"/>
    <w:rPr>
      <w:rFonts w:ascii="Times New Roman" w:hAnsi="Times New Roman" w:cs="Times New Roman"/>
      <w:color w:val="0000FF"/>
      <w:u w:val="single"/>
    </w:rPr>
  </w:style>
  <w:style w:type="paragraph" w:styleId="Header">
    <w:name w:val="header"/>
    <w:basedOn w:val="Normal"/>
    <w:link w:val="HeaderChar"/>
    <w:uiPriority w:val="99"/>
    <w:unhideWhenUsed/>
    <w:rsid w:val="00D67A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7A40"/>
  </w:style>
  <w:style w:type="paragraph" w:styleId="Footer">
    <w:name w:val="footer"/>
    <w:basedOn w:val="Normal"/>
    <w:link w:val="FooterChar"/>
    <w:uiPriority w:val="99"/>
    <w:unhideWhenUsed/>
    <w:rsid w:val="00D67A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7A40"/>
  </w:style>
  <w:style w:type="paragraph" w:styleId="BalloonText">
    <w:name w:val="Balloon Text"/>
    <w:basedOn w:val="Normal"/>
    <w:link w:val="BalloonTextChar"/>
    <w:uiPriority w:val="99"/>
    <w:semiHidden/>
    <w:unhideWhenUsed/>
    <w:rsid w:val="00D67A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67A40"/>
    <w:rPr>
      <w:rFonts w:ascii="Tahoma" w:hAnsi="Tahoma" w:cs="Tahoma"/>
      <w:sz w:val="16"/>
      <w:szCs w:val="16"/>
    </w:rPr>
  </w:style>
  <w:style w:type="character" w:styleId="PlaceholderText">
    <w:name w:val="Placeholder Text"/>
    <w:basedOn w:val="DefaultParagraphFont"/>
    <w:uiPriority w:val="99"/>
    <w:semiHidden/>
    <w:rsid w:val="00D67A40"/>
    <w:rPr>
      <w:color w:val="808080"/>
    </w:rPr>
  </w:style>
  <w:style w:type="character" w:styleId="CommentReference">
    <w:name w:val="annotation reference"/>
    <w:basedOn w:val="DefaultParagraphFont"/>
    <w:unhideWhenUsed/>
    <w:rsid w:val="001B21C8"/>
    <w:rPr>
      <w:sz w:val="16"/>
      <w:szCs w:val="16"/>
    </w:rPr>
  </w:style>
  <w:style w:type="paragraph" w:styleId="CommentText">
    <w:name w:val="annotation text"/>
    <w:basedOn w:val="Normal"/>
    <w:link w:val="CommentTextChar"/>
    <w:unhideWhenUsed/>
    <w:rsid w:val="001B21C8"/>
    <w:pPr>
      <w:spacing w:line="240" w:lineRule="auto"/>
    </w:pPr>
    <w:rPr>
      <w:rFonts w:eastAsiaTheme="minorHAnsi"/>
      <w:sz w:val="20"/>
      <w:szCs w:val="20"/>
    </w:rPr>
  </w:style>
  <w:style w:type="character" w:customStyle="1" w:styleId="CommentTextChar">
    <w:name w:val="Comment Text Char"/>
    <w:basedOn w:val="DefaultParagraphFont"/>
    <w:link w:val="CommentText"/>
    <w:rsid w:val="001B21C8"/>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1B21C8"/>
    <w:rPr>
      <w:rFonts w:eastAsiaTheme="minorEastAsia"/>
      <w:b/>
      <w:bCs/>
    </w:rPr>
  </w:style>
  <w:style w:type="character" w:customStyle="1" w:styleId="CommentSubjectChar">
    <w:name w:val="Comment Subject Char"/>
    <w:basedOn w:val="CommentTextChar"/>
    <w:link w:val="CommentSubject"/>
    <w:uiPriority w:val="99"/>
    <w:semiHidden/>
    <w:rsid w:val="001B21C8"/>
    <w:rPr>
      <w:rFonts w:eastAsiaTheme="minorHAnsi"/>
      <w:b/>
      <w:bCs/>
      <w:sz w:val="20"/>
      <w:szCs w:val="20"/>
    </w:rPr>
  </w:style>
  <w:style w:type="character" w:styleId="FollowedHyperlink">
    <w:name w:val="FollowedHyperlink"/>
    <w:basedOn w:val="DefaultParagraphFont"/>
    <w:uiPriority w:val="99"/>
    <w:semiHidden/>
    <w:unhideWhenUsed/>
    <w:rsid w:val="007B0B96"/>
    <w:rPr>
      <w:color w:val="800080" w:themeColor="followedHyperlink"/>
      <w:u w:val="single"/>
    </w:rPr>
  </w:style>
  <w:style w:type="paragraph" w:styleId="NormalWeb">
    <w:name w:val="Normal (Web)"/>
    <w:basedOn w:val="Normal"/>
    <w:uiPriority w:val="99"/>
    <w:unhideWhenUsed/>
    <w:rsid w:val="00886B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86B2C"/>
  </w:style>
  <w:style w:type="character" w:customStyle="1" w:styleId="caps">
    <w:name w:val="caps"/>
    <w:basedOn w:val="DefaultParagraphFont"/>
    <w:rsid w:val="00886B2C"/>
  </w:style>
  <w:style w:type="paragraph" w:styleId="Revision">
    <w:name w:val="Revision"/>
    <w:hidden/>
    <w:uiPriority w:val="99"/>
    <w:semiHidden/>
    <w:rsid w:val="000547CA"/>
    <w:pPr>
      <w:spacing w:after="0" w:line="240" w:lineRule="auto"/>
    </w:pPr>
  </w:style>
  <w:style w:type="paragraph" w:styleId="TOC1">
    <w:name w:val="toc 1"/>
    <w:basedOn w:val="Normal"/>
    <w:next w:val="Normal"/>
    <w:autoRedefine/>
    <w:uiPriority w:val="39"/>
    <w:unhideWhenUsed/>
    <w:rsid w:val="008B77C4"/>
    <w:pPr>
      <w:spacing w:after="100"/>
    </w:pPr>
  </w:style>
  <w:style w:type="paragraph" w:styleId="TOC2">
    <w:name w:val="toc 2"/>
    <w:basedOn w:val="Normal"/>
    <w:next w:val="Normal"/>
    <w:autoRedefine/>
    <w:uiPriority w:val="39"/>
    <w:unhideWhenUsed/>
    <w:rsid w:val="008B77C4"/>
    <w:pPr>
      <w:spacing w:after="100"/>
      <w:ind w:left="220"/>
    </w:pPr>
  </w:style>
  <w:style w:type="paragraph" w:styleId="TOC3">
    <w:name w:val="toc 3"/>
    <w:basedOn w:val="Normal"/>
    <w:next w:val="Normal"/>
    <w:autoRedefine/>
    <w:uiPriority w:val="39"/>
    <w:unhideWhenUsed/>
    <w:rsid w:val="008B77C4"/>
    <w:pPr>
      <w:spacing w:after="100"/>
      <w:ind w:left="440"/>
    </w:pPr>
  </w:style>
  <w:style w:type="character" w:customStyle="1" w:styleId="NoSpacingChar">
    <w:name w:val="No Spacing Char"/>
    <w:basedOn w:val="DefaultParagraphFont"/>
    <w:link w:val="NoSpacing"/>
    <w:uiPriority w:val="1"/>
    <w:rsid w:val="005E55E2"/>
  </w:style>
  <w:style w:type="paragraph" w:customStyle="1" w:styleId="Default">
    <w:name w:val="Default"/>
    <w:rsid w:val="00620EDC"/>
    <w:pPr>
      <w:autoSpaceDE w:val="0"/>
      <w:autoSpaceDN w:val="0"/>
      <w:adjustRightInd w:val="0"/>
      <w:spacing w:after="0" w:line="240" w:lineRule="auto"/>
    </w:pPr>
    <w:rPr>
      <w:rFonts w:ascii="Book Antiqua" w:eastAsiaTheme="minorHAnsi" w:hAnsi="Book Antiqua" w:cs="Book Antiqua"/>
      <w:color w:val="000000"/>
      <w:sz w:val="24"/>
      <w:szCs w:val="24"/>
    </w:rPr>
  </w:style>
  <w:style w:type="paragraph" w:customStyle="1" w:styleId="NoteLevel11">
    <w:name w:val="Note Level 11"/>
    <w:basedOn w:val="Normal"/>
    <w:uiPriority w:val="99"/>
    <w:unhideWhenUsed/>
    <w:rsid w:val="00620EDC"/>
    <w:pPr>
      <w:keepNext/>
      <w:numPr>
        <w:numId w:val="1"/>
      </w:numPr>
      <w:spacing w:after="0" w:line="240" w:lineRule="auto"/>
      <w:contextualSpacing/>
      <w:outlineLvl w:val="0"/>
    </w:pPr>
    <w:rPr>
      <w:rFonts w:ascii="Verdana" w:eastAsia="MS Gothic" w:hAnsi="Verdana" w:cs="Times New Roman"/>
      <w:sz w:val="24"/>
      <w:szCs w:val="24"/>
    </w:rPr>
  </w:style>
  <w:style w:type="paragraph" w:customStyle="1" w:styleId="NoteLevel21">
    <w:name w:val="Note Level 21"/>
    <w:basedOn w:val="Normal"/>
    <w:unhideWhenUsed/>
    <w:rsid w:val="00620EDC"/>
    <w:pPr>
      <w:keepNext/>
      <w:numPr>
        <w:ilvl w:val="1"/>
        <w:numId w:val="1"/>
      </w:numPr>
      <w:spacing w:after="0" w:line="240" w:lineRule="auto"/>
      <w:contextualSpacing/>
      <w:outlineLvl w:val="1"/>
    </w:pPr>
    <w:rPr>
      <w:rFonts w:ascii="Verdana" w:eastAsia="MS Gothic" w:hAnsi="Verdana" w:cs="Times New Roman"/>
      <w:sz w:val="24"/>
      <w:szCs w:val="24"/>
    </w:rPr>
  </w:style>
  <w:style w:type="paragraph" w:customStyle="1" w:styleId="NoteLevel31">
    <w:name w:val="Note Level 31"/>
    <w:basedOn w:val="Normal"/>
    <w:uiPriority w:val="99"/>
    <w:semiHidden/>
    <w:unhideWhenUsed/>
    <w:rsid w:val="00620EDC"/>
    <w:pPr>
      <w:keepNext/>
      <w:numPr>
        <w:ilvl w:val="2"/>
        <w:numId w:val="1"/>
      </w:numPr>
      <w:spacing w:after="0" w:line="240" w:lineRule="auto"/>
      <w:contextualSpacing/>
      <w:outlineLvl w:val="2"/>
    </w:pPr>
    <w:rPr>
      <w:rFonts w:ascii="Verdana" w:eastAsia="MS Gothic" w:hAnsi="Verdana" w:cs="Times New Roman"/>
      <w:sz w:val="24"/>
      <w:szCs w:val="24"/>
    </w:rPr>
  </w:style>
  <w:style w:type="paragraph" w:customStyle="1" w:styleId="NoteLevel41">
    <w:name w:val="Note Level 41"/>
    <w:basedOn w:val="Normal"/>
    <w:uiPriority w:val="99"/>
    <w:semiHidden/>
    <w:unhideWhenUsed/>
    <w:rsid w:val="00620EDC"/>
    <w:pPr>
      <w:keepNext/>
      <w:numPr>
        <w:ilvl w:val="3"/>
        <w:numId w:val="1"/>
      </w:numPr>
      <w:spacing w:after="0" w:line="240" w:lineRule="auto"/>
      <w:contextualSpacing/>
      <w:outlineLvl w:val="3"/>
    </w:pPr>
    <w:rPr>
      <w:rFonts w:ascii="Verdana" w:eastAsia="MS Gothic" w:hAnsi="Verdana" w:cs="Times New Roman"/>
      <w:sz w:val="24"/>
      <w:szCs w:val="24"/>
    </w:rPr>
  </w:style>
  <w:style w:type="paragraph" w:customStyle="1" w:styleId="NoteLevel51">
    <w:name w:val="Note Level 51"/>
    <w:basedOn w:val="Normal"/>
    <w:uiPriority w:val="99"/>
    <w:semiHidden/>
    <w:unhideWhenUsed/>
    <w:rsid w:val="00620EDC"/>
    <w:pPr>
      <w:keepNext/>
      <w:numPr>
        <w:ilvl w:val="4"/>
        <w:numId w:val="1"/>
      </w:numPr>
      <w:spacing w:after="0" w:line="240" w:lineRule="auto"/>
      <w:contextualSpacing/>
      <w:outlineLvl w:val="4"/>
    </w:pPr>
    <w:rPr>
      <w:rFonts w:ascii="Verdana" w:eastAsia="MS Gothic" w:hAnsi="Verdana" w:cs="Times New Roman"/>
      <w:sz w:val="24"/>
      <w:szCs w:val="24"/>
    </w:rPr>
  </w:style>
  <w:style w:type="paragraph" w:customStyle="1" w:styleId="NoteLevel61">
    <w:name w:val="Note Level 61"/>
    <w:basedOn w:val="Normal"/>
    <w:uiPriority w:val="99"/>
    <w:semiHidden/>
    <w:unhideWhenUsed/>
    <w:rsid w:val="00620EDC"/>
    <w:pPr>
      <w:keepNext/>
      <w:numPr>
        <w:ilvl w:val="5"/>
        <w:numId w:val="1"/>
      </w:numPr>
      <w:spacing w:after="0" w:line="240" w:lineRule="auto"/>
      <w:contextualSpacing/>
      <w:outlineLvl w:val="5"/>
    </w:pPr>
    <w:rPr>
      <w:rFonts w:ascii="Verdana" w:eastAsia="MS Gothic" w:hAnsi="Verdana" w:cs="Times New Roman"/>
      <w:sz w:val="24"/>
      <w:szCs w:val="24"/>
    </w:rPr>
  </w:style>
  <w:style w:type="paragraph" w:customStyle="1" w:styleId="NoteLevel71">
    <w:name w:val="Note Level 71"/>
    <w:basedOn w:val="Normal"/>
    <w:uiPriority w:val="99"/>
    <w:semiHidden/>
    <w:unhideWhenUsed/>
    <w:rsid w:val="00620EDC"/>
    <w:pPr>
      <w:keepNext/>
      <w:numPr>
        <w:ilvl w:val="6"/>
        <w:numId w:val="1"/>
      </w:numPr>
      <w:spacing w:after="0" w:line="240" w:lineRule="auto"/>
      <w:contextualSpacing/>
      <w:outlineLvl w:val="6"/>
    </w:pPr>
    <w:rPr>
      <w:rFonts w:ascii="Verdana" w:eastAsia="MS Gothic" w:hAnsi="Verdana" w:cs="Times New Roman"/>
      <w:sz w:val="24"/>
      <w:szCs w:val="24"/>
    </w:rPr>
  </w:style>
  <w:style w:type="paragraph" w:customStyle="1" w:styleId="NoteLevel81">
    <w:name w:val="Note Level 81"/>
    <w:basedOn w:val="Normal"/>
    <w:uiPriority w:val="99"/>
    <w:semiHidden/>
    <w:unhideWhenUsed/>
    <w:rsid w:val="00620EDC"/>
    <w:pPr>
      <w:keepNext/>
      <w:numPr>
        <w:ilvl w:val="7"/>
        <w:numId w:val="1"/>
      </w:numPr>
      <w:spacing w:after="0" w:line="240" w:lineRule="auto"/>
      <w:contextualSpacing/>
      <w:outlineLvl w:val="7"/>
    </w:pPr>
    <w:rPr>
      <w:rFonts w:ascii="Verdana" w:eastAsia="MS Gothic" w:hAnsi="Verdana" w:cs="Times New Roman"/>
      <w:sz w:val="24"/>
      <w:szCs w:val="24"/>
    </w:rPr>
  </w:style>
  <w:style w:type="paragraph" w:customStyle="1" w:styleId="NoteLevel91">
    <w:name w:val="Note Level 91"/>
    <w:basedOn w:val="Normal"/>
    <w:uiPriority w:val="99"/>
    <w:semiHidden/>
    <w:unhideWhenUsed/>
    <w:rsid w:val="00620EDC"/>
    <w:pPr>
      <w:keepNext/>
      <w:numPr>
        <w:ilvl w:val="8"/>
        <w:numId w:val="1"/>
      </w:numPr>
      <w:spacing w:after="0" w:line="240" w:lineRule="auto"/>
      <w:contextualSpacing/>
      <w:outlineLvl w:val="8"/>
    </w:pPr>
    <w:rPr>
      <w:rFonts w:ascii="Verdana" w:eastAsia="MS Gothic" w:hAnsi="Verdana" w:cs="Times New Roman"/>
      <w:sz w:val="24"/>
      <w:szCs w:val="24"/>
    </w:rPr>
  </w:style>
  <w:style w:type="table" w:styleId="TableGrid">
    <w:name w:val="Table Grid"/>
    <w:basedOn w:val="TableNormal"/>
    <w:uiPriority w:val="59"/>
    <w:rsid w:val="00142680"/>
    <w:pPr>
      <w:spacing w:after="0" w:line="240" w:lineRule="auto"/>
    </w:pPr>
    <w:rPr>
      <w:rFonts w:eastAsiaTheme="minorHAnsi"/>
      <w:lang w:val="en-GB"/>
    </w:rPr>
    <w:tblPr>
      <w:tblInd w:w="0" w:type="dxa"/>
      <w:tblBorders>
        <w:top w:val="single" w:sz="12" w:space="0" w:color="00549F"/>
        <w:left w:val="single" w:sz="12" w:space="0" w:color="00549F"/>
        <w:bottom w:val="single" w:sz="12" w:space="0" w:color="00549F"/>
        <w:right w:val="single" w:sz="12" w:space="0" w:color="00549F"/>
        <w:insideH w:val="single" w:sz="12" w:space="0" w:color="00549F"/>
        <w:insideV w:val="single" w:sz="12" w:space="0" w:color="00549F"/>
      </w:tblBorders>
      <w:tblCellMar>
        <w:top w:w="58" w:type="dxa"/>
        <w:left w:w="115" w:type="dxa"/>
        <w:bottom w:w="58" w:type="dxa"/>
        <w:right w:w="115" w:type="dxa"/>
      </w:tblCellMar>
    </w:tblPr>
    <w:tblStylePr w:type="firstRow">
      <w:rPr>
        <w:b/>
        <w:color w:val="FFFFFF" w:themeColor="background1"/>
      </w:rPr>
      <w:tblPr/>
      <w:tcPr>
        <w:shd w:val="clear" w:color="auto" w:fill="00549F"/>
      </w:tcPr>
    </w:tblStylePr>
  </w:style>
  <w:style w:type="paragraph" w:styleId="Caption">
    <w:name w:val="caption"/>
    <w:basedOn w:val="Normal"/>
    <w:next w:val="Normal"/>
    <w:uiPriority w:val="35"/>
    <w:unhideWhenUsed/>
    <w:qFormat/>
    <w:rsid w:val="008515F0"/>
    <w:pPr>
      <w:spacing w:line="240" w:lineRule="auto"/>
      <w:jc w:val="center"/>
    </w:pPr>
    <w:rPr>
      <w:b/>
      <w:bCs/>
      <w:i/>
      <w:color w:val="A6A6A6" w:themeColor="background1" w:themeShade="A6"/>
      <w:sz w:val="20"/>
      <w:szCs w:val="18"/>
      <w:lang w:val="en-GB"/>
    </w:rPr>
  </w:style>
  <w:style w:type="paragraph" w:styleId="DocumentMap">
    <w:name w:val="Document Map"/>
    <w:basedOn w:val="Normal"/>
    <w:link w:val="DocumentMapChar"/>
    <w:autoRedefine/>
    <w:uiPriority w:val="99"/>
    <w:semiHidden/>
    <w:unhideWhenUsed/>
    <w:rsid w:val="00011D0B"/>
    <w:pPr>
      <w:spacing w:after="0" w:line="240" w:lineRule="auto"/>
    </w:pPr>
    <w:rPr>
      <w:rFonts w:ascii="Tahoma" w:hAnsi="Tahoma" w:cs="Tahoma"/>
      <w:sz w:val="20"/>
      <w:szCs w:val="16"/>
      <w:lang w:val="en-GB"/>
    </w:rPr>
  </w:style>
  <w:style w:type="character" w:customStyle="1" w:styleId="DocumentMapChar">
    <w:name w:val="Document Map Char"/>
    <w:basedOn w:val="DefaultParagraphFont"/>
    <w:link w:val="DocumentMap"/>
    <w:uiPriority w:val="99"/>
    <w:semiHidden/>
    <w:rsid w:val="00011D0B"/>
    <w:rPr>
      <w:rFonts w:ascii="Tahoma" w:hAnsi="Tahoma" w:cs="Tahoma"/>
      <w:sz w:val="20"/>
      <w:szCs w:val="16"/>
      <w:lang w:val="en-GB"/>
    </w:rPr>
  </w:style>
  <w:style w:type="paragraph" w:styleId="FootnoteText">
    <w:name w:val="footnote text"/>
    <w:basedOn w:val="Normal"/>
    <w:link w:val="FootnoteTextChar"/>
    <w:uiPriority w:val="99"/>
    <w:unhideWhenUsed/>
    <w:rsid w:val="00011D0B"/>
    <w:pPr>
      <w:spacing w:after="0" w:line="240" w:lineRule="auto"/>
    </w:pPr>
    <w:rPr>
      <w:sz w:val="20"/>
      <w:szCs w:val="20"/>
      <w:lang w:val="en-GB"/>
    </w:rPr>
  </w:style>
  <w:style w:type="character" w:customStyle="1" w:styleId="FootnoteTextChar">
    <w:name w:val="Footnote Text Char"/>
    <w:basedOn w:val="DefaultParagraphFont"/>
    <w:link w:val="FootnoteText"/>
    <w:uiPriority w:val="99"/>
    <w:rsid w:val="00011D0B"/>
    <w:rPr>
      <w:sz w:val="20"/>
      <w:szCs w:val="20"/>
      <w:lang w:val="en-GB"/>
    </w:rPr>
  </w:style>
  <w:style w:type="character" w:styleId="FootnoteReference">
    <w:name w:val="footnote reference"/>
    <w:basedOn w:val="DefaultParagraphFont"/>
    <w:uiPriority w:val="99"/>
    <w:unhideWhenUsed/>
    <w:rsid w:val="00011D0B"/>
    <w:rPr>
      <w:vertAlign w:val="superscript"/>
    </w:rPr>
  </w:style>
  <w:style w:type="table" w:customStyle="1" w:styleId="LightGrid-Accent11">
    <w:name w:val="Light Grid - Accent 11"/>
    <w:basedOn w:val="TableNormal"/>
    <w:uiPriority w:val="62"/>
    <w:rsid w:val="00011D0B"/>
    <w:pPr>
      <w:spacing w:after="0" w:line="240" w:lineRule="auto"/>
    </w:pPr>
    <w:rPr>
      <w:lang w:val="en-GB"/>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ms-rteelement-p">
    <w:name w:val="ms-rteelement-p"/>
    <w:basedOn w:val="Normal"/>
    <w:rsid w:val="00011D0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 Text"/>
    <w:basedOn w:val="Normal"/>
    <w:rsid w:val="001222E8"/>
    <w:pPr>
      <w:spacing w:after="0" w:line="240" w:lineRule="auto"/>
    </w:pPr>
    <w:rPr>
      <w:rFonts w:ascii="Wingdings" w:eastAsia="Times New Roman" w:hAnsi="Wingdings" w:cs="Times New Roman"/>
      <w:sz w:val="17"/>
      <w:szCs w:val="24"/>
    </w:rPr>
  </w:style>
  <w:style w:type="paragraph" w:customStyle="1" w:styleId="CSASecaaSStyles">
    <w:name w:val="CSA SecaaS Styles"/>
    <w:basedOn w:val="Normal"/>
    <w:link w:val="CSASecaaSStylesChar"/>
    <w:qFormat/>
    <w:rsid w:val="000B32B0"/>
  </w:style>
  <w:style w:type="character" w:customStyle="1" w:styleId="CSASecaaSStylesChar">
    <w:name w:val="CSA SecaaS Styles Char"/>
    <w:basedOn w:val="DefaultParagraphFont"/>
    <w:link w:val="CSASecaaSStyles"/>
    <w:rsid w:val="000B32B0"/>
  </w:style>
  <w:style w:type="paragraph" w:customStyle="1" w:styleId="Normal1">
    <w:name w:val="Normal1"/>
    <w:rsid w:val="000C2B2A"/>
    <w:pPr>
      <w:spacing w:after="0"/>
      <w:jc w:val="both"/>
    </w:pPr>
    <w:rPr>
      <w:rFonts w:ascii="Calibri" w:eastAsia="Calibri" w:hAnsi="Calibri" w:cs="Calibri"/>
      <w:color w:val="000000"/>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529582">
      <w:bodyDiv w:val="1"/>
      <w:marLeft w:val="0"/>
      <w:marRight w:val="0"/>
      <w:marTop w:val="0"/>
      <w:marBottom w:val="0"/>
      <w:divBdr>
        <w:top w:val="none" w:sz="0" w:space="0" w:color="auto"/>
        <w:left w:val="none" w:sz="0" w:space="0" w:color="auto"/>
        <w:bottom w:val="none" w:sz="0" w:space="0" w:color="auto"/>
        <w:right w:val="none" w:sz="0" w:space="0" w:color="auto"/>
      </w:divBdr>
    </w:div>
    <w:div w:id="120155534">
      <w:bodyDiv w:val="1"/>
      <w:marLeft w:val="0"/>
      <w:marRight w:val="0"/>
      <w:marTop w:val="0"/>
      <w:marBottom w:val="0"/>
      <w:divBdr>
        <w:top w:val="none" w:sz="0" w:space="0" w:color="auto"/>
        <w:left w:val="none" w:sz="0" w:space="0" w:color="auto"/>
        <w:bottom w:val="none" w:sz="0" w:space="0" w:color="auto"/>
        <w:right w:val="none" w:sz="0" w:space="0" w:color="auto"/>
      </w:divBdr>
      <w:divsChild>
        <w:div w:id="319315859">
          <w:marLeft w:val="0"/>
          <w:marRight w:val="0"/>
          <w:marTop w:val="0"/>
          <w:marBottom w:val="0"/>
          <w:divBdr>
            <w:top w:val="none" w:sz="0" w:space="0" w:color="auto"/>
            <w:left w:val="none" w:sz="0" w:space="0" w:color="auto"/>
            <w:bottom w:val="none" w:sz="0" w:space="0" w:color="auto"/>
            <w:right w:val="none" w:sz="0" w:space="0" w:color="auto"/>
          </w:divBdr>
        </w:div>
        <w:div w:id="636572688">
          <w:marLeft w:val="0"/>
          <w:marRight w:val="0"/>
          <w:marTop w:val="0"/>
          <w:marBottom w:val="0"/>
          <w:divBdr>
            <w:top w:val="none" w:sz="0" w:space="0" w:color="auto"/>
            <w:left w:val="none" w:sz="0" w:space="0" w:color="auto"/>
            <w:bottom w:val="none" w:sz="0" w:space="0" w:color="auto"/>
            <w:right w:val="none" w:sz="0" w:space="0" w:color="auto"/>
          </w:divBdr>
        </w:div>
        <w:div w:id="1135105821">
          <w:marLeft w:val="0"/>
          <w:marRight w:val="0"/>
          <w:marTop w:val="0"/>
          <w:marBottom w:val="0"/>
          <w:divBdr>
            <w:top w:val="none" w:sz="0" w:space="0" w:color="auto"/>
            <w:left w:val="none" w:sz="0" w:space="0" w:color="auto"/>
            <w:bottom w:val="none" w:sz="0" w:space="0" w:color="auto"/>
            <w:right w:val="none" w:sz="0" w:space="0" w:color="auto"/>
          </w:divBdr>
        </w:div>
        <w:div w:id="1557928780">
          <w:marLeft w:val="0"/>
          <w:marRight w:val="0"/>
          <w:marTop w:val="0"/>
          <w:marBottom w:val="0"/>
          <w:divBdr>
            <w:top w:val="none" w:sz="0" w:space="0" w:color="auto"/>
            <w:left w:val="none" w:sz="0" w:space="0" w:color="auto"/>
            <w:bottom w:val="none" w:sz="0" w:space="0" w:color="auto"/>
            <w:right w:val="none" w:sz="0" w:space="0" w:color="auto"/>
          </w:divBdr>
        </w:div>
        <w:div w:id="1830057655">
          <w:marLeft w:val="0"/>
          <w:marRight w:val="0"/>
          <w:marTop w:val="0"/>
          <w:marBottom w:val="0"/>
          <w:divBdr>
            <w:top w:val="none" w:sz="0" w:space="0" w:color="auto"/>
            <w:left w:val="none" w:sz="0" w:space="0" w:color="auto"/>
            <w:bottom w:val="none" w:sz="0" w:space="0" w:color="auto"/>
            <w:right w:val="none" w:sz="0" w:space="0" w:color="auto"/>
          </w:divBdr>
          <w:divsChild>
            <w:div w:id="212276101">
              <w:marLeft w:val="0"/>
              <w:marRight w:val="0"/>
              <w:marTop w:val="0"/>
              <w:marBottom w:val="0"/>
              <w:divBdr>
                <w:top w:val="none" w:sz="0" w:space="0" w:color="auto"/>
                <w:left w:val="none" w:sz="0" w:space="0" w:color="auto"/>
                <w:bottom w:val="none" w:sz="0" w:space="0" w:color="auto"/>
                <w:right w:val="none" w:sz="0" w:space="0" w:color="auto"/>
              </w:divBdr>
            </w:div>
            <w:div w:id="188344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640">
      <w:bodyDiv w:val="1"/>
      <w:marLeft w:val="0"/>
      <w:marRight w:val="0"/>
      <w:marTop w:val="0"/>
      <w:marBottom w:val="0"/>
      <w:divBdr>
        <w:top w:val="none" w:sz="0" w:space="0" w:color="auto"/>
        <w:left w:val="none" w:sz="0" w:space="0" w:color="auto"/>
        <w:bottom w:val="none" w:sz="0" w:space="0" w:color="auto"/>
        <w:right w:val="none" w:sz="0" w:space="0" w:color="auto"/>
      </w:divBdr>
      <w:divsChild>
        <w:div w:id="113908931">
          <w:marLeft w:val="0"/>
          <w:marRight w:val="0"/>
          <w:marTop w:val="0"/>
          <w:marBottom w:val="0"/>
          <w:divBdr>
            <w:top w:val="none" w:sz="0" w:space="0" w:color="auto"/>
            <w:left w:val="none" w:sz="0" w:space="0" w:color="auto"/>
            <w:bottom w:val="none" w:sz="0" w:space="0" w:color="auto"/>
            <w:right w:val="none" w:sz="0" w:space="0" w:color="auto"/>
          </w:divBdr>
        </w:div>
        <w:div w:id="2133595911">
          <w:marLeft w:val="0"/>
          <w:marRight w:val="0"/>
          <w:marTop w:val="0"/>
          <w:marBottom w:val="0"/>
          <w:divBdr>
            <w:top w:val="none" w:sz="0" w:space="0" w:color="auto"/>
            <w:left w:val="none" w:sz="0" w:space="0" w:color="auto"/>
            <w:bottom w:val="none" w:sz="0" w:space="0" w:color="auto"/>
            <w:right w:val="none" w:sz="0" w:space="0" w:color="auto"/>
          </w:divBdr>
        </w:div>
        <w:div w:id="2124612905">
          <w:marLeft w:val="0"/>
          <w:marRight w:val="0"/>
          <w:marTop w:val="0"/>
          <w:marBottom w:val="0"/>
          <w:divBdr>
            <w:top w:val="none" w:sz="0" w:space="0" w:color="auto"/>
            <w:left w:val="none" w:sz="0" w:space="0" w:color="auto"/>
            <w:bottom w:val="none" w:sz="0" w:space="0" w:color="auto"/>
            <w:right w:val="none" w:sz="0" w:space="0" w:color="auto"/>
          </w:divBdr>
        </w:div>
      </w:divsChild>
    </w:div>
    <w:div w:id="219824280">
      <w:bodyDiv w:val="1"/>
      <w:marLeft w:val="0"/>
      <w:marRight w:val="0"/>
      <w:marTop w:val="0"/>
      <w:marBottom w:val="0"/>
      <w:divBdr>
        <w:top w:val="none" w:sz="0" w:space="0" w:color="auto"/>
        <w:left w:val="none" w:sz="0" w:space="0" w:color="auto"/>
        <w:bottom w:val="none" w:sz="0" w:space="0" w:color="auto"/>
        <w:right w:val="none" w:sz="0" w:space="0" w:color="auto"/>
      </w:divBdr>
    </w:div>
    <w:div w:id="380519395">
      <w:bodyDiv w:val="1"/>
      <w:marLeft w:val="0"/>
      <w:marRight w:val="0"/>
      <w:marTop w:val="0"/>
      <w:marBottom w:val="0"/>
      <w:divBdr>
        <w:top w:val="none" w:sz="0" w:space="0" w:color="auto"/>
        <w:left w:val="none" w:sz="0" w:space="0" w:color="auto"/>
        <w:bottom w:val="none" w:sz="0" w:space="0" w:color="auto"/>
        <w:right w:val="none" w:sz="0" w:space="0" w:color="auto"/>
      </w:divBdr>
      <w:divsChild>
        <w:div w:id="584727660">
          <w:marLeft w:val="0"/>
          <w:marRight w:val="0"/>
          <w:marTop w:val="30"/>
          <w:marBottom w:val="0"/>
          <w:divBdr>
            <w:top w:val="none" w:sz="0" w:space="0" w:color="auto"/>
            <w:left w:val="none" w:sz="0" w:space="0" w:color="auto"/>
            <w:bottom w:val="none" w:sz="0" w:space="0" w:color="auto"/>
            <w:right w:val="none" w:sz="0" w:space="0" w:color="auto"/>
          </w:divBdr>
          <w:divsChild>
            <w:div w:id="4139655">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447970357">
      <w:bodyDiv w:val="1"/>
      <w:marLeft w:val="0"/>
      <w:marRight w:val="0"/>
      <w:marTop w:val="0"/>
      <w:marBottom w:val="0"/>
      <w:divBdr>
        <w:top w:val="none" w:sz="0" w:space="0" w:color="auto"/>
        <w:left w:val="none" w:sz="0" w:space="0" w:color="auto"/>
        <w:bottom w:val="none" w:sz="0" w:space="0" w:color="auto"/>
        <w:right w:val="none" w:sz="0" w:space="0" w:color="auto"/>
      </w:divBdr>
    </w:div>
    <w:div w:id="535506504">
      <w:bodyDiv w:val="1"/>
      <w:marLeft w:val="0"/>
      <w:marRight w:val="0"/>
      <w:marTop w:val="0"/>
      <w:marBottom w:val="0"/>
      <w:divBdr>
        <w:top w:val="none" w:sz="0" w:space="0" w:color="auto"/>
        <w:left w:val="none" w:sz="0" w:space="0" w:color="auto"/>
        <w:bottom w:val="none" w:sz="0" w:space="0" w:color="auto"/>
        <w:right w:val="none" w:sz="0" w:space="0" w:color="auto"/>
      </w:divBdr>
      <w:divsChild>
        <w:div w:id="2125690442">
          <w:marLeft w:val="0"/>
          <w:marRight w:val="0"/>
          <w:marTop w:val="0"/>
          <w:marBottom w:val="0"/>
          <w:divBdr>
            <w:top w:val="none" w:sz="0" w:space="0" w:color="auto"/>
            <w:left w:val="none" w:sz="0" w:space="0" w:color="auto"/>
            <w:bottom w:val="none" w:sz="0" w:space="0" w:color="auto"/>
            <w:right w:val="none" w:sz="0" w:space="0" w:color="auto"/>
          </w:divBdr>
          <w:divsChild>
            <w:div w:id="1128475147">
              <w:marLeft w:val="0"/>
              <w:marRight w:val="0"/>
              <w:marTop w:val="0"/>
              <w:marBottom w:val="0"/>
              <w:divBdr>
                <w:top w:val="none" w:sz="0" w:space="0" w:color="auto"/>
                <w:left w:val="none" w:sz="0" w:space="0" w:color="auto"/>
                <w:bottom w:val="none" w:sz="0" w:space="0" w:color="auto"/>
                <w:right w:val="none" w:sz="0" w:space="0" w:color="auto"/>
              </w:divBdr>
              <w:divsChild>
                <w:div w:id="842815344">
                  <w:marLeft w:val="0"/>
                  <w:marRight w:val="0"/>
                  <w:marTop w:val="0"/>
                  <w:marBottom w:val="0"/>
                  <w:divBdr>
                    <w:top w:val="none" w:sz="0" w:space="0" w:color="auto"/>
                    <w:left w:val="none" w:sz="0" w:space="0" w:color="auto"/>
                    <w:bottom w:val="none" w:sz="0" w:space="0" w:color="auto"/>
                    <w:right w:val="none" w:sz="0" w:space="0" w:color="auto"/>
                  </w:divBdr>
                </w:div>
                <w:div w:id="2046053158">
                  <w:marLeft w:val="0"/>
                  <w:marRight w:val="0"/>
                  <w:marTop w:val="0"/>
                  <w:marBottom w:val="0"/>
                  <w:divBdr>
                    <w:top w:val="none" w:sz="0" w:space="0" w:color="auto"/>
                    <w:left w:val="none" w:sz="0" w:space="0" w:color="auto"/>
                    <w:bottom w:val="none" w:sz="0" w:space="0" w:color="auto"/>
                    <w:right w:val="none" w:sz="0" w:space="0" w:color="auto"/>
                  </w:divBdr>
                </w:div>
                <w:div w:id="2135244489">
                  <w:marLeft w:val="0"/>
                  <w:marRight w:val="0"/>
                  <w:marTop w:val="0"/>
                  <w:marBottom w:val="0"/>
                  <w:divBdr>
                    <w:top w:val="none" w:sz="0" w:space="0" w:color="auto"/>
                    <w:left w:val="none" w:sz="0" w:space="0" w:color="auto"/>
                    <w:bottom w:val="none" w:sz="0" w:space="0" w:color="auto"/>
                    <w:right w:val="none" w:sz="0" w:space="0" w:color="auto"/>
                  </w:divBdr>
                </w:div>
                <w:div w:id="1168251650">
                  <w:marLeft w:val="0"/>
                  <w:marRight w:val="0"/>
                  <w:marTop w:val="0"/>
                  <w:marBottom w:val="0"/>
                  <w:divBdr>
                    <w:top w:val="none" w:sz="0" w:space="0" w:color="auto"/>
                    <w:left w:val="none" w:sz="0" w:space="0" w:color="auto"/>
                    <w:bottom w:val="none" w:sz="0" w:space="0" w:color="auto"/>
                    <w:right w:val="none" w:sz="0" w:space="0" w:color="auto"/>
                  </w:divBdr>
                </w:div>
                <w:div w:id="913314651">
                  <w:marLeft w:val="0"/>
                  <w:marRight w:val="0"/>
                  <w:marTop w:val="0"/>
                  <w:marBottom w:val="0"/>
                  <w:divBdr>
                    <w:top w:val="none" w:sz="0" w:space="0" w:color="auto"/>
                    <w:left w:val="none" w:sz="0" w:space="0" w:color="auto"/>
                    <w:bottom w:val="none" w:sz="0" w:space="0" w:color="auto"/>
                    <w:right w:val="none" w:sz="0" w:space="0" w:color="auto"/>
                  </w:divBdr>
                </w:div>
                <w:div w:id="450048979">
                  <w:marLeft w:val="0"/>
                  <w:marRight w:val="0"/>
                  <w:marTop w:val="0"/>
                  <w:marBottom w:val="0"/>
                  <w:divBdr>
                    <w:top w:val="none" w:sz="0" w:space="0" w:color="auto"/>
                    <w:left w:val="none" w:sz="0" w:space="0" w:color="auto"/>
                    <w:bottom w:val="none" w:sz="0" w:space="0" w:color="auto"/>
                    <w:right w:val="none" w:sz="0" w:space="0" w:color="auto"/>
                  </w:divBdr>
                </w:div>
                <w:div w:id="1274167301">
                  <w:marLeft w:val="0"/>
                  <w:marRight w:val="0"/>
                  <w:marTop w:val="0"/>
                  <w:marBottom w:val="0"/>
                  <w:divBdr>
                    <w:top w:val="none" w:sz="0" w:space="0" w:color="auto"/>
                    <w:left w:val="none" w:sz="0" w:space="0" w:color="auto"/>
                    <w:bottom w:val="none" w:sz="0" w:space="0" w:color="auto"/>
                    <w:right w:val="none" w:sz="0" w:space="0" w:color="auto"/>
                  </w:divBdr>
                </w:div>
                <w:div w:id="396823621">
                  <w:marLeft w:val="0"/>
                  <w:marRight w:val="0"/>
                  <w:marTop w:val="0"/>
                  <w:marBottom w:val="0"/>
                  <w:divBdr>
                    <w:top w:val="none" w:sz="0" w:space="0" w:color="auto"/>
                    <w:left w:val="none" w:sz="0" w:space="0" w:color="auto"/>
                    <w:bottom w:val="none" w:sz="0" w:space="0" w:color="auto"/>
                    <w:right w:val="none" w:sz="0" w:space="0" w:color="auto"/>
                  </w:divBdr>
                </w:div>
                <w:div w:id="929197778">
                  <w:marLeft w:val="0"/>
                  <w:marRight w:val="0"/>
                  <w:marTop w:val="0"/>
                  <w:marBottom w:val="0"/>
                  <w:divBdr>
                    <w:top w:val="none" w:sz="0" w:space="0" w:color="auto"/>
                    <w:left w:val="none" w:sz="0" w:space="0" w:color="auto"/>
                    <w:bottom w:val="none" w:sz="0" w:space="0" w:color="auto"/>
                    <w:right w:val="none" w:sz="0" w:space="0" w:color="auto"/>
                  </w:divBdr>
                </w:div>
                <w:div w:id="673721984">
                  <w:marLeft w:val="0"/>
                  <w:marRight w:val="0"/>
                  <w:marTop w:val="0"/>
                  <w:marBottom w:val="0"/>
                  <w:divBdr>
                    <w:top w:val="none" w:sz="0" w:space="0" w:color="auto"/>
                    <w:left w:val="none" w:sz="0" w:space="0" w:color="auto"/>
                    <w:bottom w:val="none" w:sz="0" w:space="0" w:color="auto"/>
                    <w:right w:val="none" w:sz="0" w:space="0" w:color="auto"/>
                  </w:divBdr>
                </w:div>
                <w:div w:id="92168243">
                  <w:marLeft w:val="0"/>
                  <w:marRight w:val="0"/>
                  <w:marTop w:val="0"/>
                  <w:marBottom w:val="0"/>
                  <w:divBdr>
                    <w:top w:val="none" w:sz="0" w:space="0" w:color="auto"/>
                    <w:left w:val="none" w:sz="0" w:space="0" w:color="auto"/>
                    <w:bottom w:val="none" w:sz="0" w:space="0" w:color="auto"/>
                    <w:right w:val="none" w:sz="0" w:space="0" w:color="auto"/>
                  </w:divBdr>
                </w:div>
                <w:div w:id="640621020">
                  <w:marLeft w:val="0"/>
                  <w:marRight w:val="0"/>
                  <w:marTop w:val="0"/>
                  <w:marBottom w:val="0"/>
                  <w:divBdr>
                    <w:top w:val="none" w:sz="0" w:space="0" w:color="auto"/>
                    <w:left w:val="none" w:sz="0" w:space="0" w:color="auto"/>
                    <w:bottom w:val="none" w:sz="0" w:space="0" w:color="auto"/>
                    <w:right w:val="none" w:sz="0" w:space="0" w:color="auto"/>
                  </w:divBdr>
                </w:div>
                <w:div w:id="433864770">
                  <w:marLeft w:val="0"/>
                  <w:marRight w:val="0"/>
                  <w:marTop w:val="0"/>
                  <w:marBottom w:val="0"/>
                  <w:divBdr>
                    <w:top w:val="none" w:sz="0" w:space="0" w:color="auto"/>
                    <w:left w:val="none" w:sz="0" w:space="0" w:color="auto"/>
                    <w:bottom w:val="none" w:sz="0" w:space="0" w:color="auto"/>
                    <w:right w:val="none" w:sz="0" w:space="0" w:color="auto"/>
                  </w:divBdr>
                </w:div>
                <w:div w:id="842668451">
                  <w:marLeft w:val="0"/>
                  <w:marRight w:val="0"/>
                  <w:marTop w:val="0"/>
                  <w:marBottom w:val="0"/>
                  <w:divBdr>
                    <w:top w:val="none" w:sz="0" w:space="0" w:color="auto"/>
                    <w:left w:val="none" w:sz="0" w:space="0" w:color="auto"/>
                    <w:bottom w:val="none" w:sz="0" w:space="0" w:color="auto"/>
                    <w:right w:val="none" w:sz="0" w:space="0" w:color="auto"/>
                  </w:divBdr>
                </w:div>
                <w:div w:id="475955166">
                  <w:marLeft w:val="0"/>
                  <w:marRight w:val="0"/>
                  <w:marTop w:val="0"/>
                  <w:marBottom w:val="0"/>
                  <w:divBdr>
                    <w:top w:val="none" w:sz="0" w:space="0" w:color="auto"/>
                    <w:left w:val="none" w:sz="0" w:space="0" w:color="auto"/>
                    <w:bottom w:val="none" w:sz="0" w:space="0" w:color="auto"/>
                    <w:right w:val="none" w:sz="0" w:space="0" w:color="auto"/>
                  </w:divBdr>
                </w:div>
                <w:div w:id="468060354">
                  <w:marLeft w:val="0"/>
                  <w:marRight w:val="0"/>
                  <w:marTop w:val="0"/>
                  <w:marBottom w:val="0"/>
                  <w:divBdr>
                    <w:top w:val="none" w:sz="0" w:space="0" w:color="auto"/>
                    <w:left w:val="none" w:sz="0" w:space="0" w:color="auto"/>
                    <w:bottom w:val="none" w:sz="0" w:space="0" w:color="auto"/>
                    <w:right w:val="none" w:sz="0" w:space="0" w:color="auto"/>
                  </w:divBdr>
                </w:div>
                <w:div w:id="252131207">
                  <w:marLeft w:val="0"/>
                  <w:marRight w:val="0"/>
                  <w:marTop w:val="0"/>
                  <w:marBottom w:val="0"/>
                  <w:divBdr>
                    <w:top w:val="none" w:sz="0" w:space="0" w:color="auto"/>
                    <w:left w:val="none" w:sz="0" w:space="0" w:color="auto"/>
                    <w:bottom w:val="none" w:sz="0" w:space="0" w:color="auto"/>
                    <w:right w:val="none" w:sz="0" w:space="0" w:color="auto"/>
                  </w:divBdr>
                </w:div>
                <w:div w:id="1033773824">
                  <w:marLeft w:val="0"/>
                  <w:marRight w:val="0"/>
                  <w:marTop w:val="0"/>
                  <w:marBottom w:val="0"/>
                  <w:divBdr>
                    <w:top w:val="none" w:sz="0" w:space="0" w:color="auto"/>
                    <w:left w:val="none" w:sz="0" w:space="0" w:color="auto"/>
                    <w:bottom w:val="none" w:sz="0" w:space="0" w:color="auto"/>
                    <w:right w:val="none" w:sz="0" w:space="0" w:color="auto"/>
                  </w:divBdr>
                </w:div>
                <w:div w:id="1422336229">
                  <w:marLeft w:val="0"/>
                  <w:marRight w:val="0"/>
                  <w:marTop w:val="0"/>
                  <w:marBottom w:val="0"/>
                  <w:divBdr>
                    <w:top w:val="none" w:sz="0" w:space="0" w:color="auto"/>
                    <w:left w:val="none" w:sz="0" w:space="0" w:color="auto"/>
                    <w:bottom w:val="none" w:sz="0" w:space="0" w:color="auto"/>
                    <w:right w:val="none" w:sz="0" w:space="0" w:color="auto"/>
                  </w:divBdr>
                </w:div>
                <w:div w:id="1937008675">
                  <w:marLeft w:val="0"/>
                  <w:marRight w:val="0"/>
                  <w:marTop w:val="0"/>
                  <w:marBottom w:val="0"/>
                  <w:divBdr>
                    <w:top w:val="none" w:sz="0" w:space="0" w:color="auto"/>
                    <w:left w:val="none" w:sz="0" w:space="0" w:color="auto"/>
                    <w:bottom w:val="none" w:sz="0" w:space="0" w:color="auto"/>
                    <w:right w:val="none" w:sz="0" w:space="0" w:color="auto"/>
                  </w:divBdr>
                </w:div>
                <w:div w:id="912005282">
                  <w:marLeft w:val="0"/>
                  <w:marRight w:val="0"/>
                  <w:marTop w:val="0"/>
                  <w:marBottom w:val="0"/>
                  <w:divBdr>
                    <w:top w:val="none" w:sz="0" w:space="0" w:color="auto"/>
                    <w:left w:val="none" w:sz="0" w:space="0" w:color="auto"/>
                    <w:bottom w:val="none" w:sz="0" w:space="0" w:color="auto"/>
                    <w:right w:val="none" w:sz="0" w:space="0" w:color="auto"/>
                  </w:divBdr>
                </w:div>
                <w:div w:id="543055771">
                  <w:marLeft w:val="0"/>
                  <w:marRight w:val="0"/>
                  <w:marTop w:val="0"/>
                  <w:marBottom w:val="0"/>
                  <w:divBdr>
                    <w:top w:val="none" w:sz="0" w:space="0" w:color="auto"/>
                    <w:left w:val="none" w:sz="0" w:space="0" w:color="auto"/>
                    <w:bottom w:val="none" w:sz="0" w:space="0" w:color="auto"/>
                    <w:right w:val="none" w:sz="0" w:space="0" w:color="auto"/>
                  </w:divBdr>
                </w:div>
                <w:div w:id="1606229548">
                  <w:marLeft w:val="0"/>
                  <w:marRight w:val="0"/>
                  <w:marTop w:val="0"/>
                  <w:marBottom w:val="0"/>
                  <w:divBdr>
                    <w:top w:val="none" w:sz="0" w:space="0" w:color="auto"/>
                    <w:left w:val="none" w:sz="0" w:space="0" w:color="auto"/>
                    <w:bottom w:val="none" w:sz="0" w:space="0" w:color="auto"/>
                    <w:right w:val="none" w:sz="0" w:space="0" w:color="auto"/>
                  </w:divBdr>
                </w:div>
                <w:div w:id="20278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31773">
      <w:bodyDiv w:val="1"/>
      <w:marLeft w:val="0"/>
      <w:marRight w:val="0"/>
      <w:marTop w:val="0"/>
      <w:marBottom w:val="0"/>
      <w:divBdr>
        <w:top w:val="none" w:sz="0" w:space="0" w:color="auto"/>
        <w:left w:val="none" w:sz="0" w:space="0" w:color="auto"/>
        <w:bottom w:val="none" w:sz="0" w:space="0" w:color="auto"/>
        <w:right w:val="none" w:sz="0" w:space="0" w:color="auto"/>
      </w:divBdr>
    </w:div>
    <w:div w:id="1253704011">
      <w:bodyDiv w:val="1"/>
      <w:marLeft w:val="0"/>
      <w:marRight w:val="0"/>
      <w:marTop w:val="0"/>
      <w:marBottom w:val="0"/>
      <w:divBdr>
        <w:top w:val="none" w:sz="0" w:space="0" w:color="auto"/>
        <w:left w:val="none" w:sz="0" w:space="0" w:color="auto"/>
        <w:bottom w:val="none" w:sz="0" w:space="0" w:color="auto"/>
        <w:right w:val="none" w:sz="0" w:space="0" w:color="auto"/>
      </w:divBdr>
    </w:div>
    <w:div w:id="1268805858">
      <w:bodyDiv w:val="1"/>
      <w:marLeft w:val="0"/>
      <w:marRight w:val="0"/>
      <w:marTop w:val="0"/>
      <w:marBottom w:val="0"/>
      <w:divBdr>
        <w:top w:val="none" w:sz="0" w:space="0" w:color="auto"/>
        <w:left w:val="none" w:sz="0" w:space="0" w:color="auto"/>
        <w:bottom w:val="none" w:sz="0" w:space="0" w:color="auto"/>
        <w:right w:val="none" w:sz="0" w:space="0" w:color="auto"/>
      </w:divBdr>
    </w:div>
    <w:div w:id="1538195755">
      <w:bodyDiv w:val="1"/>
      <w:marLeft w:val="0"/>
      <w:marRight w:val="0"/>
      <w:marTop w:val="0"/>
      <w:marBottom w:val="0"/>
      <w:divBdr>
        <w:top w:val="none" w:sz="0" w:space="0" w:color="auto"/>
        <w:left w:val="none" w:sz="0" w:space="0" w:color="auto"/>
        <w:bottom w:val="none" w:sz="0" w:space="0" w:color="auto"/>
        <w:right w:val="none" w:sz="0" w:space="0" w:color="auto"/>
      </w:divBdr>
      <w:divsChild>
        <w:div w:id="1788768529">
          <w:marLeft w:val="0"/>
          <w:marRight w:val="0"/>
          <w:marTop w:val="0"/>
          <w:marBottom w:val="0"/>
          <w:divBdr>
            <w:top w:val="none" w:sz="0" w:space="0" w:color="auto"/>
            <w:left w:val="none" w:sz="0" w:space="0" w:color="auto"/>
            <w:bottom w:val="none" w:sz="0" w:space="0" w:color="auto"/>
            <w:right w:val="none" w:sz="0" w:space="0" w:color="auto"/>
          </w:divBdr>
        </w:div>
        <w:div w:id="1284340955">
          <w:marLeft w:val="0"/>
          <w:marRight w:val="0"/>
          <w:marTop w:val="0"/>
          <w:marBottom w:val="0"/>
          <w:divBdr>
            <w:top w:val="none" w:sz="0" w:space="0" w:color="auto"/>
            <w:left w:val="none" w:sz="0" w:space="0" w:color="auto"/>
            <w:bottom w:val="none" w:sz="0" w:space="0" w:color="auto"/>
            <w:right w:val="none" w:sz="0" w:space="0" w:color="auto"/>
          </w:divBdr>
        </w:div>
        <w:div w:id="483812300">
          <w:marLeft w:val="0"/>
          <w:marRight w:val="0"/>
          <w:marTop w:val="0"/>
          <w:marBottom w:val="0"/>
          <w:divBdr>
            <w:top w:val="none" w:sz="0" w:space="0" w:color="auto"/>
            <w:left w:val="none" w:sz="0" w:space="0" w:color="auto"/>
            <w:bottom w:val="none" w:sz="0" w:space="0" w:color="auto"/>
            <w:right w:val="none" w:sz="0" w:space="0" w:color="auto"/>
          </w:divBdr>
        </w:div>
        <w:div w:id="678822764">
          <w:marLeft w:val="0"/>
          <w:marRight w:val="0"/>
          <w:marTop w:val="0"/>
          <w:marBottom w:val="0"/>
          <w:divBdr>
            <w:top w:val="none" w:sz="0" w:space="0" w:color="auto"/>
            <w:left w:val="none" w:sz="0" w:space="0" w:color="auto"/>
            <w:bottom w:val="none" w:sz="0" w:space="0" w:color="auto"/>
            <w:right w:val="none" w:sz="0" w:space="0" w:color="auto"/>
          </w:divBdr>
        </w:div>
        <w:div w:id="865097079">
          <w:marLeft w:val="0"/>
          <w:marRight w:val="0"/>
          <w:marTop w:val="0"/>
          <w:marBottom w:val="0"/>
          <w:divBdr>
            <w:top w:val="none" w:sz="0" w:space="0" w:color="auto"/>
            <w:left w:val="none" w:sz="0" w:space="0" w:color="auto"/>
            <w:bottom w:val="none" w:sz="0" w:space="0" w:color="auto"/>
            <w:right w:val="none" w:sz="0" w:space="0" w:color="auto"/>
          </w:divBdr>
          <w:divsChild>
            <w:div w:id="1432510415">
              <w:marLeft w:val="0"/>
              <w:marRight w:val="0"/>
              <w:marTop w:val="0"/>
              <w:marBottom w:val="0"/>
              <w:divBdr>
                <w:top w:val="none" w:sz="0" w:space="0" w:color="auto"/>
                <w:left w:val="none" w:sz="0" w:space="0" w:color="auto"/>
                <w:bottom w:val="none" w:sz="0" w:space="0" w:color="auto"/>
                <w:right w:val="none" w:sz="0" w:space="0" w:color="auto"/>
              </w:divBdr>
            </w:div>
            <w:div w:id="4298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794172">
      <w:bodyDiv w:val="1"/>
      <w:marLeft w:val="0"/>
      <w:marRight w:val="0"/>
      <w:marTop w:val="0"/>
      <w:marBottom w:val="0"/>
      <w:divBdr>
        <w:top w:val="none" w:sz="0" w:space="0" w:color="auto"/>
        <w:left w:val="none" w:sz="0" w:space="0" w:color="auto"/>
        <w:bottom w:val="none" w:sz="0" w:space="0" w:color="auto"/>
        <w:right w:val="none" w:sz="0" w:space="0" w:color="auto"/>
      </w:divBdr>
      <w:divsChild>
        <w:div w:id="519242733">
          <w:marLeft w:val="0"/>
          <w:marRight w:val="0"/>
          <w:marTop w:val="0"/>
          <w:marBottom w:val="0"/>
          <w:divBdr>
            <w:top w:val="none" w:sz="0" w:space="0" w:color="auto"/>
            <w:left w:val="none" w:sz="0" w:space="0" w:color="auto"/>
            <w:bottom w:val="none" w:sz="0" w:space="0" w:color="auto"/>
            <w:right w:val="none" w:sz="0" w:space="0" w:color="auto"/>
          </w:divBdr>
        </w:div>
        <w:div w:id="854002411">
          <w:marLeft w:val="0"/>
          <w:marRight w:val="0"/>
          <w:marTop w:val="0"/>
          <w:marBottom w:val="0"/>
          <w:divBdr>
            <w:top w:val="none" w:sz="0" w:space="0" w:color="auto"/>
            <w:left w:val="none" w:sz="0" w:space="0" w:color="auto"/>
            <w:bottom w:val="none" w:sz="0" w:space="0" w:color="auto"/>
            <w:right w:val="none" w:sz="0" w:space="0" w:color="auto"/>
          </w:divBdr>
        </w:div>
        <w:div w:id="951791472">
          <w:marLeft w:val="0"/>
          <w:marRight w:val="0"/>
          <w:marTop w:val="0"/>
          <w:marBottom w:val="0"/>
          <w:divBdr>
            <w:top w:val="none" w:sz="0" w:space="0" w:color="auto"/>
            <w:left w:val="none" w:sz="0" w:space="0" w:color="auto"/>
            <w:bottom w:val="none" w:sz="0" w:space="0" w:color="auto"/>
            <w:right w:val="none" w:sz="0" w:space="0" w:color="auto"/>
          </w:divBdr>
          <w:divsChild>
            <w:div w:id="538855999">
              <w:marLeft w:val="0"/>
              <w:marRight w:val="0"/>
              <w:marTop w:val="0"/>
              <w:marBottom w:val="0"/>
              <w:divBdr>
                <w:top w:val="none" w:sz="0" w:space="0" w:color="auto"/>
                <w:left w:val="none" w:sz="0" w:space="0" w:color="auto"/>
                <w:bottom w:val="none" w:sz="0" w:space="0" w:color="auto"/>
                <w:right w:val="none" w:sz="0" w:space="0" w:color="auto"/>
              </w:divBdr>
            </w:div>
            <w:div w:id="2107535843">
              <w:marLeft w:val="0"/>
              <w:marRight w:val="0"/>
              <w:marTop w:val="0"/>
              <w:marBottom w:val="0"/>
              <w:divBdr>
                <w:top w:val="none" w:sz="0" w:space="0" w:color="auto"/>
                <w:left w:val="none" w:sz="0" w:space="0" w:color="auto"/>
                <w:bottom w:val="none" w:sz="0" w:space="0" w:color="auto"/>
                <w:right w:val="none" w:sz="0" w:space="0" w:color="auto"/>
              </w:divBdr>
            </w:div>
          </w:divsChild>
        </w:div>
        <w:div w:id="1385370385">
          <w:marLeft w:val="0"/>
          <w:marRight w:val="0"/>
          <w:marTop w:val="0"/>
          <w:marBottom w:val="0"/>
          <w:divBdr>
            <w:top w:val="none" w:sz="0" w:space="0" w:color="auto"/>
            <w:left w:val="none" w:sz="0" w:space="0" w:color="auto"/>
            <w:bottom w:val="none" w:sz="0" w:space="0" w:color="auto"/>
            <w:right w:val="none" w:sz="0" w:space="0" w:color="auto"/>
          </w:divBdr>
        </w:div>
        <w:div w:id="1983925704">
          <w:marLeft w:val="0"/>
          <w:marRight w:val="0"/>
          <w:marTop w:val="0"/>
          <w:marBottom w:val="0"/>
          <w:divBdr>
            <w:top w:val="none" w:sz="0" w:space="0" w:color="auto"/>
            <w:left w:val="none" w:sz="0" w:space="0" w:color="auto"/>
            <w:bottom w:val="none" w:sz="0" w:space="0" w:color="auto"/>
            <w:right w:val="none" w:sz="0" w:space="0" w:color="auto"/>
          </w:divBdr>
        </w:div>
      </w:divsChild>
    </w:div>
    <w:div w:id="193883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cloudsecurityalliance.org/pla"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oudsecurityallianc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cloudsecurityalliance.org/pla"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7">
      <a:majorFont>
        <a:latin typeface="Open Sans Ligh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5CD39-15B4-4AC6-9411-2E310C22F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1906</Words>
  <Characters>10870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2013-02-24T22:56:00Z</dcterms:created>
  <dcterms:modified xsi:type="dcterms:W3CDTF">2013-02-24T23:53:00Z</dcterms:modified>
</cp:coreProperties>
</file>