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0" w:name="specifics"/>
      <w:bookmarkEnd w:id="30"/>
      <w:r>
        <w:t xml:space="preserve">Specifics</w:t>
      </w:r>
    </w:p>
    <w:p>
      <w:pPr>
        <w:pStyle w:val="Heading4"/>
      </w:pPr>
      <w:bookmarkStart w:id="31" w:name="venue"/>
      <w:bookmarkEnd w:id="31"/>
      <w:r>
        <w:t xml:space="preserve">Venue</w:t>
      </w:r>
    </w:p>
    <w:p>
      <w:pPr>
        <w:pStyle w:val="FirstParagraph"/>
      </w:pPr>
      <w:r>
        <w:t xml:space="preserve">A suitable venue has the following characteristics:</w:t>
      </w:r>
    </w:p>
    <w:p>
      <w:pPr>
        <w:numPr>
          <w:numId w:val="1002"/>
          <w:ilvl w:val="0"/>
        </w:numPr>
      </w:pPr>
      <w:r>
        <w:t xml:space="preserve">Central location to lower the friction associated with attending.</w:t>
      </w:r>
    </w:p>
    <w:p>
      <w:pPr>
        <w:numPr>
          <w:numId w:val="1002"/>
          <w:ilvl w:val="0"/>
        </w:numPr>
      </w:pPr>
      <w:r>
        <w:t xml:space="preserve">No usage cost would be preferred.</w:t>
      </w:r>
    </w:p>
    <w:p>
      <w:pPr>
        <w:numPr>
          <w:numId w:val="1002"/>
          <w:ilvl w:val="0"/>
        </w:numPr>
      </w:pPr>
      <w:r>
        <w:t xml:space="preserve">A degree of grandeur and solemnity would add gravitas to the event.</w:t>
      </w:r>
    </w:p>
    <w:p>
      <w:pPr>
        <w:pStyle w:val="FirstParagraph"/>
      </w:pPr>
      <w:r>
        <w:t xml:space="preserve">One venue that would fulfill these characteristics is the Minister's Board Room at Hindmarsh Square.</w:t>
      </w:r>
    </w:p>
    <w:p>
      <w:pPr>
        <w:pStyle w:val="Heading4"/>
      </w:pPr>
      <w:bookmarkStart w:id="32" w:name="frequency"/>
      <w:bookmarkEnd w:id="32"/>
      <w:r>
        <w:t xml:space="preserve">Frequency</w:t>
      </w:r>
    </w:p>
    <w:p>
      <w:pPr>
        <w:pStyle w:val="FirstParagraph"/>
      </w:pPr>
      <w:r>
        <w:t xml:space="preserve">Too often and it would feel like a burden but too rare and it would be forgotten. To this end, every second week or every month would be preferred.</w:t>
      </w:r>
    </w:p>
    <w:p>
      <w:pPr>
        <w:pStyle w:val="Heading4"/>
      </w:pPr>
      <w:bookmarkStart w:id="33" w:name="cost"/>
      <w:bookmarkEnd w:id="33"/>
      <w:r>
        <w:t xml:space="preserve">Cost</w:t>
      </w:r>
    </w:p>
    <w:p>
      <w:pPr>
        <w:pStyle w:val="FirstParagraph"/>
      </w:pPr>
      <w:r>
        <w:t xml:space="preserve">To some extent it would be desirable for the even to stand on it merits as a place to hear and debate the latest ideas in health bioinformatics rather than a place to nibble food and drinks. Hence, the event could prosper with a smaller budget.</w:t>
      </w:r>
    </w:p>
    <w:p>
      <w:pPr>
        <w:pStyle w:val="Heading4"/>
      </w:pPr>
      <w:bookmarkStart w:id="34" w:name="invitation-list"/>
      <w:bookmarkEnd w:id="34"/>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35" w:name="expert-reading-group"/>
      <w:bookmarkEnd w:id="35"/>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3"/>
          <w:ilvl w:val="0"/>
        </w:numPr>
      </w:pPr>
      <w:r>
        <w:t xml:space="preserve">Owen Churches convenes a monthly book club on</w:t>
      </w:r>
      <w:r>
        <w:t xml:space="preserve"> </w:t>
      </w:r>
      <w:hyperlink r:id="rId36">
        <w:r>
          <w:rPr>
            <w:rStyle w:val="Hyperlink"/>
          </w:rPr>
          <w:t xml:space="preserve">AI ethics</w:t>
        </w:r>
      </w:hyperlink>
      <w:r>
        <w:t xml:space="preserve">.</w:t>
      </w:r>
    </w:p>
    <w:p>
      <w:pPr>
        <w:pStyle w:val="Compact"/>
        <w:numPr>
          <w:numId w:val="1003"/>
          <w:ilvl w:val="0"/>
        </w:numPr>
      </w:pPr>
      <w:r>
        <w:t xml:space="preserve">The</w:t>
      </w:r>
      <w:r>
        <w:t xml:space="preserve"> </w:t>
      </w:r>
      <w:hyperlink r:id="rId37">
        <w:r>
          <w:rPr>
            <w:rStyle w:val="Hyperlink"/>
          </w:rPr>
          <w:t xml:space="preserve">NHS</w:t>
        </w:r>
      </w:hyperlink>
      <w:r>
        <w:t xml:space="preserve"> </w:t>
      </w:r>
      <w:r>
        <w:t xml:space="preserve">runs a book club.</w:t>
      </w:r>
    </w:p>
    <w:p>
      <w:pPr>
        <w:pStyle w:val="Heading3"/>
      </w:pPr>
      <w:bookmarkStart w:id="38" w:name="specifics-1"/>
      <w:bookmarkEnd w:id="38"/>
      <w:r>
        <w:t xml:space="preserve">Specifics</w:t>
      </w:r>
    </w:p>
    <w:p>
      <w:pPr>
        <w:pStyle w:val="Heading4"/>
      </w:pPr>
      <w:bookmarkStart w:id="39" w:name="venue-1"/>
      <w:bookmarkEnd w:id="39"/>
      <w:r>
        <w:t xml:space="preserve">Venue</w:t>
      </w:r>
    </w:p>
    <w:p>
      <w:pPr>
        <w:pStyle w:val="FirstParagraph"/>
      </w:pPr>
      <w:r>
        <w:t xml:space="preserve">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0" w:name="texts"/>
      <w:bookmarkEnd w:id="40"/>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r>
        <w:tc>
          <w:p>
            <w:pPr>
              <w:pStyle w:val="Compact"/>
              <w:jc w:val="left"/>
            </w:pPr>
            <w:r>
              <w:t xml:space="preserve">The Sum of the People: How the Census Has Shaped Nations, from the Ancient World to the Modern Age</w:t>
            </w:r>
          </w:p>
        </w:tc>
        <w:tc>
          <w:p>
            <w:pPr>
              <w:pStyle w:val="Compact"/>
              <w:jc w:val="left"/>
            </w:pPr>
            <w:r>
              <w:t xml:space="preserve">Andrew Whitby</w:t>
            </w:r>
          </w:p>
        </w:tc>
      </w:tr>
      <w:tr>
        <w:tc>
          <w:p>
            <w:pPr>
              <w:pStyle w:val="Compact"/>
              <w:jc w:val="left"/>
            </w:pPr>
            <w:r>
              <w:t xml:space="preserve">The Design Thinking Playbook: Mindful Digital Transformation of Teams, Products, Services, Businesses and Ecosystems</w:t>
            </w:r>
          </w:p>
        </w:tc>
        <w:tc>
          <w:p>
            <w:pPr>
              <w:pStyle w:val="Compact"/>
              <w:jc w:val="left"/>
            </w:pPr>
            <w:r>
              <w:t xml:space="preserve">Michael Lewrick</w:t>
            </w:r>
          </w:p>
        </w:tc>
      </w:tr>
    </w:tbl>
    <w:p>
      <w:pPr>
        <w:pStyle w:val="Heading4"/>
      </w:pPr>
      <w:bookmarkStart w:id="41" w:name="cost-1"/>
      <w:bookmarkEnd w:id="41"/>
      <w:r>
        <w:t xml:space="preserve">Cost</w:t>
      </w:r>
    </w:p>
    <w:p>
      <w:pPr>
        <w:pStyle w:val="FirstParagraph"/>
      </w:pPr>
      <w:r>
        <w:t xml:space="preserve">This is strongly determined by the number of people in the group. But with a budget of 50 dollars per book and a group of 10 readers this would cost 500 dollars.</w:t>
      </w:r>
    </w:p>
    <w:p>
      <w:pPr>
        <w:pStyle w:val="Heading2"/>
      </w:pPr>
      <w:bookmarkStart w:id="42" w:name="technical-skills-practice"/>
      <w:bookmarkEnd w:id="42"/>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4"/>
          <w:ilvl w:val="0"/>
        </w:numPr>
      </w:pPr>
      <w:r>
        <w:t xml:space="preserve">Owen Churches coordinates the</w:t>
      </w:r>
      <w:r>
        <w:t xml:space="preserve"> </w:t>
      </w:r>
      <w:hyperlink r:id="rId43">
        <w:r>
          <w:rPr>
            <w:rStyle w:val="Hyperlink"/>
          </w:rPr>
          <w:t xml:space="preserve">PublicSectR</w:t>
        </w:r>
      </w:hyperlink>
      <w:r>
        <w:t xml:space="preserve"> </w:t>
      </w:r>
      <w:r>
        <w:t xml:space="preserve">monthly meetup which includes a sprint through that week’s TidyTuesday dataset.</w:t>
      </w:r>
    </w:p>
    <w:p>
      <w:pPr>
        <w:pStyle w:val="Compact"/>
        <w:numPr>
          <w:numId w:val="1004"/>
          <w:ilvl w:val="0"/>
        </w:numPr>
      </w:pPr>
      <w:r>
        <w:t xml:space="preserve">Adelaide University's statistics specialisation runs a GentleR group each week for people to bring in their R related problems.</w:t>
      </w:r>
    </w:p>
    <w:p>
      <w:pPr>
        <w:pStyle w:val="Compact"/>
        <w:numPr>
          <w:numId w:val="1004"/>
          <w:ilvl w:val="0"/>
        </w:numPr>
      </w:pPr>
      <w:r>
        <w:t xml:space="preserve">The</w:t>
      </w:r>
      <w:r>
        <w:t xml:space="preserve"> </w:t>
      </w:r>
      <w:hyperlink r:id="rId44">
        <w:r>
          <w:rPr>
            <w:rStyle w:val="Hyperlink"/>
          </w:rPr>
          <w:t xml:space="preserve">CAIN</w:t>
        </w:r>
      </w:hyperlink>
      <w:r>
        <w:t xml:space="preserve"> </w:t>
      </w:r>
      <w:r>
        <w:t xml:space="preserve">at UniSA runs a weekly R group focused around reading the</w:t>
      </w:r>
      <w:r>
        <w:t xml:space="preserve"> </w:t>
      </w:r>
      <w:hyperlink r:id="rId45">
        <w:r>
          <w:rPr>
            <w:rStyle w:val="Hyperlink"/>
          </w:rPr>
          <w:t xml:space="preserve">R4DS</w:t>
        </w:r>
      </w:hyperlink>
      <w:r>
        <w:t xml:space="preserve"> </w:t>
      </w:r>
      <w:r>
        <w:t xml:space="preserve">book.</w:t>
      </w:r>
    </w:p>
    <w:p>
      <w:pPr>
        <w:pStyle w:val="Heading3"/>
      </w:pPr>
      <w:bookmarkStart w:id="46" w:name="specifics-2"/>
      <w:bookmarkEnd w:id="46"/>
      <w:r>
        <w:t xml:space="preserve">Specifics</w:t>
      </w:r>
    </w:p>
    <w:p>
      <w:pPr>
        <w:pStyle w:val="Heading4"/>
      </w:pPr>
      <w:bookmarkStart w:id="47" w:name="venue-2"/>
      <w:bookmarkEnd w:id="47"/>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48" w:name="technology"/>
      <w:bookmarkEnd w:id="48"/>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49">
        <w:r>
          <w:rPr>
            <w:rStyle w:val="Hyperlink"/>
          </w:rPr>
          <w:t xml:space="preserve">blogdown</w:t>
        </w:r>
      </w:hyperlink>
      <w:r>
        <w:t xml:space="preserve"> </w:t>
      </w:r>
      <w:r>
        <w:t xml:space="preserve">site with an associated GitHub repository.</w:t>
      </w:r>
    </w:p>
    <w:p>
      <w:pPr>
        <w:pStyle w:val="Heading4"/>
      </w:pPr>
      <w:bookmarkStart w:id="50" w:name="focus"/>
      <w:bookmarkEnd w:id="50"/>
      <w:r>
        <w:t xml:space="preserve">Focus</w:t>
      </w:r>
    </w:p>
    <w:p>
      <w:pPr>
        <w:pStyle w:val="FirstParagraph"/>
      </w:pPr>
      <w:r>
        <w:t xml:space="preserve">Two potential sub-avenues exist:</w:t>
      </w:r>
    </w:p>
    <w:p>
      <w:pPr>
        <w:pStyle w:val="Compact"/>
        <w:numPr>
          <w:numId w:val="1005"/>
          <w:ilvl w:val="0"/>
        </w:numPr>
      </w:pPr>
      <w:r>
        <w:t xml:space="preserve">A methodological learning together group that could move sequentially through:</w:t>
      </w:r>
    </w:p>
    <w:p>
      <w:pPr>
        <w:pStyle w:val="Compact"/>
        <w:numPr>
          <w:numId w:val="1006"/>
          <w:ilvl w:val="0"/>
        </w:numPr>
      </w:pPr>
      <w:hyperlink r:id="rId45">
        <w:r>
          <w:rPr>
            <w:rStyle w:val="Hyperlink"/>
          </w:rPr>
          <w:t xml:space="preserve">R4DS</w:t>
        </w:r>
      </w:hyperlink>
    </w:p>
    <w:p>
      <w:pPr>
        <w:pStyle w:val="Compact"/>
        <w:numPr>
          <w:numId w:val="1006"/>
          <w:ilvl w:val="0"/>
        </w:numPr>
      </w:pPr>
      <w:hyperlink r:id="rId51">
        <w:r>
          <w:rPr>
            <w:rStyle w:val="Hyperlink"/>
          </w:rPr>
          <w:t xml:space="preserve">Advanced R</w:t>
        </w:r>
      </w:hyperlink>
    </w:p>
    <w:p>
      <w:pPr>
        <w:pStyle w:val="Compact"/>
        <w:numPr>
          <w:numId w:val="1006"/>
          <w:ilvl w:val="0"/>
        </w:numPr>
      </w:pPr>
      <w:hyperlink r:id="rId52">
        <w:r>
          <w:rPr>
            <w:rStyle w:val="Hyperlink"/>
          </w:rPr>
          <w:t xml:space="preserve">Mastering SHiny</w:t>
        </w:r>
      </w:hyperlink>
    </w:p>
    <w:p>
      <w:pPr>
        <w:pStyle w:val="Compact"/>
        <w:numPr>
          <w:numId w:val="1006"/>
          <w:ilvl w:val="0"/>
        </w:numPr>
      </w:pPr>
      <w:hyperlink r:id="rId53">
        <w:r>
          <w:rPr>
            <w:rStyle w:val="Hyperlink"/>
          </w:rPr>
          <w:t xml:space="preserve">Hands-On Machine Learning with R</w:t>
        </w:r>
      </w:hyperlink>
    </w:p>
    <w:p>
      <w:pPr>
        <w:pStyle w:val="Compact"/>
        <w:numPr>
          <w:numId w:val="1007"/>
          <w:ilvl w:val="0"/>
        </w:numPr>
      </w:pPr>
      <w:r>
        <w:t xml:space="preserve">Greer Humphrey and Owen Churches have begun work on a mini-hackathon where a group designs together and creates a visulaisation and analytic product based on a novel data set.</w:t>
      </w:r>
    </w:p>
    <w:p>
      <w:pPr>
        <w:pStyle w:val="Heading4"/>
      </w:pPr>
      <w:bookmarkStart w:id="54" w:name="frequency-1"/>
      <w:bookmarkEnd w:id="54"/>
      <w:r>
        <w:t xml:space="preserve">Frequency</w:t>
      </w:r>
    </w:p>
    <w:p>
      <w:pPr>
        <w:pStyle w:val="FirstParagraph"/>
      </w:pPr>
      <w:r>
        <w:t xml:space="preserve">This group would benefit from meeting weekly.</w:t>
      </w:r>
    </w:p>
    <w:p>
      <w:pPr>
        <w:pStyle w:val="Heading2"/>
      </w:pPr>
      <w:bookmarkStart w:id="55" w:name="access-to-resources-and-tools"/>
      <w:bookmarkEnd w:id="55"/>
      <w:r>
        <w:t xml:space="preserve">Access to resources and tools</w:t>
      </w:r>
    </w:p>
    <w:p>
      <w:pPr>
        <w:pStyle w:val="FirstParagraph"/>
      </w:pPr>
      <w:r>
        <w:t xml:space="preserve">Access to the latest journal articles to learn from and to use modern software design tools.</w:t>
      </w:r>
    </w:p>
    <w:p>
      <w:pPr>
        <w:pStyle w:val="Heading2"/>
      </w:pPr>
      <w:bookmarkStart w:id="56" w:name="formal-training"/>
      <w:bookmarkEnd w:id="56"/>
      <w:r>
        <w:t xml:space="preserve">Formal training</w:t>
      </w:r>
    </w:p>
    <w:p>
      <w:pPr>
        <w:pStyle w:val="FirstParagraph"/>
      </w:pPr>
      <w:r>
        <w:t xml:space="preserve">To some extent, formal training is helpful.</w:t>
      </w:r>
      <w:r>
        <w:t xml:space="preserve"> </w:t>
      </w:r>
      <w:r>
        <w:t xml:space="preserve">In this space already:</w:t>
      </w:r>
    </w:p>
    <w:p>
      <w:pPr>
        <w:numPr>
          <w:numId w:val="1008"/>
          <w:ilvl w:val="0"/>
        </w:numPr>
      </w:pPr>
      <w:r>
        <w:t xml:space="preserve">The CEIH paid for a large number of data professionals in the the South Australia health system to undergo the</w:t>
      </w:r>
      <w:r>
        <w:t xml:space="preserve"> </w:t>
      </w:r>
      <w:hyperlink r:id="rId57">
        <w:r>
          <w:rPr>
            <w:rStyle w:val="Hyperlink"/>
          </w:rPr>
          <w:t xml:space="preserve">CHIA</w:t>
        </w:r>
      </w:hyperlink>
      <w:r>
        <w:t xml:space="preserve"> </w:t>
      </w:r>
      <w:r>
        <w:t xml:space="preserve">exam.</w:t>
      </w:r>
    </w:p>
    <w:p>
      <w:pPr>
        <w:numPr>
          <w:numId w:val="1008"/>
          <w:ilvl w:val="0"/>
        </w:numPr>
      </w:pPr>
      <w:r>
        <w:t xml:space="preserve">There are numerous paid and free data skills courses available (eg.</w:t>
      </w:r>
      <w:r>
        <w:t xml:space="preserve"> </w:t>
      </w:r>
      <w:hyperlink r:id="rId58">
        <w:r>
          <w:rPr>
            <w:rStyle w:val="Hyperlink"/>
          </w:rPr>
          <w:t xml:space="preserve">Coursera</w:t>
        </w:r>
      </w:hyperlink>
      <w:r>
        <w:t xml:space="preserve">).</w:t>
      </w:r>
    </w:p>
    <w:p>
      <w:pPr>
        <w:pStyle w:val="Heading3"/>
      </w:pPr>
      <w:bookmarkStart w:id="59" w:name="specifics-3"/>
      <w:bookmarkEnd w:id="59"/>
      <w:r>
        <w:t xml:space="preserve">Specifics</w:t>
      </w:r>
    </w:p>
    <w:p>
      <w:pPr>
        <w:pStyle w:val="FirstParagraph"/>
      </w:pPr>
      <w:r>
        <w:t xml:space="preserve">This will be perceived by some as an indulgence or a boondoggle for some to avoid doing work. However, structures should be put in place to make a clear return on investment for the health system in South Australia. These could include:</w:t>
      </w:r>
    </w:p>
    <w:p>
      <w:pPr>
        <w:numPr>
          <w:numId w:val="1009"/>
          <w:ilvl w:val="0"/>
        </w:numPr>
      </w:pPr>
      <w:r>
        <w:t xml:space="preserve">If the exams are not taken the learner could be asked to return the money.</w:t>
      </w:r>
    </w:p>
    <w:p>
      <w:pPr>
        <w:numPr>
          <w:numId w:val="1009"/>
          <w:ilvl w:val="0"/>
        </w:numPr>
      </w:pPr>
      <w:r>
        <w:t xml:space="preserve">The choice of training could be decided by managers with experience of each learners skill base and the needs of the health system.</w:t>
      </w:r>
    </w:p>
    <w:p>
      <w:pPr>
        <w:pStyle w:val="Heading2"/>
      </w:pPr>
      <w:bookmarkStart w:id="60" w:name="secondments"/>
      <w:bookmarkEnd w:id="60"/>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1" w:name="specifics-4"/>
      <w:bookmarkEnd w:id="61"/>
      <w:r>
        <w:t xml:space="preserve">Specifics</w:t>
      </w:r>
    </w:p>
    <w:p>
      <w:pPr>
        <w:pStyle w:val="FirstParagraph"/>
      </w:pPr>
      <w:r>
        <w:t xml:space="preserve">This would require strong structures to ensure that measurable outcomes were attained. These could include:</w:t>
      </w:r>
    </w:p>
    <w:p>
      <w:pPr>
        <w:pStyle w:val="Compact"/>
        <w:numPr>
          <w:numId w:val="1010"/>
          <w:ilvl w:val="0"/>
        </w:numPr>
      </w:pPr>
      <w:r>
        <w:t xml:space="preserve">A process for disseminating the results of the project at its conclusion.</w:t>
      </w:r>
    </w:p>
    <w:p>
      <w:pPr>
        <w:pStyle w:val="Compact"/>
        <w:numPr>
          <w:numId w:val="1010"/>
          <w:ilvl w:val="0"/>
        </w:numPr>
      </w:pPr>
      <w:r>
        <w:t xml:space="preserve">A competitive entry program based on merit of person and project</w:t>
      </w:r>
    </w:p>
    <w:p>
      <w:pPr>
        <w:pStyle w:val="Heading2"/>
      </w:pPr>
      <w:bookmarkStart w:id="62" w:name="hiring-practices"/>
      <w:bookmarkEnd w:id="62"/>
      <w:r>
        <w:t xml:space="preserve">Hiring practices</w:t>
      </w:r>
    </w:p>
    <w:p>
      <w:pPr>
        <w:pStyle w:val="FirstParagraph"/>
      </w:pPr>
      <w:r>
        <w:t xml:space="preserve">Within the contemporary software and data analytics industry it is common to recruit through the based on an applicant's engagement in the</w:t>
      </w:r>
      <w:r>
        <w:t xml:space="preserve"> </w:t>
      </w:r>
      <w:hyperlink r:id="rId63">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64">
        <w:r>
          <w:rPr>
            <w:rStyle w:val="Hyperlink"/>
          </w:rPr>
          <w:t xml:space="preserve">code intervew</w:t>
        </w:r>
      </w:hyperlink>
      <w:r>
        <w:t xml:space="preserve">. The health system in South Australia could provide similar practices.</w:t>
      </w:r>
    </w:p>
    <w:p>
      <w:pPr>
        <w:pStyle w:val="BodyText"/>
      </w:pPr>
      <w:r>
        <w:t xml:space="preserve">To be effective in reaching the system goals, each of these avenues would need to be supported with some common elements.</w:t>
      </w:r>
    </w:p>
    <w:p>
      <w:pPr>
        <w:pStyle w:val="Heading1"/>
      </w:pPr>
      <w:bookmarkStart w:id="65" w:name="common-elements"/>
      <w:bookmarkEnd w:id="65"/>
      <w:r>
        <w:t xml:space="preserve">Common elements</w:t>
      </w:r>
    </w:p>
    <w:p>
      <w:pPr>
        <w:pStyle w:val="Heading2"/>
      </w:pPr>
      <w:bookmarkStart w:id="66" w:name="overlap"/>
      <w:bookmarkEnd w:id="66"/>
      <w:r>
        <w:t xml:space="preserve">Overlap</w:t>
      </w:r>
    </w:p>
    <w:p>
      <w:pPr>
        <w:pStyle w:val="FirstParagraph"/>
      </w:pPr>
      <w:r>
        <w:t xml:space="preserve">Idealy, the different avenues described above will feed each other and expand the total pool of people engaged rather than canabilising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8" w:name="return-on-investmement"/>
      <w:bookmarkEnd w:id="68"/>
      <w:r>
        <w:t xml:space="preserve">Return on investmement</w:t>
      </w:r>
    </w:p>
    <w:p>
      <w:pPr>
        <w:pStyle w:val="FirstParagraph"/>
      </w:pPr>
      <w:r>
        <w:t xml:space="preserve">The avenues above include notes on their cost but this should be viewed in the context of the returns they will provide to the health system in South Australia from savings and increased productivity. Potential savings include the budget that is currently spent on consultants for data related products and services. Some procurmement that could be avoided by having staff capable of achieving these ends include: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Heading2"/>
      </w:pPr>
      <w:bookmarkStart w:id="69" w:name="the-right-people"/>
      <w:bookmarkEnd w:id="69"/>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0" w:name="managers-need-to-help"/>
      <w:bookmarkEnd w:id="70"/>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71" w:name="work-needs-to-be-valued"/>
      <w:bookmarkEnd w:id="71"/>
      <w:r>
        <w:t xml:space="preserve">Work needs to be valued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BodyText"/>
      </w:pPr>
      <w:r>
        <w:t xml:space="preserve">From all of this, one feature that could (and should) become valued is employees</w:t>
      </w:r>
      <w:r>
        <w:t xml:space="preserve"> </w:t>
      </w:r>
      <w:hyperlink r:id="rId72">
        <w:r>
          <w:rPr>
            <w:rStyle w:val="Hyperlink"/>
          </w:rPr>
          <w:t xml:space="preserve">contributing to open source</w:t>
        </w:r>
      </w:hyperlink>
      <w:r>
        <w:t xml:space="preserve"> </w:t>
      </w:r>
      <w:r>
        <w:t xml:space="preserve">technology. The benefits to the organisation of having employees contribute to open source technology include:</w:t>
      </w:r>
    </w:p>
    <w:p>
      <w:pPr>
        <w:numPr>
          <w:numId w:val="1011"/>
          <w:ilvl w:val="0"/>
        </w:numPr>
      </w:pPr>
      <w:r>
        <w:t xml:space="preserve">Additional on the job training for staff.</w:t>
      </w:r>
    </w:p>
    <w:p>
      <w:pPr>
        <w:numPr>
          <w:numId w:val="1011"/>
          <w:ilvl w:val="0"/>
        </w:numPr>
      </w:pPr>
      <w:r>
        <w:t xml:space="preserve">Feedback on the work of our staff from the best technology developers inthe world.</w:t>
      </w:r>
    </w:p>
    <w:p>
      <w:pPr>
        <w:numPr>
          <w:numId w:val="1011"/>
          <w:ilvl w:val="0"/>
        </w:numPr>
      </w:pPr>
      <w:r>
        <w:t xml:space="preserve">Employees pushed to create better technology.</w:t>
      </w:r>
    </w:p>
    <w:p>
      <w:pPr>
        <w:numPr>
          <w:numId w:val="1011"/>
          <w:ilvl w:val="0"/>
        </w:numPr>
      </w:pPr>
      <w:r>
        <w:t xml:space="preserve">Credibility of the South Austraian health system as a serious leader in health analytics.</w:t>
      </w:r>
    </w:p>
    <w:p>
      <w:pPr>
        <w:pStyle w:val="FirstParagraph"/>
      </w:pPr>
      <w:r>
        <w:t xml:space="preserve">To these ends, staff should be rewarded for developing or contributing to technology that others can use. Some of this technology, such as corporate</w:t>
      </w:r>
      <w:r>
        <w:t xml:space="preserve"> </w:t>
      </w:r>
      <w:hyperlink r:id="rId73">
        <w:r>
          <w:rPr>
            <w:rStyle w:val="Hyperlink"/>
          </w:rPr>
          <w:t xml:space="preserve">ggplot themes</w:t>
        </w:r>
      </w:hyperlink>
      <w:r>
        <w:t xml:space="preserve"> </w:t>
      </w:r>
      <w:r>
        <w:t xml:space="preserve">would be for others within the SA Health system to use. Others, such as new ways of</w:t>
      </w:r>
      <w:r>
        <w:t xml:space="preserve"> </w:t>
      </w:r>
      <w:hyperlink r:id="rId74">
        <w:r>
          <w:rPr>
            <w:rStyle w:val="Hyperlink"/>
          </w:rPr>
          <w:t xml:space="preserve">plotting network diagrams</w:t>
        </w:r>
      </w:hyperlink>
      <w:r>
        <w:t xml:space="preserve"> </w:t>
      </w:r>
      <w:r>
        <w:t xml:space="preserve">would be of benefit to others outside the imediate system.</w:t>
      </w:r>
    </w:p>
    <w:p>
      <w:pPr>
        <w:pStyle w:val="Heading2"/>
      </w:pPr>
      <w:bookmarkStart w:id="75" w:name="code-of-conduct"/>
      <w:bookmarkEnd w:id="75"/>
      <w:r>
        <w:t xml:space="preserve">Code of conduct</w:t>
      </w:r>
    </w:p>
    <w:p>
      <w:pPr>
        <w:pStyle w:val="FirstParagraph"/>
      </w:pPr>
      <w:r>
        <w:t xml:space="preserve">It is imperative for communities of practice such as these to have well defined and agreed to codes of conduct. Tina Hardin in the CEIH has begun work on a CoC for this purpose.</w:t>
      </w:r>
    </w:p>
    <w:p>
      <w:pPr>
        <w:pStyle w:val="Heading1"/>
      </w:pPr>
      <w:bookmarkStart w:id="76" w:name="next-steps"/>
      <w:bookmarkEnd w:id="76"/>
      <w:r>
        <w:t xml:space="preserve">Next steps</w:t>
      </w:r>
    </w:p>
    <w:p>
      <w:pPr>
        <w:pStyle w:val="Compact"/>
        <w:numPr>
          <w:numId w:val="1012"/>
          <w:ilvl w:val="0"/>
        </w:numPr>
      </w:pPr>
      <w:r>
        <w:t xml:space="preserve">The value recognised</w:t>
      </w:r>
      <w:r>
        <w:t xml:space="preserve"> </w:t>
      </w:r>
      <w:r>
        <w:t xml:space="preserve">Relevant stakeholders need to recognise the value of a shared CoP and to commit funds and the time of their staff to these avenues.</w:t>
      </w:r>
    </w:p>
    <w:p>
      <w:pPr>
        <w:pStyle w:val="Compact"/>
        <w:numPr>
          <w:numId w:val="1012"/>
          <w:ilvl w:val="0"/>
        </w:numPr>
      </w:pPr>
      <w:r>
        <w:t xml:space="preserve">Avenues selected</w:t>
      </w:r>
      <w:r>
        <w:t xml:space="preserve"> </w:t>
      </w:r>
      <w:r>
        <w:t xml:space="preserve">Some or all of the above avenues need to be selected.</w:t>
      </w:r>
    </w:p>
    <w:p>
      <w:pPr>
        <w:pStyle w:val="Compact"/>
        <w:numPr>
          <w:numId w:val="1012"/>
          <w:ilvl w:val="0"/>
        </w:numPr>
      </w:pPr>
      <w:r>
        <w:t xml:space="preserve">Coordination established</w:t>
      </w:r>
      <w:r>
        <w:t xml:space="preserve"> </w:t>
      </w:r>
      <w:r>
        <w:t xml:space="preserve">By their definition, CoPs are not imposed by a hierarchy. They are self starting and self sustaining. This necessarily involved some members investing more time than others and does not remove the need for clear governance frameworks. One or more current data professionals will need to take on the coordination of the CoPs and have this workload recognised by their employer.</w:t>
      </w:r>
    </w:p>
    <w:sectPr w:rsidR="00091F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E70C4"/>
    <w:multiLevelType w:val="multilevel"/>
    <w:tmpl w:val="647A0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B36E99"/>
    <w:multiLevelType w:val="multilevel"/>
    <w:tmpl w:val="85EC1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06CBCB"/>
    <w:multiLevelType w:val="multilevel"/>
    <w:tmpl w:val="93361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F97E69"/>
    <w:multiLevelType w:val="multilevel"/>
    <w:tmpl w:val="3E247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AB0236A"/>
    <w:lvl w:ilvl="0">
      <w:start w:val="1"/>
      <w:numFmt w:val="decimal"/>
      <w:lvlText w:val="%1."/>
      <w:lvlJc w:val="left"/>
      <w:pPr>
        <w:tabs>
          <w:tab w:val="num" w:pos="1492"/>
        </w:tabs>
        <w:ind w:left="1492" w:hanging="360"/>
      </w:pPr>
    </w:lvl>
  </w:abstractNum>
  <w:abstractNum w:abstractNumId="9" w15:restartNumberingAfterBreak="0">
    <w:nsid w:val="FFFFFF7D"/>
    <w:multiLevelType w:val="singleLevel"/>
    <w:tmpl w:val="20248454"/>
    <w:lvl w:ilvl="0">
      <w:start w:val="1"/>
      <w:numFmt w:val="decimal"/>
      <w:lvlText w:val="%1."/>
      <w:lvlJc w:val="left"/>
      <w:pPr>
        <w:tabs>
          <w:tab w:val="num" w:pos="1209"/>
        </w:tabs>
        <w:ind w:left="1209" w:hanging="360"/>
      </w:pPr>
    </w:lvl>
  </w:abstractNum>
  <w:abstractNum w:abstractNumId="10" w15:restartNumberingAfterBreak="0">
    <w:nsid w:val="FFFFFF7E"/>
    <w:multiLevelType w:val="singleLevel"/>
    <w:tmpl w:val="5BA4229C"/>
    <w:lvl w:ilvl="0">
      <w:start w:val="1"/>
      <w:numFmt w:val="decimal"/>
      <w:lvlText w:val="%1."/>
      <w:lvlJc w:val="left"/>
      <w:pPr>
        <w:tabs>
          <w:tab w:val="num" w:pos="926"/>
        </w:tabs>
        <w:ind w:left="926" w:hanging="360"/>
      </w:pPr>
    </w:lvl>
  </w:abstractNum>
  <w:abstractNum w:abstractNumId="11" w15:restartNumberingAfterBreak="0">
    <w:nsid w:val="FFFFFF7F"/>
    <w:multiLevelType w:val="singleLevel"/>
    <w:tmpl w:val="A9B86DB0"/>
    <w:lvl w:ilvl="0">
      <w:start w:val="1"/>
      <w:numFmt w:val="decimal"/>
      <w:lvlText w:val="%1."/>
      <w:lvlJc w:val="left"/>
      <w:pPr>
        <w:tabs>
          <w:tab w:val="num" w:pos="643"/>
        </w:tabs>
        <w:ind w:left="643" w:hanging="360"/>
      </w:pPr>
    </w:lvl>
  </w:abstractNum>
  <w:abstractNum w:abstractNumId="12" w15:restartNumberingAfterBreak="0">
    <w:nsid w:val="FFFFFF80"/>
    <w:multiLevelType w:val="singleLevel"/>
    <w:tmpl w:val="6F4E8052"/>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39F86F96"/>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196EF09C"/>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9684DF24"/>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40C89118"/>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6E74E5F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911D474"/>
    <w:multiLevelType w:val="multilevel"/>
    <w:tmpl w:val="3F78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8534868"/>
    <w:multiLevelType w:val="multilevel"/>
    <w:tmpl w:val="D3087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e32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e7b4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8ffb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8"/>
  </w:num>
  <w:num w:numId="3">
    <w:abstractNumId w:val="2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num>
  <w:num w:numId="9">
    <w:abstractNumId w:val="27"/>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num>
  <w:num w:numId="15">
    <w:abstractNumId w:val="6"/>
  </w:num>
  <w:num w:numId="16">
    <w:abstractNumId w:val="6"/>
  </w:num>
  <w:num w:numId="17">
    <w:abstractNumId w:val="6"/>
  </w:num>
  <w:num w:numId="18">
    <w:abstractNumId w:val="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5"/>
  </w:num>
  <w:num w:numId="22">
    <w:abstractNumId w:val="14"/>
  </w:num>
  <w:num w:numId="23">
    <w:abstractNumId w:val="13"/>
  </w:num>
  <w:num w:numId="24">
    <w:abstractNumId w:val="12"/>
  </w:num>
  <w:num w:numId="25">
    <w:abstractNumId w:val="16"/>
  </w:num>
  <w:num w:numId="26">
    <w:abstractNumId w:val="11"/>
  </w:num>
  <w:num w:numId="27">
    <w:abstractNumId w:val="10"/>
  </w:num>
  <w:num w:numId="28">
    <w:abstractNumId w:val="9"/>
  </w:num>
  <w:num w:numId="29">
    <w:abstractNumId w:val="8"/>
  </w:num>
  <w:num w:numId="30">
    <w:abstractNumId w:val="3"/>
  </w:num>
  <w:num w:numId="31">
    <w:abstractNumId w:val="22"/>
  </w:num>
  <w:num w:numId="32">
    <w:abstractNumId w:val="22"/>
  </w:num>
  <w:num w:numId="33">
    <w:abstractNumId w:val="22"/>
  </w:num>
  <w:num w:numId="34">
    <w:abstractNumId w:val="2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74" Target="https://github.com/thomasp85/tidygraph/issues/128"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72" Target="https://opensource.com/business/13/2/why-company-contribute-open-source" TargetMode="External" /><Relationship Type="http://schemas.openxmlformats.org/officeDocument/2006/relationships/hyperlink" Id="rId45" Target="https://r4ds.had.co.nz/" TargetMode="External" /><Relationship Type="http://schemas.openxmlformats.org/officeDocument/2006/relationships/hyperlink" Id="rId73" Target="https://rpubs.com/mclaire19/ggplot2-custom-themes"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74" Target="https://github.com/thomasp85/tidygraph/issues/128"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72" Target="https://opensource.com/business/13/2/why-company-contribute-open-source" TargetMode="External" /><Relationship Type="http://schemas.openxmlformats.org/officeDocument/2006/relationships/hyperlink" Id="rId45" Target="https://r4ds.had.co.nz/" TargetMode="External" /><Relationship Type="http://schemas.openxmlformats.org/officeDocument/2006/relationships/hyperlink" Id="rId73" Target="https://rpubs.com/mclaire19/ggplot2-custom-themes"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Community of Practice for Data Professionals: Brief 1</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2020-11-09T10:39:54Z</dcterms:created>
  <dcterms:modified xsi:type="dcterms:W3CDTF">2020-11-09T10:39:54Z</dcterms:modified>
</cp:coreProperties>
</file>