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Community</w:t>
      </w:r>
      <w:r>
        <w:t xml:space="preserve"> </w:t>
      </w:r>
      <w:r>
        <w:t xml:space="preserve">of</w:t>
      </w:r>
      <w:r>
        <w:t xml:space="preserve"> </w:t>
      </w:r>
      <w:r>
        <w:t xml:space="preserve">practice</w:t>
      </w:r>
      <w:r>
        <w:t xml:space="preserve"> </w:t>
      </w:r>
      <w:r>
        <w:t xml:space="preserve">reading</w:t>
      </w:r>
      <w:r>
        <w:t xml:space="preserve"> </w:t>
      </w:r>
      <w:r>
        <w:t xml:space="preserve">group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5943600" cy="25069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sa_logo_cro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Heading1"/>
      </w:pPr>
      <w:bookmarkStart w:id="22" w:name="quantitative-thinking"/>
      <w:bookmarkEnd w:id="22"/>
      <w:r>
        <w:t xml:space="preserve">Quantitative thinking</w:t>
      </w:r>
    </w:p>
    <w:p>
      <w:pPr>
        <w:pStyle w:val="FirstParagraph"/>
      </w:pPr>
      <w:r>
        <w:t xml:space="preserve">What we read would be a reflection of the aims and the capacity of the group. Professor Mark Mackay has suggested that this be a vehicle to immerse people who are not currently experts in a more quantitative way of thinking. This would be in keeping with the NHM book club.</w:t>
      </w:r>
    </w:p>
    <w:p>
      <w:pPr>
        <w:pStyle w:val="Heading1"/>
      </w:pPr>
      <w:bookmarkStart w:id="23" w:name="provisional-reading-list"/>
      <w:bookmarkEnd w:id="23"/>
      <w:r>
        <w:t xml:space="preserve">Provisional reading list</w:t>
      </w:r>
    </w:p>
    <w:p>
      <w:pPr>
        <w:pStyle w:val="FirstParagraph"/>
      </w:pPr>
      <w:r>
        <w:t xml:space="preserve">Hence, books that could be read could include:</w:t>
      </w:r>
    </w:p>
    <w:tbl>
      <w:tblPr>
        <w:tblStyle w:val="TableNormal"/>
        <w:tblW w:type="pct" w:w="4652.777777777778"/>
        <w:tblLook w:firstRow="1"/>
      </w:tblPr>
      <w:tblGrid>
        <w:gridCol w:w="4400"/>
        <w:gridCol w:w="29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Book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Author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Calling Bullshit: The Art of Skepticism in a Data-Driven World</w:t>
            </w:r>
          </w:p>
        </w:tc>
        <w:tc>
          <w:p>
            <w:pPr>
              <w:pStyle w:val="Compact"/>
              <w:jc w:val="left"/>
            </w:pPr>
            <w:r>
              <w:t xml:space="preserve">Carl T. Bergstrom Jevin D. West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How To Make the World Add Up</w:t>
            </w:r>
          </w:p>
        </w:tc>
        <w:tc>
          <w:p>
            <w:pPr>
              <w:pStyle w:val="Compact"/>
              <w:jc w:val="left"/>
            </w:pPr>
            <w:r>
              <w:t xml:space="preserve">Tim Hartford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Ostrich Paradox Why We Underprepare for Disasters</w:t>
            </w:r>
          </w:p>
        </w:tc>
        <w:tc>
          <w:p>
            <w:pPr>
              <w:pStyle w:val="Compact"/>
              <w:jc w:val="left"/>
            </w:pPr>
            <w:r>
              <w:t xml:space="preserve">Robert Meyer and Howard Kunreuther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Art of Statistics: Learning from Data</w:t>
            </w:r>
          </w:p>
        </w:tc>
        <w:tc>
          <w:p>
            <w:pPr>
              <w:pStyle w:val="Compact"/>
              <w:jc w:val="left"/>
            </w:pPr>
            <w:r>
              <w:t xml:space="preserve">David Spiegelhalter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Art of Logic in an Illogical World</w:t>
            </w:r>
          </w:p>
        </w:tc>
        <w:tc>
          <w:p>
            <w:pPr>
              <w:pStyle w:val="Compact"/>
              <w:jc w:val="left"/>
            </w:pPr>
            <w:r>
              <w:t xml:space="preserve">Eugenia Cheng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Merchants of Doubt: How a Handful of Scientists Obscured the Truth on Issues from Tobacco Smoke to Global Warming</w:t>
            </w:r>
          </w:p>
        </w:tc>
        <w:tc>
          <w:p>
            <w:pPr>
              <w:pStyle w:val="Compact"/>
              <w:jc w:val="left"/>
            </w:pPr>
            <w:r>
              <w:t xml:space="preserve">Naomi Oreskes, Erik M. Conway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Signal and the Noise: The Art and Science of Prediction</w:t>
            </w:r>
          </w:p>
        </w:tc>
        <w:tc>
          <w:p>
            <w:pPr>
              <w:pStyle w:val="Compact"/>
              <w:jc w:val="left"/>
            </w:pPr>
            <w:r>
              <w:t xml:space="preserve">Nate Silver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Standards: Recipes for Reality</w:t>
            </w:r>
          </w:p>
        </w:tc>
        <w:tc>
          <w:p>
            <w:pPr>
              <w:pStyle w:val="Compact"/>
              <w:jc w:val="left"/>
            </w:pPr>
            <w:r>
              <w:t xml:space="preserve">Lawrence Busch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Sum of the People: How the Census Has Shaped Nations, from the Ancient World to the Modern Age</w:t>
            </w:r>
          </w:p>
        </w:tc>
        <w:tc>
          <w:p>
            <w:pPr>
              <w:pStyle w:val="Compact"/>
              <w:jc w:val="left"/>
            </w:pPr>
            <w:r>
              <w:t xml:space="preserve">Andrew Whitby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Design Thinking Playbook: Mindful Digital Transformation of Teams, Products, Services, Businesses and Ecosystems</w:t>
            </w:r>
          </w:p>
        </w:tc>
        <w:tc>
          <w:p>
            <w:pPr>
              <w:pStyle w:val="Compact"/>
              <w:jc w:val="left"/>
            </w:pPr>
            <w:r>
              <w:t xml:space="preserve">Michael Lewrick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Factfulness: Ten Reasons We're Wrong About the World and Why Things Are Better Than You Think</w:t>
            </w:r>
          </w:p>
        </w:tc>
        <w:tc>
          <w:p>
            <w:pPr>
              <w:pStyle w:val="Compact"/>
              <w:jc w:val="left"/>
            </w:pPr>
            <w:r>
              <w:t xml:space="preserve">Hans Rosling, Ola Rosling, Anna Rosling Rönnlund</w:t>
            </w:r>
          </w:p>
        </w:tc>
      </w:tr>
    </w:tbl>
    <w:sectPr w:rsidR="00DA7FA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90C257"/>
    <w:multiLevelType w:val="multilevel"/>
    <w:tmpl w:val="D75C962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018FDFD"/>
    <w:multiLevelType w:val="multilevel"/>
    <w:tmpl w:val="CD909E60"/>
    <w:lvl w:ilvl="0">
      <w:numFmt w:val="bullet"/>
      <w:pStyle w:val="Normal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0F995AC"/>
    <w:multiLevelType w:val="multilevel"/>
    <w:tmpl w:val="7504A60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3f5de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A0E70"/>
    <w:pPr>
      <w:numPr>
        <w:numId w:val="1"/>
      </w:numPr>
    </w:pPr>
    <w:rPr>
      <w:rFonts w:ascii="Open Sans" w:hAnsi="Open Sans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511673"/>
    <w:pPr>
      <w:keepNext/>
      <w:keepLines/>
      <w:numPr>
        <w:numId w:val="0"/>
      </w:numPr>
      <w:spacing w:before="480" w:after="0"/>
      <w:ind w:left="480" w:hanging="480"/>
      <w:outlineLvl w:val="0"/>
    </w:pPr>
    <w:rPr>
      <w:rFonts w:eastAsiaTheme="majorEastAsia" w:cstheme="majorBidi"/>
      <w:b/>
      <w:bCs/>
      <w:color w:val="FF0000"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912CDB"/>
    <w:pPr>
      <w:keepNext/>
      <w:keepLines/>
      <w:numPr>
        <w:numId w:val="0"/>
      </w:numPr>
      <w:spacing w:before="200" w:after="0"/>
      <w:ind w:left="480" w:hanging="480"/>
      <w:outlineLvl w:val="1"/>
    </w:pPr>
    <w:rPr>
      <w:rFonts w:eastAsiaTheme="majorEastAsia" w:cstheme="majorBidi"/>
      <w:b/>
      <w:bCs/>
      <w:color w:val="4A442A" w:themeColor="background2" w:themeShade="4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45323"/>
    <w:pPr>
      <w:keepNext/>
      <w:keepLines/>
      <w:numPr>
        <w:numId w:val="0"/>
      </w:numPr>
      <w:spacing w:before="200" w:after="0"/>
      <w:outlineLvl w:val="2"/>
    </w:pPr>
    <w:rPr>
      <w:rFonts w:eastAsiaTheme="majorEastAsia" w:cstheme="majorBidi"/>
      <w:b/>
      <w:bCs/>
      <w:color w:val="4A442A" w:themeColor="background2" w:themeShade="40"/>
    </w:rPr>
  </w:style>
  <w:style w:type="paragraph" w:styleId="Heading4">
    <w:name w:val="heading 4"/>
    <w:basedOn w:val="Normal"/>
    <w:next w:val="BodyText"/>
    <w:uiPriority w:val="9"/>
    <w:unhideWhenUsed/>
    <w:qFormat/>
    <w:rsid w:val="00912CDB"/>
    <w:pPr>
      <w:keepNext/>
      <w:keepLines/>
      <w:numPr>
        <w:numId w:val="0"/>
      </w:numPr>
      <w:spacing w:before="200" w:after="0"/>
      <w:outlineLvl w:val="3"/>
    </w:pPr>
    <w:rPr>
      <w:rFonts w:eastAsiaTheme="majorEastAsia" w:cstheme="majorBidi"/>
      <w:i/>
      <w:iCs/>
      <w:color w:val="262626" w:themeColor="text1" w:themeTint="D9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2379"/>
    <w:pPr>
      <w:numPr>
        <w:numId w:val="0"/>
      </w:num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  <w:rsid w:val="009D2379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11673"/>
    <w:pPr>
      <w:keepNext/>
      <w:keepLines/>
      <w:numPr>
        <w:numId w:val="0"/>
      </w:numPr>
      <w:spacing w:before="480" w:after="240"/>
      <w:ind w:left="480"/>
      <w:jc w:val="right"/>
    </w:pPr>
    <w:rPr>
      <w:rFonts w:ascii="PT Sans Narrow" w:eastAsiaTheme="majorEastAsia" w:hAnsi="PT Sans Narrow" w:cstheme="majorBidi"/>
      <w:b/>
      <w:bCs/>
      <w:color w:val="4A442A" w:themeColor="background2" w:themeShade="40"/>
      <w:sz w:val="84"/>
      <w:szCs w:val="84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45323"/>
    <w:pPr>
      <w:spacing w:before="100" w:after="100"/>
      <w:ind w:left="567" w:right="567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Open Sans" w:hAnsi="Open Sans"/>
      <w:i/>
      <w:sz w:val="22"/>
      <w:szCs w:val="22"/>
    </w:rPr>
  </w:style>
  <w:style w:type="character" w:customStyle="1" w:styleId="VerbatimChar">
    <w:name w:val="Verbatim Char"/>
    <w:basedOn w:val="CaptionChar"/>
    <w:link w:val="SourceCode"/>
    <w:rPr>
      <w:rFonts w:ascii="Open Sans" w:hAnsi="Open Sans"/>
      <w:i w:val="0"/>
      <w:sz w:val="22"/>
      <w:szCs w:val="22"/>
      <w:shd w:val="clear" w:color="auto" w:fill="F8F8F8"/>
    </w:rPr>
  </w:style>
  <w:style w:type="character" w:styleId="FootnoteReference">
    <w:name w:val="footnote reference"/>
    <w:basedOn w:val="CaptionChar"/>
    <w:rPr>
      <w:rFonts w:ascii="Open Sans" w:hAnsi="Open Sans"/>
      <w:i/>
      <w:sz w:val="22"/>
      <w:szCs w:val="22"/>
      <w:vertAlign w:val="superscript"/>
    </w:rPr>
  </w:style>
  <w:style w:type="character" w:styleId="Hyperlink">
    <w:name w:val="Hyperlink"/>
    <w:basedOn w:val="CaptionChar"/>
    <w:uiPriority w:val="99"/>
    <w:rsid w:val="00CA0E70"/>
    <w:rPr>
      <w:rFonts w:ascii="Open Sans" w:hAnsi="Open Sans"/>
      <w:i w:val="0"/>
      <w:noProof/>
      <w:color w:val="4F81BD" w:themeColor="accent1"/>
      <w:sz w:val="22"/>
      <w:szCs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246E18"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 w:val="0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 w:val="0"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 w:val="0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 w:val="0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 w:val="0"/>
      <w:sz w:val="22"/>
      <w:szCs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0783C"/>
    <w:rPr>
      <w:rFonts w:ascii="Open Sans" w:hAnsi="Open Sans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46E18"/>
    <w:pPr>
      <w:numPr>
        <w:numId w:val="0"/>
      </w:numPr>
      <w:tabs>
        <w:tab w:val="righ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6E18"/>
    <w:pPr>
      <w:numPr>
        <w:numId w:val="0"/>
      </w:numPr>
      <w:tabs>
        <w:tab w:val="right" w:pos="9350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2658</Words>
  <Characters>15157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Community of Practice for Data Professionals: Brief 2</vt:lpstr>
    </vt:vector>
  </TitlesOfParts>
  <Company/>
  <LinksUpToDate>false</LinksUpToDate>
  <CharactersWithSpaces>17780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Community of practice reading group</dc:title>
  <dc:creator/>
  <dcterms:created xsi:type="dcterms:W3CDTF">2020-11-13T03:54:55Z</dcterms:created>
  <dcterms:modified xsi:type="dcterms:W3CDTF">2020-11-13T03:54:55Z</dcterms:modified>
</cp:coreProperties>
</file>