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430A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Hush v1 Assumptions Register</w:t>
      </w:r>
    </w:p>
    <w:p w14:paraId="3E7AB03F" w14:textId="77777777" w:rsidR="00035E29" w:rsidRPr="00035E29" w:rsidRDefault="00035E29" w:rsidP="00035E29">
      <w:r w:rsidRPr="00035E29">
        <w:t>This register catalogs every unresolved assumption the frozen model rests on, distilled from the spec stack and the accepted Red Team Review. It is ordered by risk — existential first. Each entry is stated so that an engineer or scientist could, in principle, design a test for it. Where the honest answer is "we cannot test this in the MVP," I say so plainly, because a register that hides its blind spots is worse than none.</w:t>
      </w:r>
    </w:p>
    <w:p w14:paraId="03C84405" w14:textId="77777777" w:rsidR="00035E29" w:rsidRPr="00035E29" w:rsidRDefault="00035E29" w:rsidP="00035E29">
      <w:r w:rsidRPr="00035E29">
        <w:t xml:space="preserve">A note on what "existential" means here: an assumption is existential if its falsity invalidates the product's core claim — </w:t>
      </w:r>
      <w:r w:rsidRPr="00035E29">
        <w:rPr>
          <w:i/>
          <w:iCs/>
        </w:rPr>
        <w:t>that Hush can earn the right to decide</w:t>
      </w:r>
      <w:r w:rsidRPr="00035E29">
        <w:t xml:space="preserve"> — not merely a feature. Four assumptions meet that bar. They are the ones to read carefully.</w:t>
      </w:r>
    </w:p>
    <w:p w14:paraId="34E63335" w14:textId="77777777" w:rsidR="00035E29" w:rsidRPr="00035E29" w:rsidRDefault="00035E29" w:rsidP="00035E29">
      <w:r w:rsidRPr="00035E29">
        <w:pict w14:anchorId="45879875">
          <v:rect id="_x0000_i1055" style="width:0;height:1.5pt" o:hralign="center" o:hrstd="t" o:hr="t" fillcolor="#a0a0a0" stroked="f"/>
        </w:pict>
      </w:r>
    </w:p>
    <w:p w14:paraId="7E47455A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EXISTENTIAL</w:t>
      </w:r>
    </w:p>
    <w:p w14:paraId="0F3C8A61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A1 — Capability is recoverable from confounded observations</w:t>
      </w:r>
    </w:p>
    <w:p w14:paraId="2095684F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True capability can be inferred from observed = capability − fatigue despite two unknowns and one equation per observation, because fatigue is computable from training history. </w:t>
      </w:r>
      <w:r w:rsidRPr="00035E29">
        <w:rPr>
          <w:b/>
          <w:bCs/>
        </w:rPr>
        <w:t>Why it exists:</w:t>
      </w:r>
      <w:r w:rsidRPr="00035E29">
        <w:t xml:space="preserve"> The entire learning loop (ES-005.1, ES-011) requires a capability estimate; without separating capability from fatigue, every observation mis-attributes recovery state to capability change. </w:t>
      </w:r>
      <w:r w:rsidRPr="00035E29">
        <w:rPr>
          <w:b/>
          <w:bCs/>
        </w:rPr>
        <w:t>What would falsify it:</w:t>
      </w:r>
      <w:r w:rsidRPr="00035E29">
        <w:t xml:space="preserve"> Capability scores that fail to predict out-of-sample performance better than a naive "last working set" heuristic; or score trajectories that diverge depending on the order/spacing of sessions when true capability was constant. </w:t>
      </w:r>
      <w:r w:rsidRPr="00035E29">
        <w:rPr>
          <w:b/>
          <w:bCs/>
        </w:rPr>
        <w:t>What data would validate it:</w:t>
      </w:r>
      <w:r w:rsidRPr="00035E29">
        <w:t xml:space="preserve"> Periodic </w:t>
      </w:r>
      <w:r w:rsidRPr="00035E29">
        <w:rPr>
          <w:i/>
          <w:iCs/>
        </w:rPr>
        <w:t>standardized fresh-state tests</w:t>
      </w:r>
      <w:r w:rsidRPr="00035E29">
        <w:t xml:space="preserve"> (same exercise, long rest, controlled conditions) showing the inferred capability matches the fresh-state measurement. The system does not currently schedule these.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Partially, and only if fresh-state probes are added.</w:t>
      </w:r>
      <w:r w:rsidRPr="00035E29">
        <w:t xml:space="preserve"> Without deliberate standardized re-tests, this is untestable — the model can explain any outcome as fatigue/effort/confidence, so nothing falsifies it. This is the Red Team's deepest finding: a model that explains everything predicts nothing.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Existential.</w:t>
      </w:r>
    </w:p>
    <w:p w14:paraId="1ECF539A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A2 — The coupled learning loop converges</w:t>
      </w:r>
    </w:p>
    <w:p w14:paraId="12C6F791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The composition of all feedback loops (capability ↔ prediction ↔ load ↔ observation ↔ fatigue ↔ confidence) is globally stable, despite each loop being tuned independently. </w:t>
      </w:r>
      <w:r w:rsidRPr="00035E29">
        <w:rPr>
          <w:b/>
          <w:bCs/>
        </w:rPr>
        <w:t>Why it exists:</w:t>
      </w:r>
      <w:r w:rsidRPr="00035E29">
        <w:t xml:space="preserve"> Each spec proved </w:t>
      </w:r>
      <w:r w:rsidRPr="00035E29">
        <w:rPr>
          <w:i/>
          <w:iCs/>
        </w:rPr>
        <w:t>local</w:t>
      </w:r>
      <w:r w:rsidRPr="00035E29">
        <w:t xml:space="preserve"> damping (small learning rate, conservative discount, slow blend); global stability was assumed to follow. </w:t>
      </w:r>
      <w:r w:rsidRPr="00035E29">
        <w:rPr>
          <w:b/>
          <w:bCs/>
        </w:rPr>
        <w:t>What would falsify it:</w:t>
      </w:r>
      <w:r w:rsidRPr="00035E29">
        <w:t xml:space="preserve"> Capability scores or recommended loads that oscillate, ratchet, or drift over long horizons for an athlete whose true capability is stable; sensitivity of long-run trajectory to small parameter changes. </w:t>
      </w:r>
      <w:r w:rsidRPr="00035E29">
        <w:rPr>
          <w:b/>
          <w:bCs/>
        </w:rPr>
        <w:t>What data would validate it:</w:t>
      </w:r>
      <w:r w:rsidRPr="00035E29">
        <w:t xml:space="preserve"> 6–18 months of per-athlete trajectories showing convergence to stable values, plus sensitivity analysis across parameter perturbations.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No.</w:t>
      </w:r>
      <w:r w:rsidRPr="00035E29">
        <w:t xml:space="preserve"> The validation window (8–12 </w:t>
      </w:r>
      <w:r w:rsidRPr="00035E29">
        <w:lastRenderedPageBreak/>
        <w:t xml:space="preserve">weeks) is </w:t>
      </w:r>
      <w:r w:rsidRPr="00035E29">
        <w:rPr>
          <w:i/>
          <w:iCs/>
        </w:rPr>
        <w:t>shorter than the 23-week evidence-decay half-life</w:t>
      </w:r>
      <w:r w:rsidRPr="00035E29">
        <w:t xml:space="preserve"> (ES-005.1 §6). The mechanism that governs long-run behavior is never even half-exercised. Ships unvalidated.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Existential.</w:t>
      </w:r>
    </w:p>
    <w:p w14:paraId="76142720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A3 — Trust is measurable through behavior</w:t>
      </w:r>
    </w:p>
    <w:p w14:paraId="7E2DF254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Earned trust is distinguishable from passive compliance via behavioral signals (costly-case compliance, override variance, discernment), per ES-012. </w:t>
      </w:r>
      <w:r w:rsidRPr="00035E29">
        <w:rPr>
          <w:b/>
          <w:bCs/>
        </w:rPr>
        <w:t>Why it exists:</w:t>
      </w:r>
      <w:r w:rsidRPr="00035E29">
        <w:t xml:space="preserve"> The product's entire purpose is earning the right to decide; ES-012 must operationalize "trust" or the company has no success metric. </w:t>
      </w:r>
      <w:r w:rsidRPr="00035E29">
        <w:rPr>
          <w:b/>
          <w:bCs/>
        </w:rPr>
        <w:t>What would falsify it:</w:t>
      </w:r>
      <w:r w:rsidRPr="00035E29">
        <w:t xml:space="preserve"> Athletes whose behavioral trust signals (high costly-deference, retained discernment) are uncorrelated with long-term retention or self-reported trust; inability to distinguish "thoughtful agreement" from "stopped thinking" in any data. </w:t>
      </w:r>
      <w:r w:rsidRPr="00035E29">
        <w:rPr>
          <w:b/>
          <w:bCs/>
        </w:rPr>
        <w:t>What data would validate it:</w:t>
      </w:r>
      <w:r w:rsidRPr="00035E29">
        <w:t xml:space="preserve"> Behavioral trust scores that predict retention and survive correlation with independent trust measures, across enough costly-case events per athlete.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No, for a meaningful fraction of the cohort.</w:t>
      </w:r>
      <w:r w:rsidRPr="00035E29">
        <w:t xml:space="preserve"> Trust requires DECREASE_LOAD and fatigue-hold events that the conservative system is designed to avoid generating (Red Team §1.4). Many athletes will reach week 8 having never experienced a costly recommendation, leaving their TrustScore undefined. DiscernmentRetained is unobservable in principle (§3.4). The North Star is partially unmeasurable.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Existential.</w:t>
      </w:r>
    </w:p>
    <w:p w14:paraId="43B67C86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A4 — Athletes will delegate decisions to a system</w:t>
      </w:r>
    </w:p>
    <w:p w14:paraId="4AD3EBD5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The primary hypothesis (Founder Ch9) — athletes are </w:t>
      </w:r>
      <w:r w:rsidRPr="00035E29">
        <w:rPr>
          <w:i/>
          <w:iCs/>
        </w:rPr>
        <w:t>willing</w:t>
      </w:r>
      <w:r w:rsidRPr="00035E29">
        <w:t xml:space="preserve"> to hand training decisions to software that earns trust — is true for a population broader than self-selecting early adopters. </w:t>
      </w:r>
      <w:r w:rsidRPr="00035E29">
        <w:rPr>
          <w:b/>
          <w:bCs/>
        </w:rPr>
        <w:t>Why it exists:</w:t>
      </w:r>
      <w:r w:rsidRPr="00035E29">
        <w:t xml:space="preserve"> It is the founding premise; everything else is execution conditional on it. </w:t>
      </w:r>
      <w:r w:rsidRPr="00035E29">
        <w:rPr>
          <w:b/>
          <w:bCs/>
        </w:rPr>
        <w:t>What would falsify it:</w:t>
      </w:r>
      <w:r w:rsidRPr="00035E29">
        <w:t xml:space="preserve"> Even among engaged athletes, persistent override of the system's authority on consequential decisions, or churn driven by "I want control" rather than "it was wrong." </w:t>
      </w:r>
      <w:r w:rsidRPr="00035E29">
        <w:rPr>
          <w:b/>
          <w:bCs/>
        </w:rPr>
        <w:t>What data would validate it:</w:t>
      </w:r>
      <w:r w:rsidRPr="00035E29">
        <w:t xml:space="preserve"> Sustained costly-deference across a non-self-selected sample; qualitative evidence that delegation (not novelty or compliance) drives retention.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Weakly.</w:t>
      </w:r>
      <w:r w:rsidRPr="00035E29">
        <w:t xml:space="preserve"> Beta users self-select </w:t>
      </w:r>
      <w:r w:rsidRPr="00035E29">
        <w:rPr>
          <w:i/>
          <w:iCs/>
        </w:rPr>
        <w:t>into</w:t>
      </w:r>
      <w:r w:rsidRPr="00035E29">
        <w:t xml:space="preserve"> delegation (Red Team §selection bias), so the MVP measures the disposition of people already inclined to defer — it cannot generalize. Survivorship (§6.5) further biases upward.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Existential.</w:t>
      </w:r>
      <w:r w:rsidRPr="00035E29">
        <w:t xml:space="preserve"> This is the one assumption that, if false, no amount of model quality saves.</w:t>
      </w:r>
    </w:p>
    <w:p w14:paraId="3F0B2B56" w14:textId="77777777" w:rsidR="00035E29" w:rsidRPr="00035E29" w:rsidRDefault="00035E29" w:rsidP="00035E29">
      <w:r w:rsidRPr="00035E29">
        <w:pict w14:anchorId="7DF097A4">
          <v:rect id="_x0000_i1056" style="width:0;height:1.5pt" o:hralign="center" o:hrstd="t" o:hr="t" fillcolor="#a0a0a0" stroked="f"/>
        </w:pict>
      </w:r>
    </w:p>
    <w:p w14:paraId="2A8A5DBB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HIGH</w:t>
      </w:r>
    </w:p>
    <w:p w14:paraId="193AA075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A5 — effort_offset and fatigue are separately identifiable</w:t>
      </w:r>
    </w:p>
    <w:p w14:paraId="792A73F4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The stable effort bias and time-varying fatigue can be disentangled by their timescales (ES-011 C.4). </w:t>
      </w:r>
      <w:r w:rsidRPr="00035E29">
        <w:rPr>
          <w:b/>
          <w:bCs/>
        </w:rPr>
        <w:t>Why it exists:</w:t>
      </w:r>
      <w:r w:rsidRPr="00035E29">
        <w:t xml:space="preserve"> Both produce systematic negative </w:t>
      </w:r>
      <w:r w:rsidRPr="00035E29">
        <w:lastRenderedPageBreak/>
        <w:t xml:space="preserve">prediction error; without separation they double-correct and the score drifts. </w:t>
      </w:r>
      <w:r w:rsidRPr="00035E29">
        <w:rPr>
          <w:b/>
          <w:bCs/>
        </w:rPr>
        <w:t>What would falsify it:</w:t>
      </w:r>
      <w:r w:rsidRPr="00035E29">
        <w:t xml:space="preserve"> An athlete whose effort genuinely drifts over weeks (e.g., grows comfortable training closer to failure) — the slow effort drift becomes indistinguishable from a long-τ fatigue component, and the two corrections trade mass arbitrarily. </w:t>
      </w:r>
      <w:r w:rsidRPr="00035E29">
        <w:rPr>
          <w:b/>
          <w:bCs/>
        </w:rPr>
        <w:t>What data would validate it:</w:t>
      </w:r>
      <w:r w:rsidRPr="00035E29">
        <w:t xml:space="preserve"> Independent measure of effort (RIR/proximity-to-failure) to anchor the decomposition — which the product refuses to collect (Anti-Requirement).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No.</w:t>
      </w:r>
      <w:r w:rsidRPr="00035E29">
        <w:t xml:space="preserve"> Requires the exact input the product forbids. Unidentifiable from rep count alone.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High.</w:t>
      </w:r>
    </w:p>
    <w:p w14:paraId="6CAF5478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A6 — Per-athlete recovery rates (τ) are learnable</w:t>
      </w:r>
    </w:p>
    <w:p w14:paraId="1D48711D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8 recovery half-lives per athlete (7 capability + 1 systemic) can be estimated from training data (ES-011 D.3). </w:t>
      </w:r>
      <w:r w:rsidRPr="00035E29">
        <w:rPr>
          <w:b/>
          <w:bCs/>
        </w:rPr>
        <w:t>Why it exists:</w:t>
      </w:r>
      <w:r w:rsidRPr="00035E29">
        <w:t xml:space="preserve"> Recovery is athlete-specific; fixed population τ mis-times progression for fast/slow recoverers. </w:t>
      </w:r>
      <w:r w:rsidRPr="00035E29">
        <w:rPr>
          <w:b/>
          <w:bCs/>
        </w:rPr>
        <w:t>What would falsify it:</w:t>
      </w:r>
      <w:r w:rsidRPr="00035E29">
        <w:t xml:space="preserve"> τ estimates that fail to stabilize, or that fit noise (high variance across re-fits on the same athlete). </w:t>
      </w:r>
      <w:r w:rsidRPr="00035E29">
        <w:rPr>
          <w:b/>
          <w:bCs/>
        </w:rPr>
        <w:t>What data would validate it:</w:t>
      </w:r>
      <w:r w:rsidRPr="00035E29">
        <w:t xml:space="preserve"> Many observations per capability </w:t>
      </w:r>
      <w:r w:rsidRPr="00035E29">
        <w:rPr>
          <w:i/>
          <w:iCs/>
        </w:rPr>
        <w:t>at varied rest intervals</w:t>
      </w:r>
      <w:r w:rsidRPr="00035E29">
        <w:t xml:space="preserve"> — requires deliberate rest-interval variation.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No.</w:t>
      </w:r>
      <w:r w:rsidRPr="00035E29">
        <w:t xml:space="preserve"> ~5 observations per capability at one or two habitual rest intervals cannot identify 8 decay constants (Red Team §4.2). </w:t>
      </w:r>
      <w:r w:rsidRPr="00035E29">
        <w:rPr>
          <w:b/>
          <w:bCs/>
        </w:rPr>
        <w:t>Recommendation: ship fixed population τ; do not enable per-athlete learning until validated.</w:t>
      </w:r>
      <w:r w:rsidRPr="00035E29">
        <w:t xml:space="preserve">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High.</w:t>
      </w:r>
    </w:p>
    <w:p w14:paraId="7F282033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A7 — Conservative seeds are safe across all cohorts</w:t>
      </w:r>
    </w:p>
    <w:p w14:paraId="41684D59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ES-008 v2 seeds (cohort-adjusted, discounted) produce safe, non-failure first sessions for every real athlete. </w:t>
      </w:r>
      <w:r w:rsidRPr="00035E29">
        <w:rPr>
          <w:b/>
          <w:bCs/>
        </w:rPr>
        <w:t>Why it exists:</w:t>
      </w:r>
      <w:r w:rsidRPr="00035E29">
        <w:t xml:space="preserve"> First-session failure is the fastest trust-destroyer (ES-003 Principle #39); seeds must lean light. </w:t>
      </w:r>
      <w:r w:rsidRPr="00035E29">
        <w:rPr>
          <w:b/>
          <w:bCs/>
        </w:rPr>
        <w:t>What would falsify it:</w:t>
      </w:r>
      <w:r w:rsidRPr="00035E29">
        <w:t xml:space="preserve"> First-session fail-on-first-rep events, especially for under-represented cohorts (older, female, detrained, bodyweight-dominant movements). </w:t>
      </w:r>
      <w:r w:rsidRPr="00035E29">
        <w:rPr>
          <w:b/>
          <w:bCs/>
        </w:rPr>
        <w:t>What data would validate it:</w:t>
      </w:r>
      <w:r w:rsidRPr="00035E29">
        <w:t xml:space="preserve"> First-session completion and failure rates by cohort.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Yes — and this is the single most testable high-risk assumption.</w:t>
      </w:r>
      <w:r w:rsidRPr="00035E29">
        <w:t xml:space="preserve"> Week-1 data directly measures it. Prioritize cohort diversity in recruitment so the tails are represented.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High</w:t>
      </w:r>
      <w:r w:rsidRPr="00035E29">
        <w:t xml:space="preserve"> (but cheaply testable — invest here first).</w:t>
      </w:r>
    </w:p>
    <w:p w14:paraId="596C1CE2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A8 — The de-biased error is a valid model-quality signal</w:t>
      </w:r>
    </w:p>
    <w:p w14:paraId="239CE3DE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Fatigue- and effort-adjusted prediction error (ES-012 D.1) honestly measures learning, not artifact. </w:t>
      </w:r>
      <w:r w:rsidRPr="00035E29">
        <w:rPr>
          <w:b/>
          <w:bCs/>
        </w:rPr>
        <w:t>Why it exists:</w:t>
      </w:r>
      <w:r w:rsidRPr="00035E29">
        <w:t xml:space="preserve"> Raw error conflates model quality with effort and recovery; the de-biased series is the only "honest" signal. </w:t>
      </w:r>
      <w:r w:rsidRPr="00035E29">
        <w:rPr>
          <w:b/>
          <w:bCs/>
        </w:rPr>
        <w:t>What would falsify it:</w:t>
      </w:r>
      <w:r w:rsidRPr="00035E29">
        <w:t xml:space="preserve"> Error decreasing only because capability variance collapsed (regression to the mean), not because the model learned; or because the corrections (fatigue, effort) absorb the error rather than the model improving. </w:t>
      </w:r>
      <w:r w:rsidRPr="00035E29">
        <w:rPr>
          <w:b/>
          <w:bCs/>
        </w:rPr>
        <w:t>What data would validate it:</w:t>
      </w:r>
      <w:r w:rsidRPr="00035E29">
        <w:t xml:space="preserve"> De-biased error beating the shadow baseline </w:t>
      </w:r>
      <w:r w:rsidRPr="00035E29">
        <w:rPr>
          <w:i/>
          <w:iCs/>
        </w:rPr>
        <w:t>while capability is still moving</w:t>
      </w:r>
      <w:r w:rsidRPr="00035E29">
        <w:t xml:space="preserve"> (ES-012 D.3).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Weakly.</w:t>
      </w:r>
      <w:r w:rsidRPr="00035E29">
        <w:t xml:space="preserve"> The shadow-baseline comparison cannot be powered at N=10–100 with per-athlete models (Red Team §6.4). You can compute it directionally; </w:t>
      </w:r>
      <w:r w:rsidRPr="00035E29">
        <w:lastRenderedPageBreak/>
        <w:t xml:space="preserve">you cannot reach significance.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High</w:t>
      </w:r>
      <w:r w:rsidRPr="00035E29">
        <w:t xml:space="preserve"> — because this is the metric that distinguishes "learned" from "users defer," and it's underpowered.</w:t>
      </w:r>
    </w:p>
    <w:p w14:paraId="54DE865A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A9 — Overrides are interpretable</w:t>
      </w:r>
    </w:p>
    <w:p w14:paraId="77D50834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When an athlete overrides, the system knows what they did (exercise, load) well enough to attribute it (ES-010). </w:t>
      </w:r>
      <w:r w:rsidRPr="00035E29">
        <w:rPr>
          <w:b/>
          <w:bCs/>
        </w:rPr>
        <w:t>Why it exists:</w:t>
      </w:r>
      <w:r w:rsidRPr="00035E29">
        <w:t xml:space="preserve"> Override-as-evidence is central to learning and to ES-012's override-productivity. </w:t>
      </w:r>
      <w:r w:rsidRPr="00035E29">
        <w:rPr>
          <w:b/>
          <w:bCs/>
        </w:rPr>
        <w:t>What would falsify it:</w:t>
      </w:r>
      <w:r w:rsidRPr="00035E29">
        <w:t xml:space="preserve"> A meaningful fraction of overrides to off-catalog exercises (no difficulty_factor, no capability mapping) → uninterpretable observations. </w:t>
      </w:r>
      <w:r w:rsidRPr="00035E29">
        <w:rPr>
          <w:b/>
          <w:bCs/>
        </w:rPr>
        <w:t>What data would validate it:</w:t>
      </w:r>
      <w:r w:rsidRPr="00035E29">
        <w:t xml:space="preserve"> Measured rate of off-catalog substitutions and their handling.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Yes.</w:t>
      </w:r>
      <w:r w:rsidRPr="00035E29">
        <w:t xml:space="preserve"> Log override targets; measure off-catalog fraction directly. The 40–60 exercise catalog (ES-002) vs. real-gym variety makes this likely material.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High.</w:t>
      </w:r>
    </w:p>
    <w:p w14:paraId="42A8A71B" w14:textId="77777777" w:rsidR="00035E29" w:rsidRPr="00035E29" w:rsidRDefault="00035E29" w:rsidP="00035E29">
      <w:r w:rsidRPr="00035E29">
        <w:pict w14:anchorId="11F6784D">
          <v:rect id="_x0000_i1057" style="width:0;height:1.5pt" o:hralign="center" o:hrstd="t" o:hr="t" fillcolor="#a0a0a0" stroked="f"/>
        </w:pict>
      </w:r>
    </w:p>
    <w:p w14:paraId="5B1F8628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MEDIUM</w:t>
      </w:r>
    </w:p>
    <w:p w14:paraId="636A9415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A10 — κ (set→fatigue scaling) can be set meaningfully</w:t>
      </w:r>
    </w:p>
    <w:p w14:paraId="0ABFC485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A single global κ converts set work to fatigue in score units sensibly. </w:t>
      </w:r>
      <w:r w:rsidRPr="00035E29">
        <w:rPr>
          <w:b/>
          <w:bCs/>
        </w:rPr>
        <w:t>Why it exists:</w:t>
      </w:r>
      <w:r w:rsidRPr="00035E29">
        <w:t xml:space="preserve"> Fatigue must be quantified to be removed. </w:t>
      </w:r>
      <w:r w:rsidRPr="00035E29">
        <w:rPr>
          <w:b/>
          <w:bCs/>
        </w:rPr>
        <w:t>What would falsify it:</w:t>
      </w:r>
      <w:r w:rsidRPr="00035E29">
        <w:t xml:space="preserve"> No single κ producing stable, predictive fatigue across exercises and athletes; κ absorbing unrelated model error. </w:t>
      </w:r>
      <w:r w:rsidRPr="00035E29">
        <w:rPr>
          <w:b/>
          <w:bCs/>
        </w:rPr>
        <w:t>What data would validate it:</w:t>
      </w:r>
      <w:r w:rsidRPr="00035E29">
        <w:t xml:space="preserve"> Within-session rep-decline patterns matching κ-predicted fatigue across many sessions.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Partially.</w:t>
      </w:r>
      <w:r w:rsidRPr="00035E29">
        <w:t xml:space="preserve"> Within-session decline is observable; whether κ </w:t>
      </w:r>
      <w:r w:rsidRPr="00035E29">
        <w:rPr>
          <w:i/>
          <w:iCs/>
        </w:rPr>
        <w:t>generalizes</w:t>
      </w:r>
      <w:r w:rsidRPr="00035E29">
        <w:t xml:space="preserve"> is not, at this N. κ is a "garbage-collector" parameter (Red Team §4.1) — high chance it hides other errors.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Medium.</w:t>
      </w:r>
    </w:p>
    <w:p w14:paraId="79E2E274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A11 — σ²_ref (conflict variance reference) is settable</w:t>
      </w:r>
    </w:p>
    <w:p w14:paraId="10166891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A reference variance correctly distinguishes real evidence conflict from normal noise (ES-010 Part C). </w:t>
      </w:r>
      <w:r w:rsidRPr="00035E29">
        <w:rPr>
          <w:b/>
          <w:bCs/>
        </w:rPr>
        <w:t>Why it exists:</w:t>
      </w:r>
      <w:r w:rsidRPr="00035E29">
        <w:t xml:space="preserve"> Confidence suppression on conflict requires a normalizer. </w:t>
      </w:r>
      <w:r w:rsidRPr="00035E29">
        <w:rPr>
          <w:b/>
          <w:bCs/>
        </w:rPr>
        <w:t>What would falsify it:</w:t>
      </w:r>
      <w:r w:rsidRPr="00035E29">
        <w:t xml:space="preserve"> Confidence that either never suppresses (useless) or always suppresses (perma-conservative); high-natural-variance athletes stuck at low confidence permanently. </w:t>
      </w:r>
      <w:r w:rsidRPr="00035E29">
        <w:rPr>
          <w:b/>
          <w:bCs/>
        </w:rPr>
        <w:t>What data would validate it:</w:t>
      </w:r>
      <w:r w:rsidRPr="00035E29">
        <w:t xml:space="preserve"> Population variance distribution to anchor σ²_ref.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Partially.</w:t>
      </w:r>
      <w:r w:rsidRPr="00035E29">
        <w:t xml:space="preserve"> You can observe whether confidence stabilizes per athlete; you can't validate the population anchor at this N. Interacts with κ and τ (jointly unidentifiable — Red Team §4.3).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Medium.</w:t>
      </w:r>
    </w:p>
    <w:p w14:paraId="46B62FDC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A12 — Capabilities are sufficiently independent</w:t>
      </w:r>
    </w:p>
    <w:p w14:paraId="5656D2B4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Treating the 7 capabilities as independent (no learned cross-correlation in V1, ES-Founder Ch3) loses little. </w:t>
      </w:r>
      <w:r w:rsidRPr="00035E29">
        <w:rPr>
          <w:b/>
          <w:bCs/>
        </w:rPr>
        <w:t>Why it exists:</w:t>
      </w:r>
      <w:r w:rsidRPr="00035E29">
        <w:t xml:space="preserve"> Independence is a deliberate V1 simplification; correlations are deferred. </w:t>
      </w:r>
      <w:r w:rsidRPr="00035E29">
        <w:rPr>
          <w:b/>
          <w:bCs/>
        </w:rPr>
        <w:t>What would falsify it:</w:t>
      </w:r>
      <w:r w:rsidRPr="00035E29">
        <w:t xml:space="preserve"> Prediction accuracy materially improved by modeling correlations (e.g., OHP progress predicting bench </w:t>
      </w:r>
      <w:r w:rsidRPr="00035E29">
        <w:lastRenderedPageBreak/>
        <w:t xml:space="preserve">progress). </w:t>
      </w:r>
      <w:r w:rsidRPr="00035E29">
        <w:rPr>
          <w:b/>
          <w:bCs/>
        </w:rPr>
        <w:t>What data would validate it:</w:t>
      </w:r>
      <w:r w:rsidRPr="00035E29">
        <w:t xml:space="preserve"> Residual correlation analysis across capabilities post-hoc.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Yes, post-hoc.</w:t>
      </w:r>
      <w:r w:rsidRPr="00035E29">
        <w:t xml:space="preserve"> Cheap to analyze residuals even if not acted on.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Medium.</w:t>
      </w:r>
    </w:p>
    <w:p w14:paraId="5BDE1DAE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A13 — Volume bands map to real stimulus</w:t>
      </w:r>
    </w:p>
    <w:p w14:paraId="73257154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ES-009.1's low/moderate/high (8/12/18 sets/capability/week) produce meaningfully different, appropriate training stimulus. </w:t>
      </w:r>
      <w:r w:rsidRPr="00035E29">
        <w:rPr>
          <w:b/>
          <w:bCs/>
        </w:rPr>
        <w:t>Why it exists:</w:t>
      </w:r>
      <w:r w:rsidRPr="00035E29">
        <w:t xml:space="preserve"> weekly_volume needed a concrete mapping; nothing consumed the free-text field before. </w:t>
      </w:r>
      <w:r w:rsidRPr="00035E29">
        <w:rPr>
          <w:b/>
          <w:bCs/>
        </w:rPr>
        <w:t>What would falsify it:</w:t>
      </w:r>
      <w:r w:rsidRPr="00035E29">
        <w:t xml:space="preserve"> No difference in capability progression across bands, or bands driving overreaching/under-stimulus. </w:t>
      </w:r>
      <w:r w:rsidRPr="00035E29">
        <w:rPr>
          <w:b/>
          <w:bCs/>
        </w:rPr>
        <w:t>What data would validate it:</w:t>
      </w:r>
      <w:r w:rsidRPr="00035E29">
        <w:t xml:space="preserve"> Capability trend by volume band.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Weakly.</w:t>
      </w:r>
      <w:r w:rsidRPr="00035E29">
        <w:t xml:space="preserve"> 8 weeks is short for volume-response signal, and bands are confounded with adherence.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Medium.</w:t>
      </w:r>
    </w:p>
    <w:p w14:paraId="7E798A8A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A14 — Exploration floor prevents preference lock-in</w:t>
      </w:r>
    </w:p>
    <w:p w14:paraId="17C4C70C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10% exploration (ES-009 §6) is enough to prevent the preference→selection→preference loop from narrowing the exercise pool. </w:t>
      </w:r>
      <w:r w:rsidRPr="00035E29">
        <w:rPr>
          <w:b/>
          <w:bCs/>
        </w:rPr>
        <w:t>Why it exists:</w:t>
      </w:r>
      <w:r w:rsidRPr="00035E29">
        <w:t xml:space="preserve"> Preference is self-reinforcing; exploration is the only counterweight. </w:t>
      </w:r>
      <w:r w:rsidRPr="00035E29">
        <w:rPr>
          <w:b/>
          <w:bCs/>
        </w:rPr>
        <w:t>What would falsify it:</w:t>
      </w:r>
      <w:r w:rsidRPr="00035E29">
        <w:t xml:space="preserve"> Exercise pool narrowing over time despite exploration; dropped exercises never re-tested in practice. </w:t>
      </w:r>
      <w:r w:rsidRPr="00035E29">
        <w:rPr>
          <w:b/>
          <w:bCs/>
        </w:rPr>
        <w:t>What data would validate it:</w:t>
      </w:r>
      <w:r w:rsidRPr="00035E29">
        <w:t xml:space="preserve"> Exercise-diversity-over-time per athlete.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Partially.</w:t>
      </w:r>
      <w:r w:rsidRPr="00035E29">
        <w:t xml:space="preserve"> 8 weeks may be too short for lock-in to manifest (it's a months-long risk). Red Team judged 10% likely too weak against 90% reinforcement.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Medium.</w:t>
      </w:r>
    </w:p>
    <w:p w14:paraId="7314D506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A15 — Trust exponents (a, b, c) are defensible</w:t>
      </w:r>
    </w:p>
    <w:p w14:paraId="013D33D4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The multiplicative weighting of TrustScore components (ES-012 C.2) reflects real trust structure. </w:t>
      </w:r>
      <w:r w:rsidRPr="00035E29">
        <w:rPr>
          <w:b/>
          <w:bCs/>
        </w:rPr>
        <w:t>Why it exists:</w:t>
      </w:r>
      <w:r w:rsidRPr="00035E29">
        <w:t xml:space="preserve"> The score needed weights; defaults were chosen. </w:t>
      </w:r>
      <w:r w:rsidRPr="00035E29">
        <w:rPr>
          <w:b/>
          <w:bCs/>
        </w:rPr>
        <w:t>What would falsify it:</w:t>
      </w:r>
      <w:r w:rsidRPr="00035E29">
        <w:t xml:space="preserve"> Different weightings yielding different validation verdicts on the same data. </w:t>
      </w:r>
      <w:r w:rsidRPr="00035E29">
        <w:rPr>
          <w:b/>
          <w:bCs/>
        </w:rPr>
        <w:t>What data would validate it:</w:t>
      </w:r>
      <w:r w:rsidRPr="00035E29">
        <w:t xml:space="preserve"> Outcome data correlating weightings with long-term retention across hundreds of athletes.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No.</w:t>
      </w:r>
      <w:r w:rsidRPr="00035E29">
        <w:t xml:space="preserve"> Unfalsifiable at this N (Red Team §4.4). Guesses dressed as design.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Medium</w:t>
      </w:r>
      <w:r w:rsidRPr="00035E29">
        <w:t xml:space="preserve"> (low immediate harm, but the North Star inherits the arbitrariness).</w:t>
      </w:r>
    </w:p>
    <w:p w14:paraId="23FA0E2E" w14:textId="77777777" w:rsidR="00035E29" w:rsidRPr="00035E29" w:rsidRDefault="00035E29" w:rsidP="00035E29">
      <w:r w:rsidRPr="00035E29">
        <w:pict w14:anchorId="3771D00E">
          <v:rect id="_x0000_i1058" style="width:0;height:1.5pt" o:hralign="center" o:hrstd="t" o:hr="t" fillcolor="#a0a0a0" stroked="f"/>
        </w:pict>
      </w:r>
    </w:p>
    <w:p w14:paraId="4AFEBD19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LOW</w:t>
      </w:r>
    </w:p>
    <w:p w14:paraId="29A94AE0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A16 — Epley is an adequate rep model</w:t>
      </w:r>
    </w:p>
    <w:p w14:paraId="5EAA4CFD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The Epley formula (ES-005.1 §2) adequately maps load↔reps across the relevant range. </w:t>
      </w:r>
      <w:r w:rsidRPr="00035E29">
        <w:rPr>
          <w:b/>
          <w:bCs/>
        </w:rPr>
        <w:t>Why it exists:</w:t>
      </w:r>
      <w:r w:rsidRPr="00035E29">
        <w:t xml:space="preserve"> Needed an invertible, deterministic rep model; Epley is standard. </w:t>
      </w:r>
      <w:r w:rsidRPr="00035E29">
        <w:rPr>
          <w:b/>
          <w:bCs/>
        </w:rPr>
        <w:t>What would falsify it:</w:t>
      </w:r>
      <w:r w:rsidRPr="00035E29">
        <w:t xml:space="preserve"> Systematic prediction bias at rep-range extremes (very low or very high reps). </w:t>
      </w:r>
      <w:r w:rsidRPr="00035E29">
        <w:rPr>
          <w:b/>
          <w:bCs/>
        </w:rPr>
        <w:t>What data would validate it:</w:t>
      </w:r>
      <w:r w:rsidRPr="00035E29">
        <w:t xml:space="preserve"> Residual error vs. rep count. </w:t>
      </w:r>
      <w:r w:rsidRPr="00035E29">
        <w:rPr>
          <w:b/>
          <w:bCs/>
        </w:rPr>
        <w:lastRenderedPageBreak/>
        <w:t>Testable in MVP?</w:t>
      </w:r>
      <w:r w:rsidRPr="00035E29">
        <w:t xml:space="preserve"> </w:t>
      </w:r>
      <w:r w:rsidRPr="00035E29">
        <w:rPr>
          <w:b/>
          <w:bCs/>
        </w:rPr>
        <w:t>Yes, post-hoc.</w:t>
      </w:r>
      <w:r w:rsidRPr="00035E29">
        <w:t xml:space="preserve"> Known to degrade at low reps (Red Team noted quantization there); use relative error bands.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Low.</w:t>
      </w:r>
    </w:p>
    <w:p w14:paraId="4658690A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A17 — The shared-k curve shape holds across capabilities</w:t>
      </w:r>
    </w:p>
    <w:p w14:paraId="48C28A63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All Class-A capabilities share the same growth constant k (ES-008 v2), making scores percentile-comparable. </w:t>
      </w:r>
      <w:r w:rsidRPr="00035E29">
        <w:rPr>
          <w:b/>
          <w:bCs/>
        </w:rPr>
        <w:t>Why it exists:</w:t>
      </w:r>
      <w:r w:rsidRPr="00035E29">
        <w:t xml:space="preserve"> Shared k is what makes cross-capability comparison valid for ES-006 imbalance detection. </w:t>
      </w:r>
      <w:r w:rsidRPr="00035E29">
        <w:rPr>
          <w:b/>
          <w:bCs/>
        </w:rPr>
        <w:t>What would falsify it:</w:t>
      </w:r>
      <w:r w:rsidRPr="00035E29">
        <w:t xml:space="preserve"> Capabilities whose true strength curves bend differently, breaking percentile equivalence. </w:t>
      </w:r>
      <w:r w:rsidRPr="00035E29">
        <w:rPr>
          <w:b/>
          <w:bCs/>
        </w:rPr>
        <w:t>What data would validate it:</w:t>
      </w:r>
      <w:r w:rsidRPr="00035E29">
        <w:t xml:space="preserve"> Population strength-distribution shape per lift.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No.</w:t>
      </w:r>
      <w:r w:rsidRPr="00035E29">
        <w:t xml:space="preserve"> Needs population data. But it's a documentation/comparison nicety, not a loop-critical quantity — low blast radius if wrong.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Low.</w:t>
      </w:r>
    </w:p>
    <w:p w14:paraId="6A43C510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A18 — Plate/equipment quantization is negligible</w:t>
      </w:r>
    </w:p>
    <w:p w14:paraId="44EBF37E" w14:textId="77777777" w:rsidR="00035E29" w:rsidRPr="00035E29" w:rsidRDefault="00035E29" w:rsidP="00035E29">
      <w:r w:rsidRPr="00035E29">
        <w:rPr>
          <w:b/>
          <w:bCs/>
        </w:rPr>
        <w:t>Assumption:</w:t>
      </w:r>
      <w:r w:rsidRPr="00035E29">
        <w:t xml:space="preserve"> Rounding loads to equipment increments (ES-005.1 §13) introduces tolerable error. </w:t>
      </w:r>
      <w:r w:rsidRPr="00035E29">
        <w:rPr>
          <w:b/>
          <w:bCs/>
        </w:rPr>
        <w:t>Why it exists:</w:t>
      </w:r>
      <w:r w:rsidRPr="00035E29">
        <w:t xml:space="preserve"> Real gyms have discrete loads. </w:t>
      </w:r>
      <w:r w:rsidRPr="00035E29">
        <w:rPr>
          <w:b/>
          <w:bCs/>
        </w:rPr>
        <w:t>What would falsify it:</w:t>
      </w:r>
      <w:r w:rsidRPr="00035E29">
        <w:t xml:space="preserve"> Quantization-dominated prediction error, especially low-rep/strength work or fixed-stack machines. </w:t>
      </w:r>
      <w:r w:rsidRPr="00035E29">
        <w:rPr>
          <w:b/>
          <w:bCs/>
        </w:rPr>
        <w:t>What data would validate it:</w:t>
      </w:r>
      <w:r w:rsidRPr="00035E29">
        <w:t xml:space="preserve"> Error decomposition isolating quantization. </w:t>
      </w:r>
      <w:r w:rsidRPr="00035E29">
        <w:rPr>
          <w:b/>
          <w:bCs/>
        </w:rPr>
        <w:t>Testable in MVP?</w:t>
      </w:r>
      <w:r w:rsidRPr="00035E29">
        <w:t xml:space="preserve"> </w:t>
      </w:r>
      <w:r w:rsidRPr="00035E29">
        <w:rPr>
          <w:b/>
          <w:bCs/>
        </w:rPr>
        <w:t>Yes, post-hoc.</w:t>
      </w:r>
      <w:r w:rsidRPr="00035E29">
        <w:t xml:space="preserve"> Use relative error bands at low reps. </w:t>
      </w:r>
      <w:r w:rsidRPr="00035E29">
        <w:rPr>
          <w:b/>
          <w:bCs/>
        </w:rPr>
        <w:t>Risk:</w:t>
      </w:r>
      <w:r w:rsidRPr="00035E29">
        <w:t xml:space="preserve"> </w:t>
      </w:r>
      <w:r w:rsidRPr="00035E29">
        <w:rPr>
          <w:b/>
          <w:bCs/>
        </w:rPr>
        <w:t>Low.</w:t>
      </w:r>
    </w:p>
    <w:p w14:paraId="2AE90C34" w14:textId="77777777" w:rsidR="00035E29" w:rsidRPr="00035E29" w:rsidRDefault="00035E29" w:rsidP="00035E29">
      <w:r w:rsidRPr="00035E29">
        <w:pict w14:anchorId="244777C3">
          <v:rect id="_x0000_i1059" style="width:0;height:1.5pt" o:hralign="center" o:hrstd="t" o:hr="t" fillcolor="#a0a0a0" stroked="f"/>
        </w:pict>
      </w:r>
    </w:p>
    <w:p w14:paraId="49860227" w14:textId="77777777" w:rsidR="00035E29" w:rsidRPr="00035E29" w:rsidRDefault="00035E29" w:rsidP="00035E29">
      <w:pPr>
        <w:rPr>
          <w:b/>
          <w:bCs/>
        </w:rPr>
      </w:pPr>
      <w:r w:rsidRPr="00035E29">
        <w:rPr>
          <w:b/>
          <w:bCs/>
        </w:rPr>
        <w:t>Summary of the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284"/>
        <w:gridCol w:w="5131"/>
      </w:tblGrid>
      <w:tr w:rsidR="00035E29" w:rsidRPr="00035E29" w14:paraId="0BD62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D7526" w14:textId="77777777" w:rsidR="00035E29" w:rsidRPr="00035E29" w:rsidRDefault="00035E29" w:rsidP="00035E29">
            <w:pPr>
              <w:rPr>
                <w:b/>
                <w:bCs/>
              </w:rPr>
            </w:pPr>
            <w:r w:rsidRPr="00035E2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0540A9E" w14:textId="77777777" w:rsidR="00035E29" w:rsidRPr="00035E29" w:rsidRDefault="00035E29" w:rsidP="00035E29">
            <w:pPr>
              <w:rPr>
                <w:b/>
                <w:bCs/>
              </w:rPr>
            </w:pPr>
            <w:r w:rsidRPr="00035E29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3284B1C" w14:textId="77777777" w:rsidR="00035E29" w:rsidRPr="00035E29" w:rsidRDefault="00035E29" w:rsidP="00035E29">
            <w:pPr>
              <w:rPr>
                <w:b/>
                <w:bCs/>
              </w:rPr>
            </w:pPr>
            <w:r w:rsidRPr="00035E29">
              <w:rPr>
                <w:b/>
                <w:bCs/>
              </w:rPr>
              <w:t>Testable in MVP?</w:t>
            </w:r>
          </w:p>
        </w:tc>
      </w:tr>
      <w:tr w:rsidR="00035E29" w:rsidRPr="00035E29" w14:paraId="70D71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ED59" w14:textId="77777777" w:rsidR="00035E29" w:rsidRPr="00035E29" w:rsidRDefault="00035E29" w:rsidP="00035E29">
            <w:r w:rsidRPr="00035E29">
              <w:t>Existential</w:t>
            </w:r>
          </w:p>
        </w:tc>
        <w:tc>
          <w:tcPr>
            <w:tcW w:w="0" w:type="auto"/>
            <w:vAlign w:val="center"/>
            <w:hideMark/>
          </w:tcPr>
          <w:p w14:paraId="42324D71" w14:textId="77777777" w:rsidR="00035E29" w:rsidRPr="00035E29" w:rsidRDefault="00035E29" w:rsidP="00035E29">
            <w:r w:rsidRPr="00035E29">
              <w:t>4 (A1–A4)</w:t>
            </w:r>
          </w:p>
        </w:tc>
        <w:tc>
          <w:tcPr>
            <w:tcW w:w="0" w:type="auto"/>
            <w:vAlign w:val="center"/>
            <w:hideMark/>
          </w:tcPr>
          <w:p w14:paraId="1ED1C749" w14:textId="77777777" w:rsidR="00035E29" w:rsidRPr="00035E29" w:rsidRDefault="00035E29" w:rsidP="00035E29">
            <w:r w:rsidRPr="00035E29">
              <w:t>None fully; A1 only with added fresh-state probes</w:t>
            </w:r>
          </w:p>
        </w:tc>
      </w:tr>
      <w:tr w:rsidR="00035E29" w:rsidRPr="00035E29" w14:paraId="67F12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E505" w14:textId="77777777" w:rsidR="00035E29" w:rsidRPr="00035E29" w:rsidRDefault="00035E29" w:rsidP="00035E29">
            <w:r w:rsidRPr="00035E29">
              <w:t>High</w:t>
            </w:r>
          </w:p>
        </w:tc>
        <w:tc>
          <w:tcPr>
            <w:tcW w:w="0" w:type="auto"/>
            <w:vAlign w:val="center"/>
            <w:hideMark/>
          </w:tcPr>
          <w:p w14:paraId="3C22B3BA" w14:textId="77777777" w:rsidR="00035E29" w:rsidRPr="00035E29" w:rsidRDefault="00035E29" w:rsidP="00035E29">
            <w:r w:rsidRPr="00035E29">
              <w:t>5 (A5–A9)</w:t>
            </w:r>
          </w:p>
        </w:tc>
        <w:tc>
          <w:tcPr>
            <w:tcW w:w="0" w:type="auto"/>
            <w:vAlign w:val="center"/>
            <w:hideMark/>
          </w:tcPr>
          <w:p w14:paraId="1A55C848" w14:textId="77777777" w:rsidR="00035E29" w:rsidRPr="00035E29" w:rsidRDefault="00035E29" w:rsidP="00035E29">
            <w:r w:rsidRPr="00035E29">
              <w:t>A7 and A9 yes; A8 weakly; A5, A6 no</w:t>
            </w:r>
          </w:p>
        </w:tc>
      </w:tr>
      <w:tr w:rsidR="00035E29" w:rsidRPr="00035E29" w14:paraId="5A5BA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92D6" w14:textId="77777777" w:rsidR="00035E29" w:rsidRPr="00035E29" w:rsidRDefault="00035E29" w:rsidP="00035E29">
            <w:r w:rsidRPr="00035E29">
              <w:t>Medium</w:t>
            </w:r>
          </w:p>
        </w:tc>
        <w:tc>
          <w:tcPr>
            <w:tcW w:w="0" w:type="auto"/>
            <w:vAlign w:val="center"/>
            <w:hideMark/>
          </w:tcPr>
          <w:p w14:paraId="3503EAF1" w14:textId="77777777" w:rsidR="00035E29" w:rsidRPr="00035E29" w:rsidRDefault="00035E29" w:rsidP="00035E29">
            <w:r w:rsidRPr="00035E29">
              <w:t>6 (A10–A15)</w:t>
            </w:r>
          </w:p>
        </w:tc>
        <w:tc>
          <w:tcPr>
            <w:tcW w:w="0" w:type="auto"/>
            <w:vAlign w:val="center"/>
            <w:hideMark/>
          </w:tcPr>
          <w:p w14:paraId="7258F92A" w14:textId="77777777" w:rsidR="00035E29" w:rsidRPr="00035E29" w:rsidRDefault="00035E29" w:rsidP="00035E29">
            <w:r w:rsidRPr="00035E29">
              <w:t>Mostly partial/post-hoc</w:t>
            </w:r>
          </w:p>
        </w:tc>
      </w:tr>
      <w:tr w:rsidR="00035E29" w:rsidRPr="00035E29" w14:paraId="20F1C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F2CC" w14:textId="77777777" w:rsidR="00035E29" w:rsidRPr="00035E29" w:rsidRDefault="00035E29" w:rsidP="00035E29">
            <w:r w:rsidRPr="00035E29">
              <w:t>Low</w:t>
            </w:r>
          </w:p>
        </w:tc>
        <w:tc>
          <w:tcPr>
            <w:tcW w:w="0" w:type="auto"/>
            <w:vAlign w:val="center"/>
            <w:hideMark/>
          </w:tcPr>
          <w:p w14:paraId="484A29D1" w14:textId="77777777" w:rsidR="00035E29" w:rsidRPr="00035E29" w:rsidRDefault="00035E29" w:rsidP="00035E29">
            <w:r w:rsidRPr="00035E29">
              <w:t>3 (A16–A18)</w:t>
            </w:r>
          </w:p>
        </w:tc>
        <w:tc>
          <w:tcPr>
            <w:tcW w:w="0" w:type="auto"/>
            <w:vAlign w:val="center"/>
            <w:hideMark/>
          </w:tcPr>
          <w:p w14:paraId="6033091F" w14:textId="77777777" w:rsidR="00035E29" w:rsidRPr="00035E29" w:rsidRDefault="00035E29" w:rsidP="00035E29">
            <w:r w:rsidRPr="00035E29">
              <w:t>Mostly post-hoc, low stakes</w:t>
            </w:r>
          </w:p>
        </w:tc>
      </w:tr>
    </w:tbl>
    <w:p w14:paraId="777B39EA" w14:textId="77777777" w:rsidR="00035E29" w:rsidRPr="00035E29" w:rsidRDefault="00035E29" w:rsidP="00035E29">
      <w:r w:rsidRPr="00035E29">
        <w:rPr>
          <w:b/>
          <w:bCs/>
        </w:rPr>
        <w:t>The structural truth the register exposes:</w:t>
      </w:r>
      <w:r w:rsidRPr="00035E29">
        <w:t xml:space="preserve"> the four existential assumptions are precisely the four the MVP </w:t>
      </w:r>
      <w:r w:rsidRPr="00035E29">
        <w:rPr>
          <w:i/>
          <w:iCs/>
        </w:rPr>
        <w:t>cannot test</w:t>
      </w:r>
      <w:r w:rsidRPr="00035E29">
        <w:t xml:space="preserve"> — capability recoverability (A1), loop convergence (A2), trust measurability (A3), and willingness to delegate (A4). Everything the MVP </w:t>
      </w:r>
      <w:r w:rsidRPr="00035E29">
        <w:rPr>
          <w:i/>
          <w:iCs/>
        </w:rPr>
        <w:t>can</w:t>
      </w:r>
      <w:r w:rsidRPr="00035E29">
        <w:t xml:space="preserve"> test cleanly (A7 seeds, A9 override interpretability, A12/A16/A18 post-hoc) is Medium or below. </w:t>
      </w:r>
      <w:r w:rsidRPr="00035E29">
        <w:rPr>
          <w:b/>
          <w:bCs/>
        </w:rPr>
        <w:t>The risk and the testability are inversely correlated.</w:t>
      </w:r>
      <w:r w:rsidRPr="00035E29">
        <w:t xml:space="preserve"> You can thoroughly validate the things that won't kill you and barely touch the things that will.</w:t>
      </w:r>
    </w:p>
    <w:p w14:paraId="4D69BABF" w14:textId="77777777" w:rsidR="00035E29" w:rsidRPr="00035E29" w:rsidRDefault="00035E29" w:rsidP="00035E29">
      <w:r w:rsidRPr="00035E29">
        <w:rPr>
          <w:b/>
          <w:bCs/>
        </w:rPr>
        <w:t>The two moves that change this register most:</w:t>
      </w:r>
    </w:p>
    <w:p w14:paraId="6C2E0B39" w14:textId="77777777" w:rsidR="00035E29" w:rsidRPr="00035E29" w:rsidRDefault="00035E29" w:rsidP="00035E29">
      <w:r w:rsidRPr="00035E29">
        <w:t xml:space="preserve">First, </w:t>
      </w:r>
      <w:r w:rsidRPr="00035E29">
        <w:rPr>
          <w:b/>
          <w:bCs/>
        </w:rPr>
        <w:t>add deliberate, safe probes</w:t>
      </w:r>
      <w:r w:rsidRPr="00035E29">
        <w:t xml:space="preserve"> — occasional recommendations slightly off the conservative default, and deliberate variation in rest intervals. This is the only </w:t>
      </w:r>
      <w:r w:rsidRPr="00035E29">
        <w:lastRenderedPageBreak/>
        <w:t xml:space="preserve">intervention that makes A1 (fresh-state capability checks), A3 (manufactures the costly-case events trust needs), and A6 (varies the intervals τ needs) even </w:t>
      </w:r>
      <w:r w:rsidRPr="00035E29">
        <w:rPr>
          <w:i/>
          <w:iCs/>
        </w:rPr>
        <w:t>partially</w:t>
      </w:r>
      <w:r w:rsidRPr="00035E29">
        <w:t xml:space="preserve"> testable. Without probing, three of the four existential assumptions and two High assumptions are untestable by construction. This is the highest-leverage decision available before the trial.</w:t>
      </w:r>
    </w:p>
    <w:p w14:paraId="3D7181BE" w14:textId="77777777" w:rsidR="00035E29" w:rsidRPr="00035E29" w:rsidRDefault="00035E29" w:rsidP="00035E29">
      <w:r w:rsidRPr="00035E29">
        <w:t xml:space="preserve">Second, </w:t>
      </w:r>
      <w:r w:rsidRPr="00035E29">
        <w:rPr>
          <w:b/>
          <w:bCs/>
        </w:rPr>
        <w:t>recruit for cohort diversity</w:t>
      </w:r>
      <w:r w:rsidRPr="00035E29">
        <w:t xml:space="preserve"> — A7 (seed safety) is the most dangerous </w:t>
      </w:r>
      <w:r w:rsidRPr="00035E29">
        <w:rPr>
          <w:i/>
          <w:iCs/>
        </w:rPr>
        <w:t>cheaply-testable</w:t>
      </w:r>
      <w:r w:rsidRPr="00035E29">
        <w:t xml:space="preserve"> assumption, and its danger lives entirely in the tails (older, female, detrained, bodyweight movements) that a homogeneous beta cohort would miss. A diverse N=20 tests A7 better than a homogeneous N=100.</w:t>
      </w:r>
    </w:p>
    <w:p w14:paraId="468B2F90" w14:textId="77777777" w:rsidR="00035E29" w:rsidRPr="00035E29" w:rsidRDefault="00035E29" w:rsidP="00035E29">
      <w:r w:rsidRPr="00035E29">
        <w:t xml:space="preserve">The register's honest verdict: Hush v1 can validate that it is </w:t>
      </w:r>
      <w:r w:rsidRPr="00035E29">
        <w:rPr>
          <w:b/>
          <w:bCs/>
        </w:rPr>
        <w:t>safe and coherent</w:t>
      </w:r>
      <w:r w:rsidRPr="00035E29">
        <w:t xml:space="preserve"> in the short run. It cannot, as designed, validate that it is </w:t>
      </w:r>
      <w:r w:rsidRPr="00035E29">
        <w:rPr>
          <w:b/>
          <w:bCs/>
        </w:rPr>
        <w:t>correct in the long run</w:t>
      </w:r>
      <w:r w:rsidRPr="00035E29">
        <w:t xml:space="preserve"> or that it has </w:t>
      </w:r>
      <w:r w:rsidRPr="00035E29">
        <w:rPr>
          <w:b/>
          <w:bCs/>
        </w:rPr>
        <w:t>earned the right to decide</w:t>
      </w:r>
      <w:r w:rsidRPr="00035E29">
        <w:t xml:space="preserve"> — those rest on A1–A4, which the MVP structurally cannot reach. Proceed, but proceed knowing that a successful MVP proves the system is </w:t>
      </w:r>
      <w:r w:rsidRPr="00035E29">
        <w:rPr>
          <w:i/>
          <w:iCs/>
        </w:rPr>
        <w:t>trustworthy-seeming</w:t>
      </w:r>
      <w:r w:rsidRPr="00035E29">
        <w:t xml:space="preserve">, not that it is </w:t>
      </w:r>
      <w:r w:rsidRPr="00035E29">
        <w:rPr>
          <w:i/>
          <w:iCs/>
        </w:rPr>
        <w:t>trustworthy</w:t>
      </w:r>
      <w:r w:rsidRPr="00035E29">
        <w:t>. The gap between those two is the whole product, and closing it requires either a longer horizon, deliberate probing, or both.</w:t>
      </w:r>
    </w:p>
    <w:p w14:paraId="64FA6D11" w14:textId="77777777" w:rsidR="00035E29" w:rsidRDefault="00035E29"/>
    <w:p/>
    <w:p>
      <w:r>
        <w:rPr>
          <w:b/>
        </w:rPr>
        <w:t>════════ RESTATEMENT ADDENDUM — DX-16 (2026-06-12) ════════</w:t>
      </w:r>
    </w:p>
    <w:p>
      <w:r>
        <w:rPr>
          <w:b/>
        </w:rPr>
        <w:t>Assumptions Register — re-annotation for the v1 advisory/stagnation pivot.</w:t>
      </w:r>
    </w:p>
    <w:p>
      <w:r>
        <w:t>The assumption SET (A1–A18+), risk levels, and MVP-testability rules are unchanged. The v1 pivot (Hush is advisory; success = stagnation detection + program value, not load authority) shifts how heavily a few assumptions BITE:</w:t>
      </w:r>
    </w:p>
    <w:p>
      <w:r>
        <w:t>A1 (capability recoverable from confounded observations) — LESS CENTRAL to the success claim. Because the system no longer asserts the working load, exact capability recovery is no longer the headline success criterion; what matters is an honest, stable estimate good enough to detect stagnation (M5). A1 still underpins the score, but a miss is less consequential.</w:t>
      </w:r>
    </w:p>
    <w:p>
      <w:r>
        <w:t>A9 (overrides interpretable) — RESTATED: a load deviation is a LEARNING INPUT, not an override to suppress. As of M1 (DX-01/02) the logged actual_weight feeds the same precision-weighted blend (effective_load = actual_weight); quality is evaluated at the actual load. A9 is now 'deviation = input', and it remains fully testable (the logged weight IS the signal). See the ES-010 addendum (DX-13).</w:t>
      </w:r>
    </w:p>
    <w:p>
      <w:r>
        <w:t>A5 (effort/fatigue separable without RIR) — UNCHANGED but HEAVIER. With the load no longer authored by the system, the de-biased error and fatigue attribution lean more on the logged performance; effort_offset still ships at 0 (unidentifiable without RIR, an Anti-Requirement). Every fatigue/effort-dependent conclusion stays flagged un-separated (Invariant 7).</w:t>
      </w:r>
    </w:p>
    <w:p>
      <w:r>
        <w:t>A14 (exploration floor prevents preference lock-in) — INACTIVE. Exploration is OFF by default (P_EXPLORE = 0.0, DX-04); composition is preference-stable. Lock-in mitigation now flows through DX-10 (sticky preference — SPECIFIED, pending) plus M5 imbalance/stagnation detection (DX-09), not a random exploration draw. The mechanism is retained for Phase-0 override study only.</w:t>
      </w:r>
    </w:p>
    <w:p>
      <w:r>
        <w:t>A7 (seed safety across cohorts) — still fully testable week 1; note bodyweight_kg is now collected (DX-07), and the seed target is Option D (DX-08, pending) — until then the 3-bucket seed stands.</w:t>
      </w:r>
    </w:p>
    <w:p>
      <w:r>
        <w:t>As-built sources: reviews/completion/ M1 / DX-04 / DX-07 / DX-09 completion reports; HUSH_V1_PRODUCT_SPECIFICATION.md; HUSH_V1_DELTA_EXECUTION_PLAN.md (DX-08/DX-10 pending).</w:t>
      </w:r>
    </w:p>
    <w:sectPr w:rsidR="00035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29"/>
    <w:rsid w:val="00035E29"/>
    <w:rsid w:val="00F4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CCFB"/>
  <w15:chartTrackingRefBased/>
  <w15:docId w15:val="{EDD3FF1A-54D1-4AB2-80D8-F7694CB9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2525</Words>
  <Characters>14394</Characters>
  <Application>Microsoft Office Word</Application>
  <DocSecurity>0</DocSecurity>
  <Lines>119</Lines>
  <Paragraphs>33</Paragraphs>
  <ScaleCrop>false</ScaleCrop>
  <Company/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Peretz</dc:creator>
  <cp:keywords/>
  <dc:description/>
  <cp:lastModifiedBy>Ofek Peretz</cp:lastModifiedBy>
  <cp:revision>1</cp:revision>
  <dcterms:created xsi:type="dcterms:W3CDTF">2026-06-09T16:59:00Z</dcterms:created>
  <dcterms:modified xsi:type="dcterms:W3CDTF">2026-06-09T16:59:00Z</dcterms:modified>
</cp:coreProperties>
</file>