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2E5BBA"/>
          <w:sz w:val="36"/>
          <w:szCs w:val="36"/>
        </w:rPr>
        <w:t xml:space="preserve">Engineering Specification 005.1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Quantitative Model — Concrete Equations, Constants &amp; Worked Traces</w:t>
      </w:r>
    </w:p>
    <w:p>
      <w:pPr>
        <w:spacing w:after="120"/>
      </w:pPr>
      <w:r>
        <w:t xml:space="preserve">This addendum closes ES-005 from “conceptual” to “implementable.” It fixes the function shapes (not just coefficients), resolves the convergence and stability hazards, and supplies calibrated constants for one capability (horizontal_push) as the reference implementation. All numbers reproduce ES-005’s own anchor example (score 64 → 113 kg; bench @ 82.5 kg ≈ 11 reps-to-failure).</w:t>
      </w:r>
    </w:p>
    <w:p>
      <w:pPr>
        <w:pStyle w:val="Heading1"/>
      </w:pPr>
      <w:r>
        <w:t xml:space="preserve">Part A — Defects in ES-005 this addendum resolves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§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Defect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“Monotonic” underspecifies the score→kg shape; linear vs exponential change progression feel.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 exponential form (§1).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Convergence to zero assumes unbiased prediction; sub-maximal effort + low-cal prediction bias cancel at a nonzero point.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effort-adjusted target; track bias explicitly (§4).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“Inverse of prediction path” requires strict monotonicity + closed-form inverse; “monotonic” permits flats → non-invertible.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Strictly increasing exp has closed inverse (§1, §5).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“Weighted blend” unstable if weight rises with surprise (positive feedback).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Quality weight DECREASES with surprise; signal-strength routed to confidence only (§5).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 arrow chain conflates aggregation with derivation.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Three explicit formulas; global = aggregate, prediction = derivation (§6).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12+13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 × round-down stack → negative progression near plate boundaries.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discount-then-floor + progression guard (§7).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Bodyweight uncollected but dominates pull/push loads; sex/age priors ignored.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Cohort multiplier on prior; bodyweight flagged as residual defect (§8).</w:t>
            </w:r>
          </w:p>
        </w:tc>
      </w:tr>
    </w:tbl>
    <w:p>
      <w:pPr>
        <w:pStyle w:val="Heading1"/>
      </w:pPr>
      <w:r>
        <w:t xml:space="preserve">Section 1 — Reference Strength (the score→kg decoder)</w:t>
      </w:r>
    </w:p>
    <w:p>
      <w:pPr>
        <w:spacing w:after="120"/>
      </w:pPr>
      <w:r>
        <w:t xml:space="preserve">Score maps to a reference 1RM-equivalent on the canonical exercise (difficulty_factor = 1.0) via a strictly increasing exponential. Exponential, not linear, so a fixed score step is a fixed PERCENTAGE of load — matching how strength actually scales. Strictly increasing guarantees the closed-form inverse §8 depends on.</w:t>
      </w:r>
    </w:p>
    <w:p>
      <w:pPr>
        <w:shd w:fill="F2F5FB" w:val="clear"/>
        <w:spacing w:after="120" w:before="80"/>
      </w:pPr>
      <w:r>
        <w:rPr>
          <w:rFonts w:ascii="Consolas" w:cs="Consolas" w:eastAsia="Consolas" w:hAnsi="Consolas"/>
          <w:color w:val="0B6E4F"/>
          <w:sz w:val="20"/>
          <w:szCs w:val="20"/>
        </w:rPr>
        <w:t xml:space="preserve">ReferenceStrength(S) = A · e^(k·S)        A = 40.0 kg,  k = 0.016227</w:t>
      </w:r>
    </w:p>
    <w:p>
      <w:pPr>
        <w:spacing w:after="120"/>
      </w:pPr>
      <w:r>
        <w:t xml:space="preserve">Constants pinned to ES-005: S=64 → 113 kg, and S=0 → 40 kg (beginner floor). Inverse:</w:t>
      </w:r>
    </w:p>
    <w:p>
      <w:pPr>
        <w:shd w:fill="F2F5FB" w:val="clear"/>
        <w:spacing w:after="120" w:before="80"/>
      </w:pPr>
      <w:r>
        <w:rPr>
          <w:rFonts w:ascii="Consolas" w:cs="Consolas" w:eastAsia="Consolas" w:hAnsi="Consolas"/>
          <w:color w:val="0B6E4F"/>
          <w:sz w:val="20"/>
          <w:szCs w:val="20"/>
        </w:rPr>
        <w:t xml:space="preserve">S(RM1) = ln(RM1 / A) / k</w:t>
      </w:r>
    </w:p>
    <w:p>
      <w:pPr>
        <w:spacing w:after="80"/>
      </w:pPr>
      <w:r>
        <w:rPr>
          <w:b/>
          <w:bCs/>
        </w:rPr>
        <w:t xml:space="preserve">Calibration table (horizontal_push, reference cohort):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 strength (kg)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76.6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113.0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124.6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202.7</w:t>
            </w:r>
          </w:p>
        </w:tc>
      </w:tr>
    </w:tbl>
    <w:p>
      <w:pPr>
        <w:spacing w:after="120"/>
      </w:pPr>
      <w:r>
        <w:t xml:space="preserve">Each capability gets its own (A, k) calibrated the same way against its canonical lift. Only horizontal_push is specified here; the other six follow the identical procedure.</w:t>
      </w:r>
    </w:p>
    <w:p>
      <w:pPr>
        <w:pStyle w:val="Heading1"/>
      </w:pPr>
      <w:r>
        <w:t xml:space="preserve">Section 2 — Exercise projection &amp; the rep model</w:t>
      </w:r>
    </w:p>
    <w:p>
      <w:pPr>
        <w:spacing w:after="120"/>
      </w:pPr>
      <w:r>
        <w:t xml:space="preserve">Capability strength projects to a specific exercise by difficulty_factor, then Epley converts (load, RM1) to reps-to-failure. Epley is chosen because it is cleanly invertible in all three directions the loop needs.</w:t>
      </w:r>
    </w:p>
    <w:p>
      <w:pPr>
        <w:shd w:fill="F2F5FB" w:val="clear"/>
        <w:spacing w:after="120" w:before="80"/>
      </w:pPr>
      <w:r>
        <w:rPr>
          <w:rFonts w:ascii="Consolas" w:cs="Consolas" w:eastAsia="Consolas" w:hAnsi="Consolas"/>
          <w:color w:val="0B6E4F"/>
          <w:sz w:val="20"/>
          <w:szCs w:val="20"/>
        </w:rPr>
        <w:t xml:space="preserve">RM1_exercise   = ReferenceStrength(S) · difficulty_factor
reps_to_failure(L)   = (RM1_exercise / L − 1) · 30        [forward / predict]
load_for_reps(r)     = RM1_exercise / (1 + r/30)         [recommend]
RM1_observed(L, r)   = L · (1 + r/30)                    [learn / inverse]</w:t>
      </w:r>
    </w:p>
    <w:p>
      <w:pPr>
        <w:spacing w:after="120"/>
      </w:pPr>
      <w:r>
        <w:t xml:space="preserve">Check: bench (df 1.0), S=64 → RM1 113. reps_to_failure(82.5) = (113/82.5 − 1)·30 = 11.1. Matches ES-005’s example of 11.</w:t>
      </w:r>
    </w:p>
    <w:p>
      <w:pPr>
        <w:pStyle w:val="Heading1"/>
      </w:pPr>
      <w:r>
        <w:t xml:space="preserve">Section 3 — Prediction is reps-to-failure; prescription is target reps</w:t>
      </w:r>
    </w:p>
    <w:p>
      <w:pPr>
        <w:spacing w:after="120"/>
      </w:pPr>
      <w:r>
        <w:t xml:space="preserve">These are different scales (ES-005 §4 is correct). The learning signal compares against reps-to-failure; the athlete is prescribed fewer reps, leaving reps-in-reserve (RIR).</w:t>
      </w:r>
    </w:p>
    <w:p>
      <w:pPr>
        <w:shd w:fill="F2F5FB" w:val="clear"/>
        <w:spacing w:after="120" w:before="80"/>
      </w:pPr>
      <w:r>
        <w:rPr>
          <w:rFonts w:ascii="Consolas" w:cs="Consolas" w:eastAsia="Consolas" w:hAnsi="Consolas"/>
          <w:color w:val="0B6E4F"/>
          <w:sz w:val="20"/>
          <w:szCs w:val="20"/>
        </w:rPr>
        <w:t xml:space="preserve">predicted_reps_to_failure = reps_to_failure(L)
target_reps               = predicted_reps_to_failure − RIR     (RIR ≈ 2–3, strategy-set)
prediction_error          = actual_reps − predicted_reps_to_failure   → must converge to 0</w:t>
      </w:r>
    </w:p>
    <w:p>
      <w:pPr>
        <w:pStyle w:val="Heading1"/>
      </w:pPr>
      <w:r>
        <w:t xml:space="preserve">Section 4 — The convergence hazard (effort bias)</w:t>
      </w:r>
    </w:p>
    <w:p>
      <w:pPr>
        <w:spacing w:after="120"/>
      </w:pPr>
      <w:r>
        <w:t xml:space="preserve">prediction_error converges to zero ONLY if actual_reps reflects true reps-to-failure. Two biases distort this: (a) calibration deliberately under-predicts; (b) athletes stop short of true failure. They push error in opposite directions, so the system converges to wherever they cancel — not necessarily zero, and the cancellation point drifts as confidence (hence the discount) changes.</w:t>
      </w:r>
    </w:p>
    <w:p>
      <w:pPr>
        <w:spacing w:after="80"/>
      </w:pPr>
      <w:r>
        <w:rPr>
          <w:b/>
          <w:bCs/>
        </w:rPr>
        <w:t xml:space="preserve">Mitigation: track effort separately from accuracy.</w:t>
      </w:r>
    </w:p>
    <w:p>
      <w:pPr>
        <w:pStyle w:val="Heading1"/>
      </w:pPr>
      <w:r>
        <w:t xml:space="preserve">Section 5 — Score update (stable Bayesian blend)</w:t>
      </w:r>
    </w:p>
    <w:p>
      <w:pPr>
        <w:spacing w:after="120"/>
      </w:pPr>
      <w:r>
        <w:t xml:space="preserve">Every completed set yields an observed score via the §2 inverse. The capability score is a precision-weighted blend. Critically, the weight DECREASES with surprise (quality), so a wild observation cannot hijack the estimate — this removes the positive-feedback instability latent in ES-005 §9.</w:t>
      </w:r>
    </w:p>
    <w:p>
      <w:pPr>
        <w:shd w:fill="F2F5FB" w:val="clear"/>
        <w:spacing w:after="120" w:before="80"/>
      </w:pPr>
      <w:r>
        <w:rPr>
          <w:rFonts w:ascii="Consolas" w:cs="Consolas" w:eastAsia="Consolas" w:hAnsi="Consolas"/>
          <w:color w:val="0B6E4F"/>
          <w:sz w:val="20"/>
          <w:szCs w:val="20"/>
        </w:rPr>
        <w:t xml:space="preserve">RM1_obs = actual_weight · (1 + actual_reps/30)        // uses ACTUAL weight (override-safe)
S_obs   = ln(RM1_obs / A) / k
w_i     = decay(Δt_i) · quality_i
quality_i = (prediction_confidence_i/100) · error_class_weight_i
   error_class_weight:  |err|≤1 → 1.0 ,  ≤3 → 0.6 ,  &gt;3 → 0.3
Σw-form (precision accumulator):
  Σw_new = Σw_old + w_i
  S_new  = (Σw_old·S_old + w_i·S_obs) / Σw_new</w:t>
      </w:r>
    </w:p>
    <w:p>
      <w:pPr>
        <w:spacing w:after="120"/>
      </w:pPr>
      <w:r>
        <w:t xml:space="preserve">Surprise (large |error|) lowers quality → lowers the weight on S_obs → the score moves little. Surprise is instead routed to confidence (§6), where it lowers certainty. This is the resolution of the signal-strength-vs-quality conflict: quality drives the SCORE, signal-strength drives CONFIDENCE.</w:t>
      </w:r>
    </w:p>
    <w:p>
      <w:pPr>
        <w:pStyle w:val="Heading1"/>
      </w:pPr>
      <w:r>
        <w:t xml:space="preserve">Section 6 — Confidence (three formulas, correct direction)</w:t>
      </w:r>
    </w:p>
    <w:p>
      <w:pPr>
        <w:spacing w:after="120"/>
      </w:pPr>
      <w:r>
        <w:t xml:space="preserve">Capability confidence is a saturating function of accumulated precision. Prediction confidence is DERIVED from capability confidence and recent accuracy. Global confidence is an AGGREGATE of capability confidences. Aggregation and derivation are distinct — global is not computed from prediction.</w:t>
      </w:r>
    </w:p>
    <w:p>
      <w:pPr>
        <w:shd w:fill="F2F5FB" w:val="clear"/>
        <w:spacing w:after="120" w:before="80"/>
      </w:pPr>
      <w:r>
        <w:rPr>
          <w:rFonts w:ascii="Consolas" w:cs="Consolas" w:eastAsia="Consolas" w:hAnsi="Consolas"/>
          <w:color w:val="0B6E4F"/>
          <w:sz w:val="20"/>
          <w:szCs w:val="20"/>
        </w:rPr>
        <w:t xml:space="preserve">c_cap   = 100 · (1 − e^(−Σw / 8))                 // 8 effective obs ≈ 63% conf; floor 10 at seed
stability = max(0.2, 1 − mean(recent |error|)/5)
c_pred  = c_cap · stability                       // derivation
c_global = Σ_j(evidence_count_j · c_cap,j) / Σ_j evidence_count_j   // aggregation over 7 caps</w:t>
      </w:r>
    </w:p>
    <w:p>
      <w:pPr>
        <w:spacing w:after="120"/>
      </w:pPr>
      <w:r>
        <w:t xml:space="preserve">Because decay shrinks Σw over idle time, confidence falls when an athlete stops training — the “recent evidence matters” principle applied to certainty. Calibration ends when c_global ≥ 70 (a COMPUTED quantity, replacing the standalone boolean). The explicit “all capabilities observed” check is kept; the raw “≥50 observations” rule is redundant under this formula and dropped.</w:t>
      </w:r>
    </w:p>
    <w:p>
      <w:pPr>
        <w:pStyle w:val="Heading1"/>
      </w:pPr>
      <w:r>
        <w:t xml:space="preserve">Section 7 — Recommendation operator (discount, floor, guard)</w:t>
      </w:r>
    </w:p>
    <w:p>
      <w:pPr>
        <w:spacing w:after="120"/>
      </w:pPr>
      <w:r>
        <w:t xml:space="preserve">Order of operations matters: discounting then flooring can stack into a net decrease near plate boundaries. The operator applies a confidence-scaled discount, floors ONCE to equipment granularity, then applies a progression guard that forbids a silent decrease unless the evidence path itself called DECREASE_LOAD.</w:t>
      </w:r>
    </w:p>
    <w:p>
      <w:pPr>
        <w:shd w:fill="F2F5FB" w:val="clear"/>
        <w:spacing w:after="120" w:before="80"/>
      </w:pPr>
      <w:r>
        <w:rPr>
          <w:rFonts w:ascii="Consolas" w:cs="Consolas" w:eastAsia="Consolas" w:hAnsi="Consolas"/>
          <w:color w:val="0B6E4F"/>
          <w:sz w:val="20"/>
          <w:szCs w:val="20"/>
        </w:rPr>
        <w:t xml:space="preserve">safety_discount = 1 − 0.12 · (1 − c_pred/100)        // c_pred=20 → ×0.904 ; c_pred=90 → ×0.988
L_ideal = load_for_reps(target_reps + RIR)
L = floor( L_ideal · safety_discount / incr ) · incr   // incr: 2.5kg barbell / stack for machine
if L below last_accepted_load AND evidence ≠ DECREASE:  L = last_accepted_load   // progression guard</w:t>
      </w:r>
    </w:p>
    <w:p>
      <w:pPr>
        <w:spacing w:after="120"/>
      </w:pPr>
      <w:r>
        <w:t xml:space="preserve">The guard converts the dangerous double-conservatism (which produced a load DECREASE for a ready athlete in testing) into a hold. A genuine decrease still flows when the Decision Engine emits DECREASE_LOAD on persistent negative evidence.</w:t>
      </w:r>
    </w:p>
    <w:p>
      <w:pPr>
        <w:pStyle w:val="Heading1"/>
      </w:pPr>
      <w:r>
        <w:t xml:space="preserve">Section 8 — Cohort priors &amp; the bodyweight residual</w:t>
      </w:r>
    </w:p>
    <w:p>
      <w:pPr>
        <w:spacing w:after="120"/>
      </w:pPr>
      <w:r>
        <w:t xml:space="preserve">Onboarding already collects sex and age; the prior should use them. Apply a multiplier to the reference strength PRIOR only (observations override within ~5 sets).</w:t>
      </w:r>
    </w:p>
    <w:p>
      <w:pPr>
        <w:shd w:fill="F2F5FB" w:val="clear"/>
        <w:spacing w:after="120" w:before="80"/>
      </w:pPr>
      <w:r>
        <w:rPr>
          <w:rFonts w:ascii="Consolas" w:cs="Consolas" w:eastAsia="Consolas" w:hAnsi="Consolas"/>
          <w:color w:val="0B6E4F"/>
          <w:sz w:val="20"/>
          <w:szCs w:val="20"/>
        </w:rPr>
        <w:t xml:space="preserve">prior_multiplier  m(sex, age) = m_sex · (1 − 0.005 · max(0, age−30))
   m_sex:  male 1.00 ,  female 0.60
ReferenceStrength_prior(S) = A · e^(k·S) · m(sex, age)   // applied at seed only</w:t>
      </w:r>
    </w:p>
    <w:p>
      <w:pPr>
        <w:spacing w:after="80"/>
      </w:pPr>
      <w:r>
        <w:rPr>
          <w:b/>
          <w:bCs/>
        </w:rPr>
        <w:t xml:space="preserve">Unresolved (flagged, not fixed within the no-new-input constraint):</w:t>
      </w:r>
    </w:p>
    <w:p>
      <w:pPr>
        <w:pStyle w:val="Heading1"/>
      </w:pPr>
      <w:r>
        <w:t xml:space="preserve">Section 9 — Worked traces</w:t>
      </w:r>
    </w:p>
    <w:p>
      <w:pPr>
        <w:pStyle w:val="Heading2"/>
      </w:pPr>
      <w:r>
        <w:t xml:space="preserve">9.1 Beginner cold start (horizontal_push, machine press df 0.8)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Seed score / confidence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 = 40, c_cap =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 strength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 · e^(0.016227·40) = 76.6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RM1_exercise (df 0.8)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61.3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/ RIR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8 reps, RIR 3 → ideal at 11 reps-to-failure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L_ideal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load_for_reps(11) = 44.9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 (c_pred≈20)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×0.904 → 40.6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 (machine, 5kg)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 kg 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Athlete result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actual 14 reps (positive surprise)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Observed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RM1_obs = 40·(1+14/30) = 58.7 → S_obs ≈ 38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|err| 3 → quality 0.6·0.20; Σw small → S_new ≈ 39.7, c_cap → 11.3</w:t>
            </w:r>
          </w:p>
        </w:tc>
      </w:tr>
    </w:tbl>
    <w:p>
      <w:pPr>
        <w:spacing w:after="120"/>
      </w:pPr>
      <w:r>
        <w:t xml:space="preserve">Interpretation: one surprising set barely moves the score (39.7 vs 40) but begins lifting confidence. Stability by design.</w:t>
      </w:r>
    </w:p>
    <w:p>
      <w:pPr>
        <w:pStyle w:val="Heading2"/>
      </w:pPr>
      <w:r>
        <w:t xml:space="preserve">9.2 Advanced steady state (bench, df 1.0)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0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 / confidence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 = 70, c_pred = 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 strength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124.6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L_ideal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load_for_reps(11) = 91.6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 (×0.982)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89.9 kg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Floor (2.5kg)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87.5 kg recommended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Predicted reps-to-failure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12.7 → prescribed target ≈ 9.7</w:t>
            </w:r>
          </w:p>
        </w:tc>
      </w:tr>
    </w:tbl>
    <w:p>
      <w:pPr>
        <w:spacing w:after="120"/>
      </w:pPr>
      <w:r>
        <w:t xml:space="preserve">Same model, same constants, both directions consistent. Forward (recommend) and inverse (learn) are exact inverses of one another, satisfying Principle #43.</w:t>
      </w:r>
    </w:p>
    <w:p>
      <w:pPr>
        <w:pStyle w:val="Heading1"/>
      </w:pPr>
      <w:r>
        <w:t xml:space="preserve">Final Principle (Principle #44, made literal)</w:t>
      </w:r>
    </w:p>
    <w:p>
      <w:pPr>
        <w:spacing w:after="120"/>
      </w:pPr>
      <w:r>
        <w:t xml:space="preserve">Every recommendation is now reconstructable as an arithmetic chain: score → e^(kS) → ×df → Epley → discount → floor → guard. Every learning step is its exact inverse: actual → Epley⁻¹ → ln/k → precision-weighted blend. No step is a black box; every constant above is pinned to ES-005’s stated anchors.</w:t>
      </w:r>
    </w:p>
    <w:p/>
    <w:p>
      <w:r>
        <w:rPr>
          <w:b/>
        </w:rPr>
        <w:t>════════ RESTATEMENT ADDENDUM — DX-13 (2026-06-12) ════════</w:t>
      </w:r>
    </w:p>
    <w:p>
      <w:r>
        <w:rPr>
          <w:b/>
        </w:rPr>
        <w:t>ES-005.1 Quantitative Model — the math is unchanged; the recommendation/discount OUTPUT is ADVISORY.</w:t>
      </w:r>
    </w:p>
    <w:p>
      <w:r>
        <w:t>UNCHANGED and bit-for-bit preserved (no ① core-math change in any DX delta): ReferenceStrength (A_c·e^{kS}) and its inverse, Epley in three directions, the precision-weighted blend, decay, confidence saturation, the §7 safety discount, and §13 quantization. ES-005.1 remains the math source of truth.</w:t>
      </w:r>
    </w:p>
    <w:p>
      <w:r>
        <w:t>CHANGED is STATUS, not math: the §7 recommended load (discount + plate-floor) is an ADVISORY recommendation. The athlete owns the working load. Hush LEARNS from the logged actual_weight (M1/DX-01), evaluates prediction quality at the actual load (DX-02), and builds future programs from the score-derived target_load (DX-20) — mediated through the score, never anchored to a stale recommendation.</w:t>
      </w:r>
    </w:p>
    <w:p>
      <w:r>
        <w:t>As-built sources: reviews/completion/M1_COMPLETION_REPORT.md; API_CONTRACT_V1.md §0.5/§7.1/§16C; HUSH_V1_PRODUCT_SPECIFICATION.md §2/§7.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ES-005.1  ·  Quantitative Model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2E5BB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2026-06-09T08:11:18.867Z</dcterms:created>
  <dcterms:modified xsi:type="dcterms:W3CDTF">2026-06-09T08:11:18.867Z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