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Cohort Definition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Agentic Framework for Biomarker Discovery from CBC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Ofek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Prof. Noa Dagan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MIMIC-IV v3.1 (PhysioNet)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Starting 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Rheumatoid Arthritis (ICD-9: 714.x)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Lookback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bottom w:color="2b579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Research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Can a mathematical formula derived from routine Complete Blood Count (CBC) values, measured before a diagnosis, predict that diagnosis?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This document defines the cohort construction rules for the initial proof-of-concept, focused on a single disease (Rheumatoid Arthritis) with a single lookback window (90 days).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b579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1: Case Definition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 patient with at least one hospitalization where ICD-9 code 714.x (Rheumatoid Arthritis) appears in the diagnosis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Index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admittime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of the first hospitalization in MIMIC-IV where ICD-9 714.x is recorded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ICD-9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714.0, 714.1, 714.2, 714.3x, 714.4, 714.8x, 714.9 (all codes under 714.x)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Rationale:</w:t>
      </w: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 Using the first hospitalization with an RA diagnosis code ensures we capture the earliest recorded clinical encounter. This prevents using post-diagnosis data from later admissions, which would reflect monitoring and treatment rather than initial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2: Temporal Guard (Anti-Leakage Rule)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This is the most critical decision for preventing data leakage.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Exclude entirely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 CBC tests from the index hospitalization taken more than 24 hours after admittime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Include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CBC tests from (a) prior, separate hospitalizations within the 90-day lookback window, AND (b) the first 24 hours of the index hospitalization (routine admission panel)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Also exclude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Any CBC tests taken after the index admittime (post-diagnosis)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Rule="auto"/>
        <w:jc w:val="left"/>
        <w:rPr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Rationale:</w:t>
      </w: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The initial approach excluded the entire index hospitalization. However, empirical analysis showed that only 110 out of 1,950 RA cases (5.6%) had CBC data from separate prior admissions within the 90-day window, making the strict exclusion impractical. Analysis of CBC timing within the index hospitalization revealed that 94% of first CBC draws occur within 24 hours of admission (222 in 0–1h, 393 in 1–6h, 463 in 6–12h, 560 in 12–24h), consistent with routine admission panels that are protocol-driven rather than suspicion-driven. RA-targeted laboratory testing (e.g., rheumatoid factor, anti-CCP) occurs later in the stay. Therefore, CBC from the first 24 hours of the index admission is included as it reflects routine workup, not diagnostic investigation.</w:t>
      </w:r>
    </w:p>
    <w:p w:rsidR="00000000" w:rsidDel="00000000" w:rsidP="00000000" w:rsidRDefault="00000000" w:rsidRPr="00000000" w14:paraId="0000002D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3: Control Definition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 patient with no ICD-9 714.x code on any hospitalization in MIMIC-IV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Anchor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admittime of a randomly selected hospitalization for that patient (fixed random seed for reproducibility)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CBC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Same 90-day lookback rule applied from the anchor date, using CBC from prior hospitalizations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2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Rationale:</w:t>
      </w: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 The anchor date is necessary to ensure controls and cases are drawn from comparable clinical contexts. Cases have CBC measurements from a specific window: the 90 days before a hospitalization. Without an equivalent anchor for controls, their CBC values could come from any clinical context (e.g., a routine visit, an unrelated ICU stay years earlier), and the model might learn to distinguish “pre-hospitalization physiology” from “non-hospitalization physiology” rather than “RA” from “no RA.” By anchoring controls to a random admission and applying the same lookback logic, both groups are measured under comparable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4: Feature Aggregation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When a patient has multiple CBC tests within the 90-day lookback window, we need a single feature vector per 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Aggregation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Last value (most recent CBC measurement before the index/anchor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Handling missing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If the last CBC measurement is missing a specific test (e.g., RDW), use the most recent available value for that test within the window. If no value exists, mark as missing.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Rationale:</w:t>
      </w: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 The last recorded value represents the closest clinical snapshot to the index event, making it the most clinically relevant. Alternative aggregation strategies (mean, median, min/max, trend) can be explored in later iterations once the baseline pipeline is 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5: Known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The following limitations are acknowledged and will be documented in the </w:t>
      </w:r>
      <w:r w:rsidDel="00000000" w:rsidR="00000000" w:rsidRPr="00000000">
        <w:rPr>
          <w:color w:val="333333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. They do not require resolution before proceeding with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contamination: Controls are defined as patients without RA in MIMIC-IV, but they may have been diagnosed with RA at another institution. MIMIC-IV is a single-center dataset and cannot capture diagnoses made elsewhere.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vs. pre-existing diagnosis: MIMIC-IV does not consistently distinguish between a new RA diagnosis and a pre-existing comorbidity recorded during admission. Some “cases” may have been diagnosed with RA long before the index hospitalization.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Hospitalized population bias: MIMIC-IV contains only hospitalized patients, which represents a sicker population than the general public. Discovered biomarkers may not generalize to outpatient or screening settings.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Single-center data: All data comes from Beth Israel Deaconess Medical Center. Demographic and practice pattern biases may exist. Future validation on EHRSHOT or other external datasets is planned.</w:t>
      </w:r>
    </w:p>
    <w:p w:rsidR="00000000" w:rsidDel="00000000" w:rsidP="00000000" w:rsidRDefault="00000000" w:rsidRPr="00000000" w14:paraId="00000049">
      <w:pPr>
        <w:pBdr>
          <w:bottom w:color="2b579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333333"/>
          <w:sz w:val="22"/>
          <w:szCs w:val="22"/>
          <w:rtl w:val="0"/>
        </w:rPr>
        <w:t xml:space="preserve">After implementing the data pipeline, the following manual checks will be performed before any modeling: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560"/>
        <w:gridCol w:w="3200"/>
        <w:tblGridChange w:id="0">
          <w:tblGrid>
            <w:gridCol w:w="600"/>
            <w:gridCol w:w="556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Print 20 random case patients: verify every CBC timestamp is strictly before index admittime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timestamps &lt; admittime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Verify no CBC records come from the index hospitalization (hadm_id check)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Zero 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Confirm patient-level split: no patient appears in both train and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Empty intersection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Train logistic regression on single feature (RDW), evaluate on test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AUC ~0.75–0.85 (not 0.99)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Verify case count matches prior EDA (~1,950 RA patients)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Consistent 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3333"/>
          <w:sz w:val="22"/>
          <w:szCs w:val="22"/>
          <w:rtl w:val="0"/>
        </w:rPr>
        <w:t xml:space="preserve">If check #4 yields AUC above 0.95 with a single CBC feature, this is a strong indicator of remaining data leakage and the pipeline must be re-examined before proceeding.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2b579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Tb8xtmF4jzBkA4IhwUlPM/SQbA==">CgMxLjA4AHIhMVNuR2w0U3VwakotYU9tZGpINTc2WHhheHpWa2J2R0xQ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2026-04-04T14:53:54.511Z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