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pPr>
      <w:r>
        <w:rPr>
          <w:rFonts w:ascii="Arial" w:cs="Arial" w:eastAsia="Arial" w:hAnsi="Arial"/>
          <w:sz w:val="22"/>
          <w:szCs w:val="22"/>
        </w:rPr>
        <w:t xml:space="preserve"/>
      </w:r>
    </w:p>
    <w:p>
      <w:pPr>
        <w:spacing w:after="200" w:before="0" w:line="276"/>
        <w:jc w:val="center"/>
      </w:pPr>
      <w:r>
        <w:rPr>
          <w:rFonts w:ascii="Arial" w:cs="Arial" w:eastAsia="Arial" w:hAnsi="Arial"/>
          <w:b/>
          <w:bCs/>
          <w:color w:val="2B579A"/>
          <w:sz w:val="48"/>
          <w:szCs w:val="48"/>
        </w:rPr>
        <w:t xml:space="preserve">RA Biomarker Discovery Sprint</w:t>
      </w:r>
    </w:p>
    <w:p>
      <w:pPr>
        <w:spacing w:after="400" w:before="0" w:line="276"/>
        <w:jc w:val="center"/>
      </w:pPr>
      <w:r>
        <w:rPr>
          <w:rFonts w:ascii="Arial" w:cs="Arial" w:eastAsia="Arial" w:hAnsi="Arial"/>
          <w:color w:val="666666"/>
          <w:sz w:val="28"/>
          <w:szCs w:val="28"/>
        </w:rPr>
        <w:t xml:space="preserve">Progress Report: Methods 1–4 Evaluation</w:t>
      </w:r>
    </w:p>
    <w:p>
      <w:pPr>
        <w:pBdr>
          <w:bottom w:val="single" w:color="2B579A" w:sz="6" w:space="1"/>
        </w:pBdr>
        <w:spacing w:after="80"/>
        <w:jc w:val="center"/>
      </w:pPr>
    </w:p>
    <w:p>
      <w:pPr>
        <w:spacing w:after="200" w:before="0" w:line="276"/>
      </w:pPr>
      <w:r>
        <w:rPr>
          <w:rFonts w:ascii="Arial" w:cs="Arial" w:eastAsia="Arial" w:hAnsi="Arial"/>
          <w:sz w:val="22"/>
          <w:szCs w:val="22"/>
        </w:rPr>
        <w:t xml:space="preserve"/>
      </w:r>
    </w:p>
    <w:p>
      <w:pPr>
        <w:spacing w:after="40" w:before="0" w:line="276"/>
        <w:jc w:val="center"/>
      </w:pPr>
      <w:r>
        <w:rPr>
          <w:rFonts w:ascii="Arial" w:cs="Arial" w:eastAsia="Arial" w:hAnsi="Arial"/>
          <w:sz w:val="24"/>
          <w:szCs w:val="24"/>
        </w:rPr>
        <w:t xml:space="preserve">Student: Ofek</w:t>
      </w:r>
    </w:p>
    <w:p>
      <w:pPr>
        <w:spacing w:after="40" w:before="0" w:line="276"/>
        <w:jc w:val="center"/>
      </w:pPr>
      <w:r>
        <w:rPr>
          <w:rFonts w:ascii="Arial" w:cs="Arial" w:eastAsia="Arial" w:hAnsi="Arial"/>
          <w:sz w:val="24"/>
          <w:szCs w:val="24"/>
        </w:rPr>
        <w:t xml:space="preserve">Advisor: Prof. Noa Dagan</w:t>
      </w:r>
    </w:p>
    <w:p>
      <w:pPr>
        <w:spacing w:after="40" w:before="0" w:line="276"/>
        <w:jc w:val="center"/>
      </w:pPr>
      <w:r>
        <w:rPr>
          <w:rFonts w:ascii="Arial" w:cs="Arial" w:eastAsia="Arial" w:hAnsi="Arial"/>
          <w:sz w:val="22"/>
          <w:szCs w:val="22"/>
        </w:rPr>
        <w:t xml:space="preserve">Department of Information Systems Engineering</w:t>
      </w:r>
    </w:p>
    <w:p>
      <w:pPr>
        <w:spacing w:after="400" w:before="0" w:line="276"/>
        <w:jc w:val="center"/>
      </w:pPr>
      <w:r>
        <w:rPr>
          <w:rFonts w:ascii="Arial" w:cs="Arial" w:eastAsia="Arial" w:hAnsi="Arial"/>
          <w:sz w:val="22"/>
          <w:szCs w:val="22"/>
        </w:rPr>
        <w:t xml:space="preserve">April 2026</w:t>
      </w:r>
    </w:p>
    <w:p>
      <w:pPr>
        <w:spacing w:after="40" w:line="276"/>
      </w:pPr>
      <w:r>
        <w:rPr>
          <w:rFonts w:ascii="Arial" w:cs="Arial" w:eastAsia="Arial" w:hAnsi="Arial"/>
          <w:b/>
          <w:bCs/>
          <w:sz w:val="22"/>
          <w:szCs w:val="22"/>
        </w:rPr>
        <w:t xml:space="preserve">Dataset: </w:t>
      </w:r>
      <w:r>
        <w:rPr>
          <w:rFonts w:ascii="Arial" w:cs="Arial" w:eastAsia="Arial" w:hAnsi="Arial"/>
          <w:sz w:val="22"/>
          <w:szCs w:val="22"/>
        </w:rPr>
        <w:t xml:space="preserve">MIMIC-IV v3.1 (PhysioNet)</w:t>
      </w:r>
    </w:p>
    <w:p>
      <w:pPr>
        <w:spacing w:after="40" w:line="276"/>
      </w:pPr>
      <w:r>
        <w:rPr>
          <w:rFonts w:ascii="Arial" w:cs="Arial" w:eastAsia="Arial" w:hAnsi="Arial"/>
          <w:b/>
          <w:bCs/>
          <w:sz w:val="22"/>
          <w:szCs w:val="22"/>
        </w:rPr>
        <w:t xml:space="preserve">Disease: </w:t>
      </w:r>
      <w:r>
        <w:rPr>
          <w:rFonts w:ascii="Arial" w:cs="Arial" w:eastAsia="Arial" w:hAnsi="Arial"/>
          <w:sz w:val="22"/>
          <w:szCs w:val="22"/>
        </w:rPr>
        <w:t xml:space="preserve">Rheumatoid Arthritis (ICD-9: 714.x)</w:t>
      </w:r>
    </w:p>
    <w:p>
      <w:pPr>
        <w:spacing w:after="120" w:line="276"/>
      </w:pPr>
      <w:r>
        <w:rPr>
          <w:rFonts w:ascii="Arial" w:cs="Arial" w:eastAsia="Arial" w:hAnsi="Arial"/>
          <w:b/>
          <w:bCs/>
          <w:sz w:val="22"/>
          <w:szCs w:val="22"/>
        </w:rPr>
        <w:t xml:space="preserve">Local Research Question: </w:t>
      </w:r>
      <w:r>
        <w:rPr>
          <w:rFonts w:ascii="Arial" w:cs="Arial" w:eastAsia="Arial" w:hAnsi="Arial"/>
          <w:sz w:val="22"/>
          <w:szCs w:val="22"/>
        </w:rPr>
        <w:t xml:space="preserve">Which analytical methods best surface predictive biomarkers for RA outcomes using the manually extracted MIMIC-IV dataset?</w:t>
      </w:r>
    </w:p>
    <w:p>
      <w:r>
        <w:br w:type="page"/>
      </w:r>
    </w:p>
    <w:p>
      <w:pPr>
        <w:pStyle w:val="Heading1"/>
        <w:spacing w:after="120" w:before="360"/>
      </w:pPr>
      <w:r>
        <w:rPr>
          <w:rFonts w:ascii="Arial" w:cs="Arial" w:eastAsia="Arial" w:hAnsi="Arial"/>
        </w:rPr>
        <w:t xml:space="preserve">1. Executive Summary</w:t>
      </w:r>
    </w:p>
    <w:p>
      <w:pPr>
        <w:spacing w:after="120" w:before="0" w:line="276"/>
      </w:pPr>
      <w:r>
        <w:rPr>
          <w:rFonts w:ascii="Arial" w:cs="Arial" w:eastAsia="Arial" w:hAnsi="Arial"/>
          <w:sz w:val="22"/>
          <w:szCs w:val="22"/>
        </w:rPr>
        <w:t xml:space="preserve">This report documents a concentrated sprint (April 4–6, 2026) evaluating four biomarker generation methods for predicting Rheumatoid Arthritis from routine Complete Blood Count (CBC) data in the MIMIC-IV dataset. The work follows the cohort definitions established in the approved Cohort Definition Protocol and answers the local research question for RA before expanding to additional diseases.</w:t>
      </w:r>
    </w:p>
    <w:p>
      <w:pPr>
        <w:spacing w:after="120" w:line="276"/>
      </w:pPr>
      <w:r>
        <w:rPr>
          <w:rFonts w:ascii="Arial" w:cs="Arial" w:eastAsia="Arial" w:hAnsi="Arial"/>
          <w:b/>
          <w:bCs/>
          <w:sz w:val="22"/>
          <w:szCs w:val="22"/>
        </w:rPr>
        <w:t xml:space="preserve">Key finding: </w:t>
      </w:r>
      <w:r>
        <w:rPr>
          <w:rFonts w:ascii="Arial" w:cs="Arial" w:eastAsia="Arial" w:hAnsi="Arial"/>
          <w:sz w:val="22"/>
          <w:szCs w:val="22"/>
        </w:rPr>
        <w:t xml:space="preserve">Genetic Programming (GP) with a large configuration (pop=500, gen=100) is the only method that beat the all-features logistic regression baseline on both AUC-ROC (0.6715 vs 0.658) and AUC-PR (0.0179 vs 0.017). The LLM approach (Med-Gemma 4B) produced medically plausible formulas but could not match data-driven optimization. All four methods converged on the same top features — RDW, PLT, and MCHC — providing strong cross-method validation of feature importance.</w:t>
      </w:r>
    </w:p>
    <w:p>
      <w:pPr>
        <w:pStyle w:val="Heading1"/>
        <w:spacing w:after="120" w:before="360"/>
      </w:pPr>
      <w:r>
        <w:rPr>
          <w:rFonts w:ascii="Arial" w:cs="Arial" w:eastAsia="Arial" w:hAnsi="Arial"/>
        </w:rPr>
        <w:t xml:space="preserve">2. Cohort and Pipeline Setup</w:t>
      </w:r>
    </w:p>
    <w:p>
      <w:pPr>
        <w:spacing w:after="120" w:before="0" w:line="276"/>
      </w:pPr>
      <w:r>
        <w:rPr>
          <w:rFonts w:ascii="Arial" w:cs="Arial" w:eastAsia="Arial" w:hAnsi="Arial"/>
          <w:sz w:val="22"/>
          <w:szCs w:val="22"/>
        </w:rPr>
        <w:t xml:space="preserve">The cohort was constructed following the approved Cohort Definition Protocol, with the following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Cases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1,950 RA patients (ICD-9 714.x, first hospitalization)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Controls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221,502 patients with no ICD-9 714.x on any hospitalization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Train split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1,273 cases / 115,955 controls (80%)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Test split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300 cases / 28,976 controls (20%)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Positive rate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 (extreme class imbalance)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Features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9 CBC: HCT, HGB, MCH, MCHC, MCV, PLT, RBC, RDW, WBC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Temporal guard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Prior admissions (90-day lookback) + first 24h of index admission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Aggregation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Last value per test within the lookback window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Split method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Patient-level, deterministic (FARM_FINGERPRINT), immutable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Primary metric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AUC-PR (due to extreme class imbalance; AUC-ROC is secondary)</w:t>
            </w:r>
          </w:p>
        </w:tc>
      </w:tr>
    </w:tbl>
    <w:p>
      <w:pPr>
        <w:spacing w:after="12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The data pipeline was extracted from BigQuery (physionet-data.mimiciv_3_1_hosp) and frozen as a local CSV. The train/test split is pre-computed and immutable across all methods, ensuring fair comparison.</w:t>
      </w:r>
    </w:p>
    <w:p>
      <w:pPr>
        <w:pStyle w:val="Heading1"/>
        <w:spacing w:after="120" w:before="360"/>
      </w:pPr>
      <w:r>
        <w:rPr>
          <w:rFonts w:ascii="Arial" w:cs="Arial" w:eastAsia="Arial" w:hAnsi="Arial"/>
        </w:rPr>
        <w:t xml:space="preserve">3. Methods and Results</w:t>
      </w:r>
    </w:p>
    <w:p>
      <w:pPr>
        <w:pStyle w:val="Heading2"/>
        <w:spacing w:after="120" w:before="240"/>
      </w:pPr>
      <w:r>
        <w:rPr>
          <w:rFonts w:ascii="Arial" w:cs="Arial" w:eastAsia="Arial" w:hAnsi="Arial"/>
        </w:rPr>
        <w:t xml:space="preserve">3.1 Method 1: Threshold Optimization</w:t>
      </w:r>
    </w:p>
    <w:p>
      <w:pPr>
        <w:spacing w:after="120" w:before="0" w:line="276"/>
      </w:pPr>
      <w:r>
        <w:rPr>
          <w:rFonts w:ascii="Arial" w:cs="Arial" w:eastAsia="Arial" w:hAnsi="Arial"/>
          <w:sz w:val="22"/>
          <w:szCs w:val="22"/>
        </w:rPr>
        <w:t xml:space="preserve">Two sub-methods were tested: applying literature-defined clinical thresholds (1A) and optimizing thresholds on training data using Youden’s index (1B). Each of the 9 CBC features was evaluated independently as a single-feature predictor.</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No single-feature threshold beat the all-features LR baseline. Best AUC-PR was RBC at 0.0141. RDW had the best AUC-ROC (0.617) but diverged on AUC-PR. Data-driven thresholds improved recall (RDW recall from 0.487 to 0.843) but did not meaningfully improve AUC-PR over literature thresholds.</w:t>
      </w:r>
    </w:p>
    <w:p>
      <w:pPr>
        <w:spacing w:after="120" w:line="276"/>
      </w:pPr>
      <w:r>
        <w:rPr>
          <w:rFonts w:ascii="Arial" w:cs="Arial" w:eastAsia="Arial" w:hAnsi="Arial"/>
          <w:b/>
          <w:bCs/>
          <w:i/>
          <w:iCs/>
          <w:sz w:val="22"/>
          <w:szCs w:val="22"/>
        </w:rPr>
        <w:t xml:space="preserve">Insight: </w:t>
      </w:r>
      <w:r>
        <w:rPr>
          <w:rFonts w:ascii="Arial" w:cs="Arial" w:eastAsia="Arial" w:hAnsi="Arial"/>
          <w:i/>
          <w:iCs/>
          <w:sz w:val="22"/>
          <w:szCs w:val="22"/>
        </w:rPr>
        <w:t xml:space="preserve">Single CBC features carry insufficient signal for RA prediction at 1% prevalence. Multi-feature approaches are necessary.</w:t>
      </w:r>
    </w:p>
    <w:p>
      <w:pPr>
        <w:pStyle w:val="Heading2"/>
        <w:spacing w:after="120" w:before="240"/>
      </w:pPr>
      <w:r>
        <w:rPr>
          <w:rFonts w:ascii="Arial" w:cs="Arial" w:eastAsia="Arial" w:hAnsi="Arial"/>
        </w:rPr>
        <w:t xml:space="preserve">3.2 Method 2: Random Formula Generation</w:t>
      </w:r>
    </w:p>
    <w:p>
      <w:pPr>
        <w:spacing w:after="120" w:before="0" w:line="276"/>
      </w:pPr>
      <w:r>
        <w:rPr>
          <w:rFonts w:ascii="Arial" w:cs="Arial" w:eastAsia="Arial" w:hAnsi="Arial"/>
          <w:sz w:val="22"/>
          <w:szCs w:val="22"/>
        </w:rPr>
        <w:t xml:space="preserve">10,000 unique random mathematical formulas were generated, each combining 2–4 CBC features with operations (+, –, ×, ÷, sqrt, log, square). All formulas were evaluated on the held-out test set.</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Only 7 out of 10,000 formulas (0.07%) marginally beat the LR baseline on AUC-PR. The best formula, sqrt(hct)/rbc (AUC-PR=0.0174), essentially rediscovered the MCV index (mean corpuscular volume). AUC-ROC remained below baseline (0.580 vs 0.658).</w:t>
      </w:r>
    </w:p>
    <w:p>
      <w:pPr>
        <w:spacing w:after="120" w:line="276"/>
      </w:pPr>
      <w:r>
        <w:rPr>
          <w:rFonts w:ascii="Arial" w:cs="Arial" w:eastAsia="Arial" w:hAnsi="Arial"/>
          <w:b/>
          <w:bCs/>
          <w:i/>
          <w:iCs/>
          <w:sz w:val="22"/>
          <w:szCs w:val="22"/>
        </w:rPr>
        <w:t xml:space="preserve">Insight: </w:t>
      </w:r>
      <w:r>
        <w:rPr>
          <w:rFonts w:ascii="Arial" w:cs="Arial" w:eastAsia="Arial" w:hAnsi="Arial"/>
          <w:i/>
          <w:iCs/>
          <w:sz w:val="22"/>
          <w:szCs w:val="22"/>
        </w:rPr>
        <w:t xml:space="preserve">The CBC feature space for RA is extremely flat — random search barely outperforms baseline even with 10,000 attempts. This establishes the difficulty of the task and motivates guided optimization.</w:t>
      </w:r>
    </w:p>
    <w:p>
      <w:pPr>
        <w:pStyle w:val="Heading2"/>
        <w:spacing w:after="120" w:before="240"/>
      </w:pPr>
      <w:r>
        <w:rPr>
          <w:rFonts w:ascii="Arial" w:cs="Arial" w:eastAsia="Arial" w:hAnsi="Arial"/>
        </w:rPr>
        <w:t xml:space="preserve">3.3 Method 3: Genetic Programming (gplearn)</w:t>
      </w:r>
    </w:p>
    <w:p>
      <w:pPr>
        <w:spacing w:after="120" w:before="0" w:line="276"/>
      </w:pPr>
      <w:r>
        <w:rPr>
          <w:rFonts w:ascii="Arial" w:cs="Arial" w:eastAsia="Arial" w:hAnsi="Arial"/>
          <w:sz w:val="22"/>
          <w:szCs w:val="22"/>
        </w:rPr>
        <w:t xml:space="preserve">Symbolic regression via gplearn was used to evolve mathematical formulas. Two configurations were tested: a small exploratory run (pop=100, gen=20) and a large cluster-based run (pop=500, gen=100). A critical finding was that the parsimony coefficient strongly affects convergence: values above 0.005 cause premature collapse to single features.</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The large configuration (parsimony=0.0001) achieved AUC-ROC=0.6715 and AUC-PR=0.0179, beating both the LR baseline and all prior methods. The best formula uses 7 of 9 features in a 35-node tree dominated by plt/rdw ratios and mchc² terms. Fitness plateaued at generation ~65.</w:t>
      </w:r>
    </w:p>
    <w:p>
      <w:pPr>
        <w:spacing w:after="120" w:line="276"/>
      </w:pPr>
      <w:r>
        <w:rPr>
          <w:rFonts w:ascii="Arial" w:cs="Arial" w:eastAsia="Arial" w:hAnsi="Arial"/>
          <w:b/>
          <w:bCs/>
          <w:i/>
          <w:iCs/>
          <w:sz w:val="22"/>
          <w:szCs w:val="22"/>
        </w:rPr>
        <w:t xml:space="preserve">Insight: </w:t>
      </w:r>
      <w:r>
        <w:rPr>
          <w:rFonts w:ascii="Arial" w:cs="Arial" w:eastAsia="Arial" w:hAnsi="Arial"/>
          <w:i/>
          <w:iCs/>
          <w:sz w:val="22"/>
          <w:szCs w:val="22"/>
        </w:rPr>
        <w:t xml:space="preserve">GP is the only method to beat baselines on both metrics simultaneously. The division operator was critical — plt/wbc and plt/rdw ratios appear in all top programs. Removing division forced the small config into 82-node bloat without performance gains.</w:t>
      </w:r>
    </w:p>
    <w:p>
      <w:pPr>
        <w:pStyle w:val="Heading2"/>
        <w:spacing w:after="120" w:before="240"/>
      </w:pPr>
      <w:r>
        <w:rPr>
          <w:rFonts w:ascii="Arial" w:cs="Arial" w:eastAsia="Arial" w:hAnsi="Arial"/>
        </w:rPr>
        <w:t xml:space="preserve">3.4 Method 4: LLM-Generated Formulas (Med-Gemma 4B)</w:t>
      </w:r>
    </w:p>
    <w:p>
      <w:pPr>
        <w:spacing w:after="120" w:before="0" w:line="276"/>
      </w:pPr>
      <w:r>
        <w:rPr>
          <w:rFonts w:ascii="Arial" w:cs="Arial" w:eastAsia="Arial" w:hAnsi="Arial"/>
          <w:sz w:val="22"/>
          <w:szCs w:val="22"/>
        </w:rPr>
        <w:t xml:space="preserve">Med-Gemma 4B (instruction-tuned, run on the university cluster GPU) was prompted to generate CBC-based biomarker formulas. Two strategies were tested: blind (medical knowledge only) and seeded (medical knowledge plus GP’s feature importance rankings). Six prompt configurations (3 temperatures × 2 strategies) were run 4 times each, producing 24 inference calls.</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94 unique valid formulas were evaluated. The best, log(plt) + sqrt(rdw) – log(hct) + sqrt(mchc), achieved AUC-PR=0.016 — below both the LR baseline (0.017) and GP (0.0179). Zero LLM formulas beat either baseline. Seeded prompts showed a marginal advantage over blind (+0.0016 max AUC-PR) but neither strategy reached baseline performance.</w:t>
      </w:r>
    </w:p>
    <w:p>
      <w:pPr>
        <w:spacing w:after="120" w:line="276"/>
      </w:pPr>
      <w:r>
        <w:rPr>
          <w:rFonts w:ascii="Arial" w:cs="Arial" w:eastAsia="Arial" w:hAnsi="Arial"/>
          <w:b/>
          <w:bCs/>
          <w:i/>
          <w:iCs/>
          <w:sz w:val="22"/>
          <w:szCs w:val="22"/>
        </w:rPr>
        <w:t xml:space="preserve">Insight: </w:t>
      </w:r>
      <w:r>
        <w:rPr>
          <w:rFonts w:ascii="Arial" w:cs="Arial" w:eastAsia="Arial" w:hAnsi="Arial"/>
          <w:i/>
          <w:iCs/>
          <w:sz w:val="22"/>
          <w:szCs w:val="22"/>
        </w:rPr>
        <w:t xml:space="preserve">Med-Gemma correctly identified the right features (RDW 64%, PLT 54%, MCHC 45%) but produced simple additive log/sqrt combinations. GP discovered multiplicative interactions and ratio terms that the LLM could not. The bottleneck is mathematical structure, not feature selection.</w:t>
      </w:r>
    </w:p>
    <w:p>
      <w:pPr>
        <w:pStyle w:val="Heading1"/>
        <w:spacing w:after="120" w:before="360"/>
      </w:pPr>
      <w:r>
        <w:rPr>
          <w:rFonts w:ascii="Arial" w:cs="Arial" w:eastAsia="Arial" w:hAnsi="Arial"/>
        </w:rPr>
        <w:t xml:space="preserve">4. Cross-Method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3260"/>
        <w:gridCol w:w="1300"/>
      </w:tblGrid>
      <w:tr>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1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AUC-ROC</w:t>
            </w:r>
          </w:p>
        </w:tc>
        <w:tc>
          <w:tcPr>
            <w:tcW w:type="dxa" w:w="1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AUC-PR</w:t>
            </w:r>
          </w:p>
        </w:tc>
        <w:tc>
          <w:tcPr>
            <w:tcW w:type="dxa" w:w="32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Key Features / Formula</w:t>
            </w:r>
          </w:p>
        </w:tc>
        <w:tc>
          <w:tcPr>
            <w:tcW w:type="dxa" w:w="1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Beats LR?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LR Baseline (all 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0.658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0.017</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All 9 CBC features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M1: Thresholds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0.617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0.0141</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RDW (ROC) / RBC (PR)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00000"/>
                <w:sz w:val="18"/>
                <w:szCs w:val="18"/>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M2: Random (10k)</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0.626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0.0174</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sqrt(hct)/rbc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BF8F00"/>
                <w:sz w:val="18"/>
                <w:szCs w:val="18"/>
              </w:rPr>
              <w:t xml:space="preserve">Marginal</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sz w:val="18"/>
                <w:szCs w:val="18"/>
              </w:rPr>
              <w:t xml:space="preserve">M3: GP (large)</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sz w:val="18"/>
                <w:szCs w:val="18"/>
              </w:rPr>
              <w:t xml:space="preserve">0.6715</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sz w:val="18"/>
                <w:szCs w:val="18"/>
              </w:rPr>
              <w:t xml:space="preserve">0.0179</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sz w:val="18"/>
                <w:szCs w:val="18"/>
              </w:rPr>
              <w:t xml:space="preserve">log(plt/rdw)*mchc²*(rdw-rbc)</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M4: LLM (Med-Gemma)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0.631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0.016</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log(plt)+sqrt(rdw)-log(hct)+sqrt(mchc)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00000"/>
                <w:sz w:val="18"/>
                <w:szCs w:val="18"/>
              </w:rPr>
              <w:t xml:space="preserve">No</w:t>
            </w:r>
          </w:p>
        </w:tc>
      </w:tr>
    </w:tbl>
    <w:p>
      <w:pPr>
        <w:spacing w:after="120" w:before="0" w:line="276"/>
      </w:pPr>
      <w:r>
        <w:rPr>
          <w:rFonts w:ascii="Arial" w:cs="Arial" w:eastAsia="Arial" w:hAnsi="Arial"/>
          <w:sz w:val="22"/>
          <w:szCs w:val="22"/>
        </w:rPr>
        <w:t xml:space="preserve"/>
      </w:r>
    </w:p>
    <w:p>
      <w:pPr>
        <w:pStyle w:val="Heading1"/>
        <w:spacing w:after="120" w:before="360"/>
      </w:pPr>
      <w:r>
        <w:rPr>
          <w:rFonts w:ascii="Arial" w:cs="Arial" w:eastAsia="Arial" w:hAnsi="Arial"/>
        </w:rPr>
        <w:t xml:space="preserve">5. Key Takeaways</w:t>
      </w:r>
    </w:p>
    <w:p>
      <w:pPr>
        <w:pStyle w:val="ListParagraph"/>
        <w:numPr>
          <w:ilvl w:val="0"/>
          <w:numId w:val="2"/>
        </w:numPr>
        <w:spacing w:after="100" w:line="276"/>
      </w:pPr>
      <w:r>
        <w:rPr>
          <w:rFonts w:ascii="Arial" w:cs="Arial" w:eastAsia="Arial" w:hAnsi="Arial"/>
          <w:b/>
          <w:bCs/>
          <w:sz w:val="22"/>
          <w:szCs w:val="22"/>
        </w:rPr>
        <w:t xml:space="preserve">Feature consensus across methods: </w:t>
      </w:r>
      <w:r>
        <w:rPr>
          <w:rFonts w:ascii="Arial" w:cs="Arial" w:eastAsia="Arial" w:hAnsi="Arial"/>
          <w:sz w:val="22"/>
          <w:szCs w:val="22"/>
        </w:rPr>
        <w:t xml:space="preserve">RDW, PLT, and MCHC consistently emerge as the most predictive CBC features for RA, validated by GP (data-driven), LLM (medical knowledge), and single-feature analysis. This cross-method agreement strengthens confidence in these features as genuine signals.</w:t>
      </w:r>
    </w:p>
    <w:p>
      <w:pPr>
        <w:pStyle w:val="ListParagraph"/>
        <w:numPr>
          <w:ilvl w:val="0"/>
          <w:numId w:val="2"/>
        </w:numPr>
        <w:spacing w:after="100" w:line="276"/>
      </w:pPr>
      <w:r>
        <w:rPr>
          <w:rFonts w:ascii="Arial" w:cs="Arial" w:eastAsia="Arial" w:hAnsi="Arial"/>
          <w:b/>
          <w:bCs/>
          <w:sz w:val="22"/>
          <w:szCs w:val="22"/>
        </w:rPr>
        <w:t xml:space="preserve">Mathematical structure &gt; feature selection: </w:t>
      </w:r>
      <w:r>
        <w:rPr>
          <w:rFonts w:ascii="Arial" w:cs="Arial" w:eastAsia="Arial" w:hAnsi="Arial"/>
          <w:sz w:val="22"/>
          <w:szCs w:val="22"/>
        </w:rPr>
        <w:t xml:space="preserve">The LLM identified the correct features but produced simple additive formulas. GP discovered multiplicative interactions and ratio terms (plt/rdw, mchc², rdw-rbc) that provide actual discriminative power. Knowing which features matter is necessary but insufficient.</w:t>
      </w:r>
    </w:p>
    <w:p>
      <w:pPr>
        <w:pStyle w:val="ListParagraph"/>
        <w:numPr>
          <w:ilvl w:val="0"/>
          <w:numId w:val="2"/>
        </w:numPr>
        <w:spacing w:after="100" w:line="276"/>
      </w:pPr>
      <w:r>
        <w:rPr>
          <w:rFonts w:ascii="Arial" w:cs="Arial" w:eastAsia="Arial" w:hAnsi="Arial"/>
          <w:b/>
          <w:bCs/>
          <w:sz w:val="22"/>
          <w:szCs w:val="22"/>
        </w:rPr>
        <w:t xml:space="preserve">Optimization pressure matters: </w:t>
      </w:r>
      <w:r>
        <w:rPr>
          <w:rFonts w:ascii="Arial" w:cs="Arial" w:eastAsia="Arial" w:hAnsi="Arial"/>
          <w:sz w:val="22"/>
          <w:szCs w:val="22"/>
        </w:rPr>
        <w:t xml:space="preserve">Random search (10k formulas) found 7 that marginally beat baseline. GP (50,000 evaluations over 100 generations) found a clear winner. The LLM (94 formulas, no iterative optimization) found none. Formula quality scales with structured search, not just volume or domain knowledge.</w:t>
      </w:r>
    </w:p>
    <w:p>
      <w:pPr>
        <w:pStyle w:val="ListParagraph"/>
        <w:numPr>
          <w:ilvl w:val="0"/>
          <w:numId w:val="2"/>
        </w:numPr>
        <w:spacing w:after="100" w:line="276"/>
      </w:pPr>
      <w:r>
        <w:rPr>
          <w:rFonts w:ascii="Arial" w:cs="Arial" w:eastAsia="Arial" w:hAnsi="Arial"/>
          <w:b/>
          <w:bCs/>
          <w:sz w:val="22"/>
          <w:szCs w:val="22"/>
        </w:rPr>
        <w:t xml:space="preserve">CBC alone is a weak signal for RA: </w:t>
      </w:r>
      <w:r>
        <w:rPr>
          <w:rFonts w:ascii="Arial" w:cs="Arial" w:eastAsia="Arial" w:hAnsi="Arial"/>
          <w:sz w:val="22"/>
          <w:szCs w:val="22"/>
        </w:rPr>
        <w:t xml:space="preserve">Even the best method achieves only 0.0179 AUC-PR with 1–2% precision. At ~1% prevalence, ~99% of flagged patients are false positives. CBC-only prediction has fundamental ceiling limitations for RA screening in a general hospital population.</w:t>
      </w:r>
    </w:p>
    <w:p>
      <w:pPr>
        <w:pStyle w:val="ListParagraph"/>
        <w:numPr>
          <w:ilvl w:val="0"/>
          <w:numId w:val="2"/>
        </w:numPr>
        <w:spacing w:after="200" w:line="276"/>
      </w:pPr>
      <w:r>
        <w:rPr>
          <w:rFonts w:ascii="Arial" w:cs="Arial" w:eastAsia="Arial" w:hAnsi="Arial"/>
          <w:b/>
          <w:bCs/>
          <w:sz w:val="22"/>
          <w:szCs w:val="22"/>
        </w:rPr>
        <w:t xml:space="preserve">The framework works: </w:t>
      </w:r>
      <w:r>
        <w:rPr>
          <w:rFonts w:ascii="Arial" w:cs="Arial" w:eastAsia="Arial" w:hAnsi="Arial"/>
          <w:sz w:val="22"/>
          <w:szCs w:val="22"/>
        </w:rPr>
        <w:t xml:space="preserve">The interchangeable-method design enabled fair comparison across all four approaches using the same data, split, and evaluation pipeline. Each method was implemented as one flat script importing shared utilities, making it straightforward to add new methods or diseases.</w:t>
      </w:r>
    </w:p>
    <w:p>
      <w:pPr>
        <w:pStyle w:val="Heading1"/>
        <w:spacing w:after="120" w:before="360"/>
      </w:pPr>
      <w:r>
        <w:rPr>
          <w:rFonts w:ascii="Arial" w:cs="Arial" w:eastAsia="Arial" w:hAnsi="Arial"/>
        </w:rPr>
        <w:t xml:space="preserve">6. Answering the Local Research Question</w:t>
      </w:r>
    </w:p>
    <w:p>
      <w:pPr>
        <w:spacing w:after="160" w:before="0" w:line="276"/>
      </w:pPr>
      <w:r>
        <w:rPr>
          <w:rFonts w:ascii="Arial" w:cs="Arial" w:eastAsia="Arial" w:hAnsi="Arial"/>
          <w:b/>
          <w:bCs/>
          <w:i/>
          <w:iCs/>
          <w:sz w:val="22"/>
          <w:szCs w:val="22"/>
        </w:rPr>
        <w:t xml:space="preserve">Which analytical methods best surface predictive biomarkers for RA outcomes using the manually extracted MIMIC-IV dataset?</w:t>
      </w:r>
    </w:p>
    <w:p>
      <w:pPr>
        <w:spacing w:after="120" w:before="0" w:line="276"/>
      </w:pPr>
      <w:r>
        <w:rPr>
          <w:rFonts w:ascii="Arial" w:cs="Arial" w:eastAsia="Arial" w:hAnsi="Arial"/>
          <w:sz w:val="22"/>
          <w:szCs w:val="22"/>
        </w:rPr>
        <w:t xml:space="preserve">Genetic Programming (large configuration) is the best-performing analytical method for this task. It is the only approach that beat the all-features logistic regression baseline on both the primary metric (AUC-PR: 0.0179 vs 0.017) and the secondary metric (AUC-ROC: 0.6715 vs 0.658). The GP-discovered formula combines 7 of 9 CBC features through multiplicative interactions and ratio terms that no other method found.</w:t>
      </w:r>
    </w:p>
    <w:p>
      <w:pPr>
        <w:spacing w:after="120" w:before="0" w:line="276"/>
      </w:pPr>
      <w:r>
        <w:rPr>
          <w:rFonts w:ascii="Arial" w:cs="Arial" w:eastAsia="Arial" w:hAnsi="Arial"/>
          <w:sz w:val="22"/>
          <w:szCs w:val="22"/>
        </w:rPr>
        <w:t xml:space="preserve">However, the more nuanced answer is that the four methods are complementary rather than strictly competing. Single-feature thresholds establish that no single CBC test is sufficient. Random search quantifies how flat the feature space is. GP finds the optimal mathematical structure. And the LLM validates, from independent medical knowledge, that the data-driven feature selection makes clinical sense. Together, they provide a more complete picture than any single method could.</w:t>
      </w:r>
    </w:p>
    <w:p>
      <w:pPr>
        <w:pStyle w:val="Heading1"/>
        <w:spacing w:after="120" w:before="360"/>
      </w:pPr>
      <w:r>
        <w:rPr>
          <w:rFonts w:ascii="Arial" w:cs="Arial" w:eastAsia="Arial" w:hAnsi="Arial"/>
        </w:rPr>
        <w:t xml:space="preserve">7. Future Work</w:t>
      </w:r>
    </w:p>
    <w:p>
      <w:pPr>
        <w:spacing w:after="120" w:before="0" w:line="276"/>
      </w:pPr>
      <w:r>
        <w:rPr>
          <w:rFonts w:ascii="Arial" w:cs="Arial" w:eastAsia="Arial" w:hAnsi="Arial"/>
          <w:sz w:val="22"/>
          <w:szCs w:val="22"/>
        </w:rPr>
        <w:t xml:space="preserve">The following vectors are planned, roughly in priority order:</w:t>
      </w:r>
    </w:p>
    <w:p>
      <w:pPr>
        <w:pStyle w:val="ListParagraph"/>
        <w:numPr>
          <w:ilvl w:val="0"/>
          <w:numId w:val="2"/>
        </w:numPr>
        <w:spacing w:after="100" w:line="276"/>
      </w:pPr>
      <w:r>
        <w:rPr>
          <w:rFonts w:ascii="Arial" w:cs="Arial" w:eastAsia="Arial" w:hAnsi="Arial"/>
          <w:b/>
          <w:bCs/>
          <w:sz w:val="22"/>
          <w:szCs w:val="22"/>
        </w:rPr>
        <w:t xml:space="preserve">Run on a second disease (Type 1 Diabetes): </w:t>
      </w:r>
      <w:r>
        <w:rPr>
          <w:rFonts w:ascii="Arial" w:cs="Arial" w:eastAsia="Arial" w:hAnsi="Arial"/>
          <w:sz w:val="22"/>
          <w:szCs w:val="22"/>
        </w:rPr>
        <w:t xml:space="preserve">Validate that the framework is disease-agnostic by applying all four methods to T1D (ICD-9: 250.x1, 250.x3). This tests whether GP remains the winner and whether similar CBC features emerge, or whether different diseases favor different methods.</w:t>
      </w:r>
    </w:p>
    <w:p>
      <w:pPr>
        <w:pStyle w:val="ListParagraph"/>
        <w:numPr>
          <w:ilvl w:val="0"/>
          <w:numId w:val="2"/>
        </w:numPr>
        <w:spacing w:after="100" w:line="276"/>
      </w:pPr>
      <w:r>
        <w:rPr>
          <w:rFonts w:ascii="Arial" w:cs="Arial" w:eastAsia="Arial" w:hAnsi="Arial"/>
          <w:b/>
          <w:bCs/>
          <w:sz w:val="22"/>
          <w:szCs w:val="22"/>
        </w:rPr>
        <w:t xml:space="preserve">Automate the data extraction pipeline: </w:t>
      </w:r>
      <w:r>
        <w:rPr>
          <w:rFonts w:ascii="Arial" w:cs="Arial" w:eastAsia="Arial" w:hAnsi="Arial"/>
          <w:sz w:val="22"/>
          <w:szCs w:val="22"/>
        </w:rPr>
        <w:t xml:space="preserve">Currently, cohort extraction from BigQuery is a manual process with separate SQL queries. Automating this into a parameterized pipeline (disease code as input, modeling CSV as output) will enable rapid expansion to new conditions without re-implementing the temporal guard and aggregation logic each time.</w:t>
      </w:r>
    </w:p>
    <w:p>
      <w:pPr>
        <w:pStyle w:val="ListParagraph"/>
        <w:numPr>
          <w:ilvl w:val="0"/>
          <w:numId w:val="2"/>
        </w:numPr>
        <w:spacing w:after="100" w:line="276"/>
      </w:pPr>
      <w:r>
        <w:rPr>
          <w:rFonts w:ascii="Arial" w:cs="Arial" w:eastAsia="Arial" w:hAnsi="Arial"/>
          <w:b/>
          <w:bCs/>
          <w:sz w:val="22"/>
          <w:szCs w:val="22"/>
        </w:rPr>
        <w:t xml:space="preserve">Refactor into a unified pipeline: </w:t>
      </w:r>
      <w:r>
        <w:rPr>
          <w:rFonts w:ascii="Arial" w:cs="Arial" w:eastAsia="Arial" w:hAnsi="Arial"/>
          <w:sz w:val="22"/>
          <w:szCs w:val="22"/>
        </w:rPr>
        <w:t xml:space="preserve">The current implementation uses one script per method with shared utilities. A connector script or lightweight orchestrator that runs all methods sequentially, collects results into a standardized comparison, and produces the cross-method analysis automatically would reduce manual coordination and make multi-disease runs practical.</w:t>
      </w:r>
    </w:p>
    <w:p>
      <w:pPr>
        <w:pStyle w:val="ListParagraph"/>
        <w:numPr>
          <w:ilvl w:val="0"/>
          <w:numId w:val="2"/>
        </w:numPr>
        <w:spacing w:after="100" w:line="276"/>
      </w:pPr>
      <w:r>
        <w:rPr>
          <w:rFonts w:ascii="Arial" w:cs="Arial" w:eastAsia="Arial" w:hAnsi="Arial"/>
          <w:b/>
          <w:bCs/>
          <w:sz w:val="22"/>
          <w:szCs w:val="22"/>
        </w:rPr>
        <w:t xml:space="preserve">Explore alternative feature aggregation strategies: </w:t>
      </w:r>
      <w:r>
        <w:rPr>
          <w:rFonts w:ascii="Arial" w:cs="Arial" w:eastAsia="Arial" w:hAnsi="Arial"/>
          <w:sz w:val="22"/>
          <w:szCs w:val="22"/>
        </w:rPr>
        <w:t xml:space="preserve">The current pipeline uses last-value aggregation (one row per patient). Alternatives include using multiple aggregate statistics (mean, min, max, trend) as separate features, or entering multiple CBC measurements as separate rows per case. Richer temporal representation may improve discrimination, particularly for conditions with progressive CBC changes.</w:t>
      </w:r>
    </w:p>
    <w:p>
      <w:pPr>
        <w:pStyle w:val="ListParagraph"/>
        <w:numPr>
          <w:ilvl w:val="0"/>
          <w:numId w:val="2"/>
        </w:numPr>
        <w:spacing w:after="200" w:line="276"/>
      </w:pPr>
      <w:r>
        <w:rPr>
          <w:rFonts w:ascii="Arial" w:cs="Arial" w:eastAsia="Arial" w:hAnsi="Arial"/>
          <w:b/>
          <w:bCs/>
          <w:sz w:val="22"/>
          <w:szCs w:val="22"/>
        </w:rPr>
        <w:t xml:space="preserve">Iterative LLM prompting: </w:t>
      </w:r>
      <w:r>
        <w:rPr>
          <w:rFonts w:ascii="Arial" w:cs="Arial" w:eastAsia="Arial" w:hAnsi="Arial"/>
          <w:sz w:val="22"/>
          <w:szCs w:val="22"/>
        </w:rPr>
        <w:t xml:space="preserve">The current LLM approach is single-shot (generate and evaluate). An iterative loop — LLM proposes formulas, pipeline evaluates them, results fed back to LLM — could bridge the gap between medical knowledge and data-driven optimization. Using LLM output as initialization for GP search is another promising hybrid approach.</w:t>
      </w:r>
    </w:p>
    <w:p>
      <w:pPr>
        <w:pStyle w:val="Heading1"/>
        <w:spacing w:after="120" w:before="360"/>
      </w:pPr>
      <w:r>
        <w:rPr>
          <w:rFonts w:ascii="Arial" w:cs="Arial" w:eastAsia="Arial" w:hAnsi="Arial"/>
        </w:rPr>
        <w:t xml:space="preserve">8. Technical Appendix</w:t>
      </w:r>
    </w:p>
    <w:p>
      <w:pPr>
        <w:pStyle w:val="Heading2"/>
        <w:spacing w:after="120" w:before="240"/>
      </w:pPr>
      <w:r>
        <w:rPr>
          <w:rFonts w:ascii="Arial" w:cs="Arial" w:eastAsia="Arial" w:hAnsi="Arial"/>
        </w:rPr>
        <w:t xml:space="preserve">8.1 Repository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GitHub</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ofekvs18/UnderGradProject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Local path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C:\Users\ofek\Downloads\gitRepos\Project\biomarker-pipeline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Language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Python 3.10+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Key libraries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pandas, scikit-learn, gplearn, matplotlib, transformers (GPU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Cluster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University SLURM cluster (GPU for Med-Gemma, CPU for GP large)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Experiment tracking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results/experiment_log.md (manual, per-method documentation)</w:t>
            </w:r>
          </w:p>
        </w:tc>
      </w:tr>
    </w:tbl>
    <w:p>
      <w:pPr>
        <w:spacing w:after="120" w:before="0" w:line="276"/>
      </w:pPr>
      <w:r>
        <w:rPr>
          <w:rFonts w:ascii="Arial" w:cs="Arial" w:eastAsia="Arial" w:hAnsi="Arial"/>
          <w:sz w:val="22"/>
          <w:szCs w:val="22"/>
        </w:rPr>
        <w:t xml:space="preserve"/>
      </w:r>
    </w:p>
    <w:p>
      <w:pPr>
        <w:pStyle w:val="Heading2"/>
        <w:spacing w:after="120" w:before="240"/>
      </w:pPr>
      <w:r>
        <w:rPr>
          <w:rFonts w:ascii="Arial" w:cs="Arial" w:eastAsia="Arial" w:hAnsi="Arial"/>
        </w:rPr>
        <w:t xml:space="preserve">8.2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File</w:t>
            </w:r>
          </w:p>
        </w:tc>
        <w:tc>
          <w:tcPr>
            <w:tcW w:type="dxa" w:w="55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src/utils.py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Shared: data loading, splits, metrics, formula evaluation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src/method_threshold.py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Method 1: literature + data-driven thresholds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src/method2_random_formula.py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Method 2: 10,000 random formula generation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src/method3_gp.py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Method 3: genetic programming with gplearn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src/method4_prompts.py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Method 4: prompt templates for Med-Gemma</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src/method4_generate.py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Method 4: GPU inference script (cluster)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src/method4_evaluate.py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Method 4: parse, validate, evaluate LLM formulas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results/experiment_log.md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Complete results log for all methods</w:t>
            </w:r>
          </w:p>
        </w:tc>
      </w:tr>
    </w:tbl>
    <w:p>
      <w:pPr>
        <w:spacing w:after="120" w:before="0" w:line="276"/>
      </w:pPr>
      <w:r>
        <w:rPr>
          <w:rFonts w:ascii="Arial" w:cs="Arial" w:eastAsia="Arial" w:hAnsi="Arial"/>
          <w:sz w:val="22"/>
          <w:szCs w:val="22"/>
        </w:rPr>
        <w:t xml:space="preserve"/>
      </w:r>
    </w:p>
    <w:p>
      <w:pPr>
        <w:pStyle w:val="Heading2"/>
        <w:spacing w:after="120" w:before="240"/>
      </w:pPr>
      <w:r>
        <w:rPr>
          <w:rFonts w:ascii="Arial" w:cs="Arial" w:eastAsia="Arial" w:hAnsi="Arial"/>
        </w:rPr>
        <w:t xml:space="preserve">8.3 Method 4 Parsing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Stage</w:t>
            </w:r>
          </w:p>
        </w:tc>
        <w:tc>
          <w:tcPr>
            <w:tcW w:type="dxa" w:w="38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8"/>
                <w:szCs w:val="18"/>
              </w:rPr>
              <w:t xml:space="preserve">Count</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Raw LLM inference calls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24 (6 configs × 4 repeats)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Candidate formulas extracted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110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Distinct formula strings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101</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Valid after eval (execute without errors)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98</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Unique after functional deduplication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94</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Overall yield (raw → evaluated)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85%</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579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2026-04-06T19:41:09.758Z</dcterms:created>
  <dcterms:modified xsi:type="dcterms:W3CDTF">2026-04-06T19:41:09.759Z</dcterms:modified>
</cp:coreProperties>
</file>

<file path=docProps/custom.xml><?xml version="1.0" encoding="utf-8"?>
<Properties xmlns="http://schemas.openxmlformats.org/officeDocument/2006/custom-properties" xmlns:vt="http://schemas.openxmlformats.org/officeDocument/2006/docPropsVTypes"/>
</file>