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E1B4B"/>
          <w:sz w:val="44"/>
          <w:szCs w:val="44"/>
        </w:rPr>
        <w:t xml:space="preserve">CHARTE GRAPHIQUE</w:t>
      </w:r>
    </w:p>
    <w:p>
      <w:pPr>
        <w:spacing w:after="800"/>
        <w:jc w:val="center"/>
      </w:pPr>
      <w:r>
        <w:rPr>
          <w:rFonts w:ascii="Inter" w:cs="Inter" w:eastAsia="Inter" w:hAnsi="Inter"/>
          <w:b/>
          <w:bCs/>
          <w:color w:val="4F46E5"/>
          <w:sz w:val="60"/>
          <w:szCs w:val="60"/>
        </w:rPr>
        <w:t xml:space="preserve">daeko</w:t>
      </w:r>
    </w:p>
    <w:p>
      <w:pPr>
        <w:spacing w:after="200"/>
        <w:jc w:val="center"/>
      </w:pPr>
      <w:r>
        <w:rPr>
          <w:i/>
          <w:iCs/>
          <w:color w:val="78716C"/>
          <w:sz w:val="24"/>
          <w:szCs w:val="24"/>
        </w:rPr>
        <w:t xml:space="preserve">La gestion scolaire, simplifiée</w:t>
      </w:r>
    </w:p>
    <w:p>
      <w:pPr>
        <w:spacing w:after="1600"/>
        <w:jc w:val="center"/>
      </w:pPr>
      <w:r>
        <w:rPr>
          <w:sz w:val="22"/>
          <w:szCs w:val="22"/>
        </w:rPr>
        <w:t xml:space="preserve">Plateforme multi-établissements de gestion des notes — Cameroun</w:t>
      </w:r>
    </w:p>
    <w:p>
      <w:pPr>
        <w:spacing w:after="120"/>
        <w:jc w:val="center"/>
      </w:pPr>
      <w:r>
        <w:rPr>
          <w:b/>
          <w:bCs/>
          <w:color w:val="4F46E5"/>
          <w:sz w:val="22"/>
          <w:szCs w:val="22"/>
        </w:rPr>
        <w:t xml:space="preserve">Version 1.0</w:t>
      </w:r>
    </w:p>
    <w:p>
      <w:pPr>
        <w:spacing w:after="120"/>
        <w:jc w:val="center"/>
      </w:pPr>
      <w:r>
        <w:rPr>
          <w:color w:val="78716C"/>
          <w:sz w:val="20"/>
          <w:szCs w:val="20"/>
        </w:rPr>
        <w:t xml:space="preserve">Référence : DAEKO-CG-1.0</w:t>
      </w:r>
    </w:p>
    <w:p>
      <w:r>
        <w:br w:type="page"/>
      </w:r>
    </w:p>
    <w:p>
      <w:pPr>
        <w:pStyle w:val="Heading1"/>
        <w:spacing w:after="200" w:before="360"/>
      </w:pPr>
      <w:r>
        <w:rPr>
          <w:b/>
          <w:bCs/>
          <w:color w:val="1E1B4B"/>
          <w:sz w:val="32"/>
          <w:szCs w:val="32"/>
        </w:rPr>
        <w:t xml:space="preserve">Sommaire</w:t>
      </w:r>
    </w:p>
    <w:p>
      <w:pPr>
        <w:spacing w:after="120"/>
      </w:pPr>
      <w:r>
        <w:t xml:space="preserve">1. Philosophie de la charte</w:t>
      </w:r>
    </w:p>
    <w:p>
      <w:pPr>
        <w:spacing w:after="120"/>
      </w:pPr>
      <w:r>
        <w:t xml:space="preserve">2. Identité de marque</w:t>
      </w:r>
    </w:p>
    <w:p>
      <w:pPr>
        <w:spacing w:after="120"/>
      </w:pPr>
      <w:r>
        <w:t xml:space="preserve">3. Système de couleurs</w:t>
      </w:r>
    </w:p>
    <w:p>
      <w:pPr>
        <w:spacing w:after="120"/>
      </w:pPr>
      <w:r>
        <w:t xml:space="preserve">4. Typographie</w:t>
      </w:r>
    </w:p>
    <w:p>
      <w:pPr>
        <w:spacing w:after="120"/>
      </w:pPr>
      <w:r>
        <w:t xml:space="preserve">5. Grille et espacements</w:t>
      </w:r>
    </w:p>
    <w:p>
      <w:pPr>
        <w:spacing w:after="120"/>
      </w:pPr>
      <w:r>
        <w:t xml:space="preserve">6. Bordures, coins et élévation</w:t>
      </w:r>
    </w:p>
    <w:p>
      <w:pPr>
        <w:spacing w:after="120"/>
      </w:pPr>
      <w:r>
        <w:t xml:space="preserve">7. Iconographie</w:t>
      </w:r>
    </w:p>
    <w:p>
      <w:pPr>
        <w:spacing w:after="120"/>
      </w:pPr>
      <w:r>
        <w:t xml:space="preserve">8. Composants d'interface</w:t>
      </w:r>
    </w:p>
    <w:p>
      <w:pPr>
        <w:spacing w:after="120"/>
      </w:pPr>
      <w:r>
        <w:t xml:space="preserve">9. États et interactions</w:t>
      </w:r>
    </w:p>
    <w:p>
      <w:pPr>
        <w:spacing w:after="120"/>
      </w:pPr>
      <w:r>
        <w:t xml:space="preserve">10. Motifs de contenu</w:t>
      </w:r>
    </w:p>
    <w:p>
      <w:pPr>
        <w:spacing w:after="120"/>
      </w:pPr>
      <w:r>
        <w:t xml:space="preserve">11. Mode sombre</w:t>
      </w:r>
    </w:p>
    <w:p>
      <w:pPr>
        <w:spacing w:after="120"/>
      </w:pPr>
      <w:r>
        <w:t xml:space="preserve">12. Application aux écrans clés</w:t>
      </w:r>
    </w:p>
    <w:p>
      <w:pPr>
        <w:spacing w:after="120"/>
      </w:pPr>
      <w:r>
        <w:t xml:space="preserve">13. Accessibilité et bonnes pratiques</w:t>
      </w:r>
    </w:p>
    <w:p>
      <w:pPr>
        <w:spacing w:after="120"/>
      </w:pPr>
      <w:r>
        <w:t xml:space="preserve">14. Ressources et livrables</w:t>
      </w:r>
    </w:p>
    <w:p>
      <w:r>
        <w:br w:type="page"/>
      </w:r>
    </w:p>
    <w:p>
      <w:pPr>
        <w:pStyle w:val="Heading1"/>
        <w:spacing w:after="200" w:before="360"/>
      </w:pPr>
      <w:r>
        <w:rPr>
          <w:b/>
          <w:bCs/>
          <w:color w:val="1E1B4B"/>
          <w:sz w:val="32"/>
          <w:szCs w:val="32"/>
        </w:rPr>
        <w:t xml:space="preserve">1. Philosophie de la charte</w:t>
      </w:r>
    </w:p>
    <w:p>
      <w:pPr>
        <w:spacing w:after="120" w:line="300"/>
      </w:pPr>
      <w:r>
        <w:t xml:space="preserve">Daeko est une plateforme utilisée quotidiennement par les administrateurs d'établissements scolaires camerounais, souvent sur du matériel modeste et avec une connectivité irrégulière. La charte graphique doit servir trois objectifs simultanés qui structurent chaque décision qui suit.</w:t>
      </w:r>
    </w:p>
    <w:p>
      <w:pPr>
        <w:pStyle w:val="Heading3"/>
        <w:spacing w:after="120" w:before="220"/>
      </w:pPr>
      <w:r>
        <w:rPr>
          <w:b/>
          <w:bCs/>
          <w:color w:val="4F46E5"/>
          <w:sz w:val="22"/>
          <w:szCs w:val="22"/>
        </w:rPr>
        <w:t xml:space="preserve">Lisibilité avant tout</w:t>
      </w:r>
    </w:p>
    <w:p>
      <w:pPr>
        <w:spacing w:after="120" w:line="300"/>
      </w:pPr>
      <w:r>
        <w:t xml:space="preserve">Un administrateur qui prépare la rentrée à 22h sur une tablette d'ancienne génération doit pouvoir scanner une matrice de coefficients sans effort. Chaque choix de taille de texte, de contraste et d'espacement est arbitré en priorité en fonction de ce critère, jamais en fonction de l'esthétique pure.</w:t>
      </w:r>
    </w:p>
    <w:p>
      <w:pPr>
        <w:pStyle w:val="Heading3"/>
        <w:spacing w:after="120" w:before="220"/>
      </w:pPr>
      <w:r>
        <w:rPr>
          <w:b/>
          <w:bCs/>
          <w:color w:val="4F46E5"/>
          <w:sz w:val="22"/>
          <w:szCs w:val="22"/>
        </w:rPr>
        <w:t xml:space="preserve">Sensation de produit moderne, sans effet gratuit</w:t>
      </w:r>
    </w:p>
    <w:p>
      <w:pPr>
        <w:spacing w:after="120" w:line="300"/>
      </w:pPr>
      <w:r>
        <w:t xml:space="preserve">L'interface doit donner immédiatement la sensation d'un outil actuel et bien conçu — pas d'un logiciel administratif des années 2010, mais pas non plus d'une démo tape-à-l'œil. Aucun dégradé complexe, aucune animation coûteuse, aucun effet visuel qui alourdit le rendu sur un ordinateur d'entrée de gamme.</w:t>
      </w:r>
    </w:p>
    <w:p>
      <w:pPr>
        <w:pStyle w:val="Heading3"/>
        <w:spacing w:after="120" w:before="220"/>
      </w:pPr>
      <w:r>
        <w:rPr>
          <w:b/>
          <w:bCs/>
          <w:color w:val="4F46E5"/>
          <w:sz w:val="22"/>
          <w:szCs w:val="22"/>
        </w:rPr>
        <w:t xml:space="preserve">Neutralité culturelle et bilingue</w:t>
      </w:r>
    </w:p>
    <w:p>
      <w:pPr>
        <w:spacing w:after="120" w:line="300"/>
      </w:pPr>
      <w:r>
        <w:t xml:space="preserve">Rien dans la charte ne doit privilégier visuellement le sous-système francophone ou anglophone. Aucun symbole culturellement marqué, aucune imagerie qui daterait ou situerait géographiquement le produit.</w:t>
      </w:r>
    </w:p>
    <w:p>
      <w:pPr>
        <w:spacing w:after="120" w:line="300"/>
      </w:pPr>
      <w:r>
        <w:t xml:space="preserve">Ces trois principes sont prioritaires sur tout ce qui suit. En cas de doute, ils tranchent.</w:t>
      </w:r>
    </w:p>
    <w:p>
      <w:r>
        <w:br w:type="page"/>
      </w:r>
    </w:p>
    <w:p>
      <w:pPr>
        <w:pStyle w:val="Heading1"/>
        <w:spacing w:after="200" w:before="360"/>
      </w:pPr>
      <w:r>
        <w:rPr>
          <w:b/>
          <w:bCs/>
          <w:color w:val="1E1B4B"/>
          <w:sz w:val="32"/>
          <w:szCs w:val="32"/>
        </w:rPr>
        <w:t xml:space="preserve">2. Identité de marque</w:t>
      </w:r>
    </w:p>
    <w:p>
      <w:pPr>
        <w:pStyle w:val="Heading2"/>
        <w:spacing w:after="160" w:before="280"/>
      </w:pPr>
      <w:r>
        <w:rPr>
          <w:b/>
          <w:bCs/>
          <w:color w:val="4F46E5"/>
          <w:sz w:val="26"/>
          <w:szCs w:val="26"/>
        </w:rPr>
        <w:t xml:space="preserve">2.1 Le nom</w:t>
      </w:r>
    </w:p>
    <w:p>
      <w:pPr>
        <w:spacing w:after="120" w:line="300"/>
      </w:pPr>
      <w:r>
        <w:t xml:space="preserve">Le nom du produit est </w:t>
      </w:r>
      <w:r>
        <w:rPr>
          <w:b/>
          <w:bCs/>
        </w:rPr>
        <w:t xml:space="preserve">Daeko</w:t>
      </w:r>
      <w:r>
        <w:t xml:space="preserve">, systématiquement écrit </w:t>
      </w:r>
      <w:r>
        <w:rPr>
          <w:b/>
          <w:bCs/>
        </w:rPr>
        <w:t xml:space="preserve">en minuscules</w:t>
      </w:r>
      <w:r>
        <w:t xml:space="preserve"> dans les usages typographiques (</w:t>
      </w:r>
      <w:r>
        <w:rPr>
          <w:rFonts w:ascii="Consolas" w:cs="Consolas" w:eastAsia="Consolas" w:hAnsi="Consolas"/>
        </w:rPr>
        <w:t xml:space="preserve">daeko</w:t>
      </w:r>
      <w:r>
        <w:t xml:space="preserve">), sauf en début de phrase où il porte une majuscule initiale (</w:t>
      </w:r>
      <w:r>
        <w:rPr>
          <w:rFonts w:ascii="Consolas" w:cs="Consolas" w:eastAsia="Consolas" w:hAnsi="Consolas"/>
        </w:rPr>
        <w:t xml:space="preserve">Daeko</w:t>
      </w:r>
      <w:r>
        <w:t xml:space="preserve">). Ce choix renforce la sensation moderne et l'aligne avec les standards actuels des plateformes SaaS. Il ne doit jamais apparaître en capitales (</w:t>
      </w:r>
      <w:r>
        <w:rPr>
          <w:rFonts w:ascii="Consolas" w:cs="Consolas" w:eastAsia="Consolas" w:hAnsi="Consolas"/>
        </w:rPr>
        <w:t xml:space="preserve">DAEKO</w:t>
      </w:r>
      <w:r>
        <w:t xml:space="preserve">).</w:t>
      </w:r>
    </w:p>
    <w:p>
      <w:pPr>
        <w:pStyle w:val="Heading2"/>
        <w:spacing w:after="160" w:before="280"/>
      </w:pPr>
      <w:r>
        <w:rPr>
          <w:b/>
          <w:bCs/>
          <w:color w:val="4F46E5"/>
          <w:sz w:val="26"/>
          <w:szCs w:val="26"/>
        </w:rPr>
        <w:t xml:space="preserve">2.2 Le monogramme</w:t>
      </w:r>
    </w:p>
    <w:p>
      <w:pPr>
        <w:spacing w:after="120" w:line="300"/>
      </w:pPr>
      <w:r>
        <w:t xml:space="preserve">Le logo principal est un monogramme géométrique : un carré aux coins arrondis contenant la lettre D stylisée.</w:t>
      </w:r>
    </w:p>
    <w:p>
      <w:pPr>
        <w:spacing w:after="120" w:line="300"/>
      </w:pPr>
      <w:r>
        <w:rPr>
          <w:b/>
          <w:bCs/>
        </w:rPr>
        <w:t xml:space="preserve">Spécifications techniques :</w:t>
      </w:r>
    </w:p>
    <w:p>
      <w:pPr>
        <w:pStyle w:val="ListParagraph"/>
        <w:numPr>
          <w:ilvl w:val="0"/>
          <w:numId w:val="2"/>
        </w:numPr>
        <w:spacing w:after="80"/>
      </w:pPr>
      <w:r>
        <w:t xml:space="preserve">Format : carré à coins arrondis</w:t>
      </w:r>
    </w:p>
    <w:p>
      <w:pPr>
        <w:pStyle w:val="ListParagraph"/>
        <w:numPr>
          <w:ilvl w:val="0"/>
          <w:numId w:val="2"/>
        </w:numPr>
        <w:spacing w:after="80"/>
      </w:pPr>
      <w:r>
        <w:t xml:space="preserve">Rayon des coins : 20% de la taille du carré (ex. 8px de rayon pour un carré de 40px)</w:t>
      </w:r>
    </w:p>
    <w:p>
      <w:pPr>
        <w:pStyle w:val="ListParagraph"/>
        <w:numPr>
          <w:ilvl w:val="0"/>
          <w:numId w:val="2"/>
        </w:numPr>
        <w:spacing w:after="80"/>
      </w:pPr>
      <w:r>
        <w:t xml:space="preserve">Fond : Indigo Daeko (voir palette)</w:t>
      </w:r>
    </w:p>
    <w:p>
      <w:pPr>
        <w:pStyle w:val="ListParagraph"/>
        <w:numPr>
          <w:ilvl w:val="0"/>
          <w:numId w:val="2"/>
        </w:numPr>
        <w:spacing w:after="80"/>
      </w:pPr>
      <w:r>
        <w:t xml:space="preserve">Lettre D : blanc pur en mode clair, Indigo profond #1E1B4B en mode sombre</w:t>
      </w:r>
    </w:p>
    <w:p>
      <w:pPr>
        <w:pStyle w:val="ListParagraph"/>
        <w:numPr>
          <w:ilvl w:val="0"/>
          <w:numId w:val="2"/>
        </w:numPr>
        <w:spacing w:after="80"/>
      </w:pPr>
      <w:r>
        <w:t xml:space="preserve">Trait de la lettre : géométrique, sans empattement, épaisseur constante</w:t>
      </w:r>
    </w:p>
    <w:p>
      <w:pPr>
        <w:spacing w:after="120" w:line="300"/>
      </w:pPr>
      <w:r>
        <w:rPr>
          <w:b/>
          <w:bCs/>
        </w:rPr>
        <w:t xml:space="preserve">Tailles minimales d'usage :</w:t>
      </w:r>
    </w:p>
    <w:p>
      <w:pPr>
        <w:pStyle w:val="ListParagraph"/>
        <w:numPr>
          <w:ilvl w:val="0"/>
          <w:numId w:val="2"/>
        </w:numPr>
        <w:spacing w:after="80"/>
      </w:pPr>
      <w:r>
        <w:t xml:space="preserve">Favicon : 16 × 16 pixels</w:t>
      </w:r>
    </w:p>
    <w:p>
      <w:pPr>
        <w:pStyle w:val="ListParagraph"/>
        <w:numPr>
          <w:ilvl w:val="0"/>
          <w:numId w:val="2"/>
        </w:numPr>
        <w:spacing w:after="80"/>
      </w:pPr>
      <w:r>
        <w:t xml:space="preserve">Interface : 24 × 24 pixels minimum</w:t>
      </w:r>
    </w:p>
    <w:p>
      <w:pPr>
        <w:pStyle w:val="ListParagraph"/>
        <w:numPr>
          <w:ilvl w:val="0"/>
          <w:numId w:val="2"/>
        </w:numPr>
        <w:spacing w:after="80"/>
      </w:pPr>
      <w:r>
        <w:t xml:space="preserve">Documents imprimés : 8 mm de côté minimum</w:t>
      </w:r>
    </w:p>
    <w:p>
      <w:pPr>
        <w:pStyle w:val="ListParagraph"/>
        <w:numPr>
          <w:ilvl w:val="0"/>
          <w:numId w:val="2"/>
        </w:numPr>
        <w:spacing w:after="80"/>
      </w:pPr>
      <w:r>
        <w:t xml:space="preserve">Impression sur bulletin officiel : 12 mm de côté</w:t>
      </w:r>
    </w:p>
    <w:p>
      <w:pPr>
        <w:spacing w:after="120" w:line="300"/>
      </w:pPr>
      <w:r>
        <w:rPr>
          <w:b/>
          <w:bCs/>
        </w:rPr>
        <w:t xml:space="preserve">Zone de protection : </w:t>
      </w:r>
      <w:r>
        <w:t xml:space="preserve">aucun élément graphique ou texte ne doit se rapprocher du logo à moins d'une distance égale à 25% de sa taille (soit 10px de marge pour un logo de 40px).</w:t>
      </w:r>
    </w:p>
    <w:p>
      <w:pPr>
        <w:pStyle w:val="Heading2"/>
        <w:spacing w:after="160" w:before="280"/>
      </w:pPr>
      <w:r>
        <w:rPr>
          <w:b/>
          <w:bCs/>
          <w:color w:val="4F46E5"/>
          <w:sz w:val="26"/>
          <w:szCs w:val="26"/>
        </w:rPr>
        <w:t xml:space="preserve">2.3 Le mot-symbole</w:t>
      </w:r>
    </w:p>
    <w:p>
      <w:pPr>
        <w:spacing w:after="120" w:line="300"/>
      </w:pPr>
      <w:r>
        <w:t xml:space="preserve">Le nom daeko écrit typographiquement suit ces règles :</w:t>
      </w:r>
    </w:p>
    <w:p>
      <w:pPr>
        <w:pStyle w:val="ListParagraph"/>
        <w:numPr>
          <w:ilvl w:val="0"/>
          <w:numId w:val="2"/>
        </w:numPr>
        <w:spacing w:after="80"/>
      </w:pPr>
      <w:r>
        <w:t xml:space="preserve">Police : Inter, graisse Medium (500)</w:t>
      </w:r>
    </w:p>
    <w:p>
      <w:pPr>
        <w:pStyle w:val="ListParagraph"/>
        <w:numPr>
          <w:ilvl w:val="0"/>
          <w:numId w:val="2"/>
        </w:numPr>
        <w:spacing w:after="80"/>
      </w:pPr>
      <w:r>
        <w:t xml:space="preserve">Casse : minuscules</w:t>
      </w:r>
    </w:p>
    <w:p>
      <w:pPr>
        <w:pStyle w:val="ListParagraph"/>
        <w:numPr>
          <w:ilvl w:val="0"/>
          <w:numId w:val="2"/>
        </w:numPr>
        <w:spacing w:after="80"/>
      </w:pPr>
      <w:r>
        <w:t xml:space="preserve">Espacement des lettres : -2% (letter-spacing serré)</w:t>
      </w:r>
    </w:p>
    <w:p>
      <w:pPr>
        <w:pStyle w:val="ListParagraph"/>
        <w:numPr>
          <w:ilvl w:val="0"/>
          <w:numId w:val="2"/>
        </w:numPr>
        <w:spacing w:after="80"/>
      </w:pPr>
      <w:r>
        <w:t xml:space="preserve">Couleur : Texte fort de la palette (jamais l'indigo)</w:t>
      </w:r>
    </w:p>
    <w:p>
      <w:pPr>
        <w:pStyle w:val="Heading2"/>
        <w:spacing w:after="160" w:before="280"/>
      </w:pPr>
      <w:r>
        <w:rPr>
          <w:b/>
          <w:bCs/>
          <w:color w:val="4F46E5"/>
          <w:sz w:val="26"/>
          <w:szCs w:val="26"/>
        </w:rPr>
        <w:t xml:space="preserve">2.4 Composition logo et mot-symbole</w:t>
      </w:r>
    </w:p>
    <w:p>
      <w:pPr>
        <w:spacing w:after="120" w:line="300"/>
      </w:pPr>
      <w:r>
        <w:t xml:space="preserve">Lorsque le monogramme et le mot-symbole apparaissent ensemble (page de connexion, en-tête de document officiel), ils sont alignés horizontalement, séparés par un espace égal à 35% de la hauteur du monogramme. Le mot-symbole a une hauteur d'x égale à 65% de la hauteur du monogramme.</w:t>
      </w:r>
    </w:p>
    <w:p>
      <w:pPr>
        <w:pStyle w:val="Heading2"/>
        <w:spacing w:after="160" w:before="280"/>
      </w:pPr>
      <w:r>
        <w:rPr>
          <w:b/>
          <w:bCs/>
          <w:color w:val="4F46E5"/>
          <w:sz w:val="26"/>
          <w:szCs w:val="26"/>
        </w:rPr>
        <w:t xml:space="preserve">2.5 Signature</w:t>
      </w:r>
    </w:p>
    <w:p>
      <w:pPr>
        <w:spacing w:after="120" w:line="300"/>
      </w:pPr>
      <w:r>
        <w:t xml:space="preserve">En dessous du logo composé, une signature en texte doux peut apparaître : « La gestion scolaire, simplifiée ». Elle utilise Inter Regular 13px et se cale à gauche sur le mot-symbole, jamais sur le monogramme.</w:t>
      </w:r>
    </w:p>
    <w:p>
      <w:r>
        <w:br w:type="page"/>
      </w:r>
    </w:p>
    <w:p>
      <w:pPr>
        <w:pStyle w:val="Heading1"/>
        <w:spacing w:after="200" w:before="360"/>
      </w:pPr>
      <w:r>
        <w:rPr>
          <w:b/>
          <w:bCs/>
          <w:color w:val="1E1B4B"/>
          <w:sz w:val="32"/>
          <w:szCs w:val="32"/>
        </w:rPr>
        <w:t xml:space="preserve">3. Système de couleurs</w:t>
      </w:r>
    </w:p>
    <w:p>
      <w:pPr>
        <w:pStyle w:val="Heading2"/>
        <w:spacing w:after="160" w:before="280"/>
      </w:pPr>
      <w:r>
        <w:rPr>
          <w:b/>
          <w:bCs/>
          <w:color w:val="4F46E5"/>
          <w:sz w:val="26"/>
          <w:szCs w:val="26"/>
        </w:rPr>
        <w:t xml:space="preserve">3.1 Palette principale — Indigo Daeko</w:t>
      </w:r>
    </w:p>
    <w:p>
      <w:pPr>
        <w:spacing w:after="120" w:line="300"/>
      </w:pPr>
      <w:r>
        <w:t xml:space="preserve">L'Indigo Daeko est la couleur d'identité du produit. Elle porte l'action primaire, les liens actifs, les focus rings et le monogramme. Elle n'est jamais utilisée en aplat de fond sur des surfaces larges — sa saturation est trop forte pour cet usage.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4F46E5" w:color="auto" w:val="clear"/>
            <w:tcMar>
              <w:top w:type="dxa" w:w="200"/>
              <w:left w:type="dxa" w:w="200"/>
              <w:bottom w:type="dxa" w:w="200"/>
              <w:right w:type="dxa" w:w="200"/>
            </w:tcMar>
          </w:tcPr>
          <w:p>
            <w:pPr>
              <w:spacing w:after="0"/>
            </w:pPr>
            <w:r>
              <w:rPr>
                <w:b/>
                <w:bCs/>
                <w:color w:val="FFFFFF"/>
                <w:sz w:val="20"/>
                <w:szCs w:val="20"/>
              </w:rPr>
              <w:t xml:space="preserve">Indigo Daeko</w:t>
            </w:r>
          </w:p>
          <w:p>
            <w:pPr>
              <w:spacing w:after="0"/>
            </w:pPr>
            <w:r>
              <w:rPr>
                <w:rFonts w:ascii="Consolas" w:cs="Consolas" w:eastAsia="Consolas" w:hAnsi="Consolas"/>
                <w:color w:val="FFFFFF"/>
                <w:sz w:val="18"/>
                <w:szCs w:val="18"/>
              </w:rPr>
              <w:t xml:space="preserve">#4F46E5</w:t>
            </w:r>
          </w:p>
        </w:tc>
        <w:tc>
          <w:tcPr>
            <w:tcW w:type="dxa" w:w="3000"/>
            <w:shd w:fill="EEF2FF" w:color="auto" w:val="clear"/>
            <w:tcMar>
              <w:top w:type="dxa" w:w="200"/>
              <w:left w:type="dxa" w:w="200"/>
              <w:bottom w:type="dxa" w:w="200"/>
              <w:right w:type="dxa" w:w="200"/>
            </w:tcMar>
          </w:tcPr>
          <w:p>
            <w:pPr>
              <w:spacing w:after="0"/>
            </w:pPr>
            <w:r>
              <w:rPr>
                <w:b/>
                <w:bCs/>
                <w:color w:val="1E1B4B"/>
                <w:sz w:val="20"/>
                <w:szCs w:val="20"/>
              </w:rPr>
              <w:t xml:space="preserve">Indigo léger</w:t>
            </w:r>
          </w:p>
          <w:p>
            <w:pPr>
              <w:spacing w:after="0"/>
            </w:pPr>
            <w:r>
              <w:rPr>
                <w:rFonts w:ascii="Consolas" w:cs="Consolas" w:eastAsia="Consolas" w:hAnsi="Consolas"/>
                <w:color w:val="1E1B4B"/>
                <w:sz w:val="18"/>
                <w:szCs w:val="18"/>
              </w:rPr>
              <w:t xml:space="preserve">#EEF2FF</w:t>
            </w:r>
          </w:p>
        </w:tc>
        <w:tc>
          <w:tcPr>
            <w:tcW w:type="dxa" w:w="3000"/>
            <w:shd w:fill="1E1B4B" w:color="auto" w:val="clear"/>
            <w:tcMar>
              <w:top w:type="dxa" w:w="200"/>
              <w:left w:type="dxa" w:w="200"/>
              <w:bottom w:type="dxa" w:w="200"/>
              <w:right w:type="dxa" w:w="200"/>
            </w:tcMar>
          </w:tcPr>
          <w:p>
            <w:pPr>
              <w:spacing w:after="0"/>
            </w:pPr>
            <w:r>
              <w:rPr>
                <w:b/>
                <w:bCs/>
                <w:color w:val="FFFFFF"/>
                <w:sz w:val="20"/>
                <w:szCs w:val="20"/>
              </w:rPr>
              <w:t xml:space="preserve">Indigo profond</w:t>
            </w:r>
          </w:p>
          <w:p>
            <w:pPr>
              <w:spacing w:after="0"/>
            </w:pPr>
            <w:r>
              <w:rPr>
                <w:rFonts w:ascii="Consolas" w:cs="Consolas" w:eastAsia="Consolas" w:hAnsi="Consolas"/>
                <w:color w:val="FFFFFF"/>
                <w:sz w:val="18"/>
                <w:szCs w:val="18"/>
              </w:rPr>
              <w:t xml:space="preserve">#1E1B4B</w:t>
            </w:r>
          </w:p>
        </w:tc>
      </w:tr>
      <w:tr>
        <w:tc>
          <w:tcPr>
            <w:tcW w:type="dxa" w:w="3000"/>
            <w:tcMar>
              <w:top w:type="dxa" w:w="100"/>
              <w:left w:type="dxa" w:w="120"/>
              <w:bottom w:type="dxa" w:w="100"/>
              <w:right w:type="dxa" w:w="120"/>
            </w:tcMar>
          </w:tcPr>
          <w:p>
            <w:pPr>
              <w:spacing w:after="0"/>
            </w:pPr>
            <w:r>
              <w:rPr>
                <w:color w:val="1C1917"/>
                <w:sz w:val="18"/>
                <w:szCs w:val="18"/>
              </w:rPr>
              <w:t xml:space="preserve">Action primaire, liens actifs, focus</w:t>
            </w:r>
          </w:p>
        </w:tc>
        <w:tc>
          <w:tcPr>
            <w:tcW w:type="dxa" w:w="3000"/>
            <w:tcMar>
              <w:top w:type="dxa" w:w="100"/>
              <w:left w:type="dxa" w:w="120"/>
              <w:bottom w:type="dxa" w:w="100"/>
              <w:right w:type="dxa" w:w="120"/>
            </w:tcMar>
          </w:tcPr>
          <w:p>
            <w:pPr>
              <w:spacing w:after="0"/>
            </w:pPr>
            <w:r>
              <w:rPr>
                <w:color w:val="1C1917"/>
                <w:sz w:val="18"/>
                <w:szCs w:val="18"/>
              </w:rPr>
              <w:t xml:space="preserve">Fond de badge officiel, hover discret</w:t>
            </w:r>
          </w:p>
        </w:tc>
        <w:tc>
          <w:tcPr>
            <w:tcW w:type="dxa" w:w="3000"/>
            <w:tcMar>
              <w:top w:type="dxa" w:w="100"/>
              <w:left w:type="dxa" w:w="120"/>
              <w:bottom w:type="dxa" w:w="100"/>
              <w:right w:type="dxa" w:w="120"/>
            </w:tcMar>
          </w:tcPr>
          <w:p>
            <w:pPr>
              <w:spacing w:after="0"/>
            </w:pPr>
            <w:r>
              <w:rPr>
                <w:color w:val="1C1917"/>
                <w:sz w:val="18"/>
                <w:szCs w:val="18"/>
              </w:rPr>
              <w:t xml:space="preserve">Texte sur bouton primaire (dark), textes d'accent</w:t>
            </w:r>
          </w:p>
        </w:tc>
      </w:tr>
    </w:tbl>
    <w:p>
      <w:pPr>
        <w:spacing w:after="120" w:line="300"/>
      </w:pPr>
      <w:r>
        <w:rPr>
          <w:b/>
          <w:bCs/>
        </w:rPr>
        <w:t xml:space="preserve">Règle absolue : </w:t>
      </w:r>
      <w:r>
        <w:t xml:space="preserve">n'utiliser que ces trois teintes, jamais une valeur intermédiaire non listée.</w:t>
      </w:r>
    </w:p>
    <w:p>
      <w:pPr>
        <w:pStyle w:val="Heading2"/>
        <w:spacing w:after="160" w:before="280"/>
      </w:pPr>
      <w:r>
        <w:rPr>
          <w:b/>
          <w:bCs/>
          <w:color w:val="4F46E5"/>
          <w:sz w:val="26"/>
          <w:szCs w:val="26"/>
        </w:rPr>
        <w:t xml:space="preserve">3.2 Neutres — mode clair</w:t>
      </w:r>
    </w:p>
    <w:p>
      <w:pPr>
        <w:spacing w:after="120" w:line="300"/>
      </w:pPr>
      <w:r>
        <w:t xml:space="preserve">Les neutres portent 90% de la surface de l'interface. Ils sont volontairement chauds (nuances de gris tirant légèrement vers le beige) plutôt que froids, pour donner une sensation moins clinique qu'un pur gris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2000"/>
            <w:shd w:fill="EEF2FF" w:color="auto" w:val="clear"/>
            <w:tcMar>
              <w:top w:type="dxa" w:w="100"/>
              <w:left w:type="dxa" w:w="120"/>
              <w:bottom w:type="dxa" w:w="100"/>
              <w:right w:type="dxa" w:w="120"/>
            </w:tcMar>
          </w:tcPr>
          <w:p>
            <w:pPr>
              <w:spacing w:after="0"/>
            </w:pPr>
            <w:r>
              <w:rPr>
                <w:b/>
                <w:bCs/>
                <w:color w:val="1E1B4B"/>
                <w:sz w:val="20"/>
                <w:szCs w:val="20"/>
              </w:rPr>
              <w:t xml:space="preserve">Hex</w:t>
            </w:r>
          </w:p>
        </w:tc>
        <w:tc>
          <w:tcPr>
            <w:tcW w:type="dxa" w:w="4600"/>
            <w:shd w:fill="EEF2FF" w:color="auto" w:val="clear"/>
            <w:tcMar>
              <w:top w:type="dxa" w:w="100"/>
              <w:left w:type="dxa" w:w="120"/>
              <w:bottom w:type="dxa" w:w="100"/>
              <w:right w:type="dxa" w:w="120"/>
            </w:tcMar>
          </w:tcPr>
          <w:p>
            <w:pPr>
              <w:spacing w:after="0"/>
            </w:pPr>
            <w:r>
              <w:rPr>
                <w:b/>
                <w:bCs/>
                <w:color w:val="1E1B4B"/>
                <w:sz w:val="20"/>
                <w:szCs w:val="20"/>
              </w:rPr>
              <w:t xml:space="preserve">Usage</w:t>
            </w:r>
          </w:p>
        </w:tc>
      </w:tr>
      <w:tr>
        <w:tc>
          <w:tcPr>
            <w:tcW w:type="dxa" w:w="2400"/>
            <w:tcMar>
              <w:top w:type="dxa" w:w="100"/>
              <w:left w:type="dxa" w:w="120"/>
              <w:bottom w:type="dxa" w:w="100"/>
              <w:right w:type="dxa" w:w="120"/>
            </w:tcMar>
          </w:tcPr>
          <w:p>
            <w:pPr>
              <w:spacing w:after="0"/>
            </w:pPr>
            <w:r>
              <w:rPr>
                <w:color w:val="1C1917"/>
                <w:sz w:val="20"/>
                <w:szCs w:val="20"/>
              </w:rPr>
              <w:t xml:space="preserve">Fond page</w:t>
            </w:r>
          </w:p>
        </w:tc>
        <w:tc>
          <w:tcPr>
            <w:tcW w:type="dxa" w:w="2000"/>
            <w:tcMar>
              <w:top w:type="dxa" w:w="100"/>
              <w:left w:type="dxa" w:w="120"/>
              <w:bottom w:type="dxa" w:w="100"/>
              <w:right w:type="dxa" w:w="120"/>
            </w:tcMar>
          </w:tcPr>
          <w:p>
            <w:pPr>
              <w:spacing w:after="0"/>
            </w:pPr>
            <w:r>
              <w:rPr>
                <w:color w:val="1C1917"/>
                <w:sz w:val="20"/>
                <w:szCs w:val="20"/>
              </w:rPr>
              <w:t xml:space="preserve">#FAFAF9</w:t>
            </w:r>
          </w:p>
        </w:tc>
        <w:tc>
          <w:tcPr>
            <w:tcW w:type="dxa" w:w="4600"/>
            <w:tcMar>
              <w:top w:type="dxa" w:w="100"/>
              <w:left w:type="dxa" w:w="120"/>
              <w:bottom w:type="dxa" w:w="100"/>
              <w:right w:type="dxa" w:w="120"/>
            </w:tcMar>
          </w:tcPr>
          <w:p>
            <w:pPr>
              <w:spacing w:after="0"/>
            </w:pPr>
            <w:r>
              <w:rPr>
                <w:color w:val="1C1917"/>
                <w:sz w:val="20"/>
                <w:szCs w:val="20"/>
              </w:rPr>
              <w:t xml:space="preserve">Canevas principal de l'application</w:t>
            </w:r>
          </w:p>
        </w:tc>
      </w:tr>
      <w:tr>
        <w:tc>
          <w:tcPr>
            <w:tcW w:type="dxa" w:w="2400"/>
            <w:tcMar>
              <w:top w:type="dxa" w:w="100"/>
              <w:left w:type="dxa" w:w="120"/>
              <w:bottom w:type="dxa" w:w="100"/>
              <w:right w:type="dxa" w:w="120"/>
            </w:tcMar>
          </w:tcPr>
          <w:p>
            <w:pPr>
              <w:spacing w:after="0"/>
            </w:pPr>
            <w:r>
              <w:rPr>
                <w:color w:val="1C1917"/>
                <w:sz w:val="20"/>
                <w:szCs w:val="20"/>
              </w:rPr>
              <w:t xml:space="preserve">Surface carte</w:t>
            </w:r>
          </w:p>
        </w:tc>
        <w:tc>
          <w:tcPr>
            <w:tcW w:type="dxa" w:w="2000"/>
            <w:tcMar>
              <w:top w:type="dxa" w:w="100"/>
              <w:left w:type="dxa" w:w="120"/>
              <w:bottom w:type="dxa" w:w="100"/>
              <w:right w:type="dxa" w:w="120"/>
            </w:tcMar>
          </w:tcPr>
          <w:p>
            <w:pPr>
              <w:spacing w:after="0"/>
            </w:pPr>
            <w:r>
              <w:rPr>
                <w:color w:val="1C1917"/>
                <w:sz w:val="20"/>
                <w:szCs w:val="20"/>
              </w:rPr>
              <w:t xml:space="preserve">#FFFFFF</w:t>
            </w:r>
          </w:p>
        </w:tc>
        <w:tc>
          <w:tcPr>
            <w:tcW w:type="dxa" w:w="4600"/>
            <w:tcMar>
              <w:top w:type="dxa" w:w="100"/>
              <w:left w:type="dxa" w:w="120"/>
              <w:bottom w:type="dxa" w:w="100"/>
              <w:right w:type="dxa" w:w="120"/>
            </w:tcMar>
          </w:tcPr>
          <w:p>
            <w:pPr>
              <w:spacing w:after="0"/>
            </w:pPr>
            <w:r>
              <w:rPr>
                <w:color w:val="1C1917"/>
                <w:sz w:val="20"/>
                <w:szCs w:val="20"/>
              </w:rPr>
              <w:t xml:space="preserve">Cartes, panneaux, dialogues</w:t>
            </w:r>
          </w:p>
        </w:tc>
      </w:tr>
      <w:tr>
        <w:tc>
          <w:tcPr>
            <w:tcW w:type="dxa" w:w="2400"/>
            <w:tcMar>
              <w:top w:type="dxa" w:w="100"/>
              <w:left w:type="dxa" w:w="120"/>
              <w:bottom w:type="dxa" w:w="100"/>
              <w:right w:type="dxa" w:w="120"/>
            </w:tcMar>
          </w:tcPr>
          <w:p>
            <w:pPr>
              <w:spacing w:after="0"/>
            </w:pPr>
            <w:r>
              <w:rPr>
                <w:color w:val="1C1917"/>
                <w:sz w:val="20"/>
                <w:szCs w:val="20"/>
              </w:rPr>
              <w:t xml:space="preserve">Bordure</w:t>
            </w:r>
          </w:p>
        </w:tc>
        <w:tc>
          <w:tcPr>
            <w:tcW w:type="dxa" w:w="2000"/>
            <w:tcMar>
              <w:top w:type="dxa" w:w="100"/>
              <w:left w:type="dxa" w:w="120"/>
              <w:bottom w:type="dxa" w:w="100"/>
              <w:right w:type="dxa" w:w="120"/>
            </w:tcMar>
          </w:tcPr>
          <w:p>
            <w:pPr>
              <w:spacing w:after="0"/>
            </w:pPr>
            <w:r>
              <w:rPr>
                <w:color w:val="1C1917"/>
                <w:sz w:val="20"/>
                <w:szCs w:val="20"/>
              </w:rPr>
              <w:t xml:space="preserve">#E7E5E4</w:t>
            </w:r>
          </w:p>
        </w:tc>
        <w:tc>
          <w:tcPr>
            <w:tcW w:type="dxa" w:w="4600"/>
            <w:tcMar>
              <w:top w:type="dxa" w:w="100"/>
              <w:left w:type="dxa" w:w="120"/>
              <w:bottom w:type="dxa" w:w="100"/>
              <w:right w:type="dxa" w:w="120"/>
            </w:tcMar>
          </w:tcPr>
          <w:p>
            <w:pPr>
              <w:spacing w:after="0"/>
            </w:pPr>
            <w:r>
              <w:rPr>
                <w:color w:val="1C1917"/>
                <w:sz w:val="20"/>
                <w:szCs w:val="20"/>
              </w:rPr>
              <w:t xml:space="preserve">Séparateurs, contours de cartes</w:t>
            </w:r>
          </w:p>
        </w:tc>
      </w:tr>
      <w:tr>
        <w:tc>
          <w:tcPr>
            <w:tcW w:type="dxa" w:w="2400"/>
            <w:tcMar>
              <w:top w:type="dxa" w:w="100"/>
              <w:left w:type="dxa" w:w="120"/>
              <w:bottom w:type="dxa" w:w="100"/>
              <w:right w:type="dxa" w:w="120"/>
            </w:tcMar>
          </w:tcPr>
          <w:p>
            <w:pPr>
              <w:spacing w:after="0"/>
            </w:pPr>
            <w:r>
              <w:rPr>
                <w:color w:val="1C1917"/>
                <w:sz w:val="20"/>
                <w:szCs w:val="20"/>
              </w:rPr>
              <w:t xml:space="preserve">Bordure forte</w:t>
            </w:r>
          </w:p>
        </w:tc>
        <w:tc>
          <w:tcPr>
            <w:tcW w:type="dxa" w:w="2000"/>
            <w:tcMar>
              <w:top w:type="dxa" w:w="100"/>
              <w:left w:type="dxa" w:w="120"/>
              <w:bottom w:type="dxa" w:w="100"/>
              <w:right w:type="dxa" w:w="120"/>
            </w:tcMar>
          </w:tcPr>
          <w:p>
            <w:pPr>
              <w:spacing w:after="0"/>
            </w:pPr>
            <w:r>
              <w:rPr>
                <w:color w:val="1C1917"/>
                <w:sz w:val="20"/>
                <w:szCs w:val="20"/>
              </w:rPr>
              <w:t xml:space="preserve">#D6D3D1</w:t>
            </w:r>
          </w:p>
        </w:tc>
        <w:tc>
          <w:tcPr>
            <w:tcW w:type="dxa" w:w="4600"/>
            <w:tcMar>
              <w:top w:type="dxa" w:w="100"/>
              <w:left w:type="dxa" w:w="120"/>
              <w:bottom w:type="dxa" w:w="100"/>
              <w:right w:type="dxa" w:w="120"/>
            </w:tcMar>
          </w:tcPr>
          <w:p>
            <w:pPr>
              <w:spacing w:after="0"/>
            </w:pPr>
            <w:r>
              <w:rPr>
                <w:color w:val="1C1917"/>
                <w:sz w:val="20"/>
                <w:szCs w:val="20"/>
              </w:rPr>
              <w:t xml:space="preserve">Contours au survol, séparateurs marqués</w:t>
            </w:r>
          </w:p>
        </w:tc>
      </w:tr>
      <w:tr>
        <w:tc>
          <w:tcPr>
            <w:tcW w:type="dxa" w:w="2400"/>
            <w:tcMar>
              <w:top w:type="dxa" w:w="100"/>
              <w:left w:type="dxa" w:w="120"/>
              <w:bottom w:type="dxa" w:w="100"/>
              <w:right w:type="dxa" w:w="120"/>
            </w:tcMar>
          </w:tcPr>
          <w:p>
            <w:pPr>
              <w:spacing w:after="0"/>
            </w:pPr>
            <w:r>
              <w:rPr>
                <w:color w:val="1C1917"/>
                <w:sz w:val="20"/>
                <w:szCs w:val="20"/>
              </w:rPr>
              <w:t xml:space="preserve">Texte doux</w:t>
            </w:r>
          </w:p>
        </w:tc>
        <w:tc>
          <w:tcPr>
            <w:tcW w:type="dxa" w:w="2000"/>
            <w:tcMar>
              <w:top w:type="dxa" w:w="100"/>
              <w:left w:type="dxa" w:w="120"/>
              <w:bottom w:type="dxa" w:w="100"/>
              <w:right w:type="dxa" w:w="120"/>
            </w:tcMar>
          </w:tcPr>
          <w:p>
            <w:pPr>
              <w:spacing w:after="0"/>
            </w:pPr>
            <w:r>
              <w:rPr>
                <w:color w:val="1C1917"/>
                <w:sz w:val="20"/>
                <w:szCs w:val="20"/>
              </w:rPr>
              <w:t xml:space="preserve">#78716C</w:t>
            </w:r>
          </w:p>
        </w:tc>
        <w:tc>
          <w:tcPr>
            <w:tcW w:type="dxa" w:w="4600"/>
            <w:tcMar>
              <w:top w:type="dxa" w:w="100"/>
              <w:left w:type="dxa" w:w="120"/>
              <w:bottom w:type="dxa" w:w="100"/>
              <w:right w:type="dxa" w:w="120"/>
            </w:tcMar>
          </w:tcPr>
          <w:p>
            <w:pPr>
              <w:spacing w:after="0"/>
            </w:pPr>
            <w:r>
              <w:rPr>
                <w:color w:val="1C1917"/>
                <w:sz w:val="20"/>
                <w:szCs w:val="20"/>
              </w:rPr>
              <w:t xml:space="preserve">Métadonnées, sous-titres, texte secondaire</w:t>
            </w:r>
          </w:p>
        </w:tc>
      </w:tr>
      <w:tr>
        <w:tc>
          <w:tcPr>
            <w:tcW w:type="dxa" w:w="2400"/>
            <w:tcMar>
              <w:top w:type="dxa" w:w="100"/>
              <w:left w:type="dxa" w:w="120"/>
              <w:bottom w:type="dxa" w:w="100"/>
              <w:right w:type="dxa" w:w="120"/>
            </w:tcMar>
          </w:tcPr>
          <w:p>
            <w:pPr>
              <w:spacing w:after="0"/>
            </w:pPr>
            <w:r>
              <w:rPr>
                <w:color w:val="1C1917"/>
                <w:sz w:val="20"/>
                <w:szCs w:val="20"/>
              </w:rPr>
              <w:t xml:space="preserve">Texte fort</w:t>
            </w:r>
          </w:p>
        </w:tc>
        <w:tc>
          <w:tcPr>
            <w:tcW w:type="dxa" w:w="2000"/>
            <w:tcMar>
              <w:top w:type="dxa" w:w="100"/>
              <w:left w:type="dxa" w:w="120"/>
              <w:bottom w:type="dxa" w:w="100"/>
              <w:right w:type="dxa" w:w="120"/>
            </w:tcMar>
          </w:tcPr>
          <w:p>
            <w:pPr>
              <w:spacing w:after="0"/>
            </w:pPr>
            <w:r>
              <w:rPr>
                <w:color w:val="1C1917"/>
                <w:sz w:val="20"/>
                <w:szCs w:val="20"/>
              </w:rPr>
              <w:t xml:space="preserve">#1C1917</w:t>
            </w:r>
          </w:p>
        </w:tc>
        <w:tc>
          <w:tcPr>
            <w:tcW w:type="dxa" w:w="4600"/>
            <w:tcMar>
              <w:top w:type="dxa" w:w="100"/>
              <w:left w:type="dxa" w:w="120"/>
              <w:bottom w:type="dxa" w:w="100"/>
              <w:right w:type="dxa" w:w="120"/>
            </w:tcMar>
          </w:tcPr>
          <w:p>
            <w:pPr>
              <w:spacing w:after="0"/>
            </w:pPr>
            <w:r>
              <w:rPr>
                <w:color w:val="1C1917"/>
                <w:sz w:val="20"/>
                <w:szCs w:val="20"/>
              </w:rPr>
              <w:t xml:space="preserve">Corps de texte principal, titres</w:t>
            </w:r>
          </w:p>
        </w:tc>
      </w:tr>
    </w:tbl>
    <w:p>
      <w:pPr>
        <w:pStyle w:val="Heading2"/>
        <w:spacing w:after="160" w:before="280"/>
      </w:pPr>
      <w:r>
        <w:rPr>
          <w:b/>
          <w:bCs/>
          <w:color w:val="4F46E5"/>
          <w:sz w:val="26"/>
          <w:szCs w:val="26"/>
        </w:rPr>
        <w:t xml:space="preserve">3.3 Neutres — mode sombre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2000"/>
            <w:shd w:fill="EEF2FF" w:color="auto" w:val="clear"/>
            <w:tcMar>
              <w:top w:type="dxa" w:w="100"/>
              <w:left w:type="dxa" w:w="120"/>
              <w:bottom w:type="dxa" w:w="100"/>
              <w:right w:type="dxa" w:w="120"/>
            </w:tcMar>
          </w:tcPr>
          <w:p>
            <w:pPr>
              <w:spacing w:after="0"/>
            </w:pPr>
            <w:r>
              <w:rPr>
                <w:b/>
                <w:bCs/>
                <w:color w:val="1E1B4B"/>
                <w:sz w:val="20"/>
                <w:szCs w:val="20"/>
              </w:rPr>
              <w:t xml:space="preserve">Hex</w:t>
            </w:r>
          </w:p>
        </w:tc>
        <w:tc>
          <w:tcPr>
            <w:tcW w:type="dxa" w:w="4600"/>
            <w:shd w:fill="EEF2FF" w:color="auto" w:val="clear"/>
            <w:tcMar>
              <w:top w:type="dxa" w:w="100"/>
              <w:left w:type="dxa" w:w="120"/>
              <w:bottom w:type="dxa" w:w="100"/>
              <w:right w:type="dxa" w:w="120"/>
            </w:tcMar>
          </w:tcPr>
          <w:p>
            <w:pPr>
              <w:spacing w:after="0"/>
            </w:pPr>
            <w:r>
              <w:rPr>
                <w:b/>
                <w:bCs/>
                <w:color w:val="1E1B4B"/>
                <w:sz w:val="20"/>
                <w:szCs w:val="20"/>
              </w:rPr>
              <w:t xml:space="preserve">Usage</w:t>
            </w:r>
          </w:p>
        </w:tc>
      </w:tr>
      <w:tr>
        <w:tc>
          <w:tcPr>
            <w:tcW w:type="dxa" w:w="2400"/>
            <w:tcMar>
              <w:top w:type="dxa" w:w="100"/>
              <w:left w:type="dxa" w:w="120"/>
              <w:bottom w:type="dxa" w:w="100"/>
              <w:right w:type="dxa" w:w="120"/>
            </w:tcMar>
          </w:tcPr>
          <w:p>
            <w:pPr>
              <w:spacing w:after="0"/>
            </w:pPr>
            <w:r>
              <w:rPr>
                <w:color w:val="1C1917"/>
                <w:sz w:val="20"/>
                <w:szCs w:val="20"/>
              </w:rPr>
              <w:t xml:space="preserve">Fond page</w:t>
            </w:r>
          </w:p>
        </w:tc>
        <w:tc>
          <w:tcPr>
            <w:tcW w:type="dxa" w:w="2000"/>
            <w:tcMar>
              <w:top w:type="dxa" w:w="100"/>
              <w:left w:type="dxa" w:w="120"/>
              <w:bottom w:type="dxa" w:w="100"/>
              <w:right w:type="dxa" w:w="120"/>
            </w:tcMar>
          </w:tcPr>
          <w:p>
            <w:pPr>
              <w:spacing w:after="0"/>
            </w:pPr>
            <w:r>
              <w:rPr>
                <w:color w:val="1C1917"/>
                <w:sz w:val="20"/>
                <w:szCs w:val="20"/>
              </w:rPr>
              <w:t xml:space="preserve">#1C1917</w:t>
            </w:r>
          </w:p>
        </w:tc>
        <w:tc>
          <w:tcPr>
            <w:tcW w:type="dxa" w:w="4600"/>
            <w:tcMar>
              <w:top w:type="dxa" w:w="100"/>
              <w:left w:type="dxa" w:w="120"/>
              <w:bottom w:type="dxa" w:w="100"/>
              <w:right w:type="dxa" w:w="120"/>
            </w:tcMar>
          </w:tcPr>
          <w:p>
            <w:pPr>
              <w:spacing w:after="0"/>
            </w:pPr>
            <w:r>
              <w:rPr>
                <w:color w:val="1C1917"/>
                <w:sz w:val="20"/>
                <w:szCs w:val="20"/>
              </w:rPr>
              <w:t xml:space="preserve">Canevas principal de l'application</w:t>
            </w:r>
          </w:p>
        </w:tc>
      </w:tr>
      <w:tr>
        <w:tc>
          <w:tcPr>
            <w:tcW w:type="dxa" w:w="2400"/>
            <w:tcMar>
              <w:top w:type="dxa" w:w="100"/>
              <w:left w:type="dxa" w:w="120"/>
              <w:bottom w:type="dxa" w:w="100"/>
              <w:right w:type="dxa" w:w="120"/>
            </w:tcMar>
          </w:tcPr>
          <w:p>
            <w:pPr>
              <w:spacing w:after="0"/>
            </w:pPr>
            <w:r>
              <w:rPr>
                <w:color w:val="1C1917"/>
                <w:sz w:val="20"/>
                <w:szCs w:val="20"/>
              </w:rPr>
              <w:t xml:space="preserve">Surface carte</w:t>
            </w:r>
          </w:p>
        </w:tc>
        <w:tc>
          <w:tcPr>
            <w:tcW w:type="dxa" w:w="2000"/>
            <w:tcMar>
              <w:top w:type="dxa" w:w="100"/>
              <w:left w:type="dxa" w:w="120"/>
              <w:bottom w:type="dxa" w:w="100"/>
              <w:right w:type="dxa" w:w="120"/>
            </w:tcMar>
          </w:tcPr>
          <w:p>
            <w:pPr>
              <w:spacing w:after="0"/>
            </w:pPr>
            <w:r>
              <w:rPr>
                <w:color w:val="1C1917"/>
                <w:sz w:val="20"/>
                <w:szCs w:val="20"/>
              </w:rPr>
              <w:t xml:space="preserve">#292524</w:t>
            </w:r>
          </w:p>
        </w:tc>
        <w:tc>
          <w:tcPr>
            <w:tcW w:type="dxa" w:w="4600"/>
            <w:tcMar>
              <w:top w:type="dxa" w:w="100"/>
              <w:left w:type="dxa" w:w="120"/>
              <w:bottom w:type="dxa" w:w="100"/>
              <w:right w:type="dxa" w:w="120"/>
            </w:tcMar>
          </w:tcPr>
          <w:p>
            <w:pPr>
              <w:spacing w:after="0"/>
            </w:pPr>
            <w:r>
              <w:rPr>
                <w:color w:val="1C1917"/>
                <w:sz w:val="20"/>
                <w:szCs w:val="20"/>
              </w:rPr>
              <w:t xml:space="preserve">Cartes, panneaux, dialogues</w:t>
            </w:r>
          </w:p>
        </w:tc>
      </w:tr>
      <w:tr>
        <w:tc>
          <w:tcPr>
            <w:tcW w:type="dxa" w:w="2400"/>
            <w:tcMar>
              <w:top w:type="dxa" w:w="100"/>
              <w:left w:type="dxa" w:w="120"/>
              <w:bottom w:type="dxa" w:w="100"/>
              <w:right w:type="dxa" w:w="120"/>
            </w:tcMar>
          </w:tcPr>
          <w:p>
            <w:pPr>
              <w:spacing w:after="0"/>
            </w:pPr>
            <w:r>
              <w:rPr>
                <w:color w:val="1C1917"/>
                <w:sz w:val="20"/>
                <w:szCs w:val="20"/>
              </w:rPr>
              <w:t xml:space="preserve">Bordure</w:t>
            </w:r>
          </w:p>
        </w:tc>
        <w:tc>
          <w:tcPr>
            <w:tcW w:type="dxa" w:w="2000"/>
            <w:tcMar>
              <w:top w:type="dxa" w:w="100"/>
              <w:left w:type="dxa" w:w="120"/>
              <w:bottom w:type="dxa" w:w="100"/>
              <w:right w:type="dxa" w:w="120"/>
            </w:tcMar>
          </w:tcPr>
          <w:p>
            <w:pPr>
              <w:spacing w:after="0"/>
            </w:pPr>
            <w:r>
              <w:rPr>
                <w:color w:val="1C1917"/>
                <w:sz w:val="20"/>
                <w:szCs w:val="20"/>
              </w:rPr>
              <w:t xml:space="preserve">#44403C</w:t>
            </w:r>
          </w:p>
        </w:tc>
        <w:tc>
          <w:tcPr>
            <w:tcW w:type="dxa" w:w="4600"/>
            <w:tcMar>
              <w:top w:type="dxa" w:w="100"/>
              <w:left w:type="dxa" w:w="120"/>
              <w:bottom w:type="dxa" w:w="100"/>
              <w:right w:type="dxa" w:w="120"/>
            </w:tcMar>
          </w:tcPr>
          <w:p>
            <w:pPr>
              <w:spacing w:after="0"/>
            </w:pPr>
            <w:r>
              <w:rPr>
                <w:color w:val="1C1917"/>
                <w:sz w:val="20"/>
                <w:szCs w:val="20"/>
              </w:rPr>
              <w:t xml:space="preserve">Séparateurs, contours de cartes</w:t>
            </w:r>
          </w:p>
        </w:tc>
      </w:tr>
      <w:tr>
        <w:tc>
          <w:tcPr>
            <w:tcW w:type="dxa" w:w="2400"/>
            <w:tcMar>
              <w:top w:type="dxa" w:w="100"/>
              <w:left w:type="dxa" w:w="120"/>
              <w:bottom w:type="dxa" w:w="100"/>
              <w:right w:type="dxa" w:w="120"/>
            </w:tcMar>
          </w:tcPr>
          <w:p>
            <w:pPr>
              <w:spacing w:after="0"/>
            </w:pPr>
            <w:r>
              <w:rPr>
                <w:color w:val="1C1917"/>
                <w:sz w:val="20"/>
                <w:szCs w:val="20"/>
              </w:rPr>
              <w:t xml:space="preserve">Bordure forte</w:t>
            </w:r>
          </w:p>
        </w:tc>
        <w:tc>
          <w:tcPr>
            <w:tcW w:type="dxa" w:w="2000"/>
            <w:tcMar>
              <w:top w:type="dxa" w:w="100"/>
              <w:left w:type="dxa" w:w="120"/>
              <w:bottom w:type="dxa" w:w="100"/>
              <w:right w:type="dxa" w:w="120"/>
            </w:tcMar>
          </w:tcPr>
          <w:p>
            <w:pPr>
              <w:spacing w:after="0"/>
            </w:pPr>
            <w:r>
              <w:rPr>
                <w:color w:val="1C1917"/>
                <w:sz w:val="20"/>
                <w:szCs w:val="20"/>
              </w:rPr>
              <w:t xml:space="preserve">#57534E</w:t>
            </w:r>
          </w:p>
        </w:tc>
        <w:tc>
          <w:tcPr>
            <w:tcW w:type="dxa" w:w="4600"/>
            <w:tcMar>
              <w:top w:type="dxa" w:w="100"/>
              <w:left w:type="dxa" w:w="120"/>
              <w:bottom w:type="dxa" w:w="100"/>
              <w:right w:type="dxa" w:w="120"/>
            </w:tcMar>
          </w:tcPr>
          <w:p>
            <w:pPr>
              <w:spacing w:after="0"/>
            </w:pPr>
            <w:r>
              <w:rPr>
                <w:color w:val="1C1917"/>
                <w:sz w:val="20"/>
                <w:szCs w:val="20"/>
              </w:rPr>
              <w:t xml:space="preserve">Contours au survol</w:t>
            </w:r>
          </w:p>
        </w:tc>
      </w:tr>
      <w:tr>
        <w:tc>
          <w:tcPr>
            <w:tcW w:type="dxa" w:w="2400"/>
            <w:tcMar>
              <w:top w:type="dxa" w:w="100"/>
              <w:left w:type="dxa" w:w="120"/>
              <w:bottom w:type="dxa" w:w="100"/>
              <w:right w:type="dxa" w:w="120"/>
            </w:tcMar>
          </w:tcPr>
          <w:p>
            <w:pPr>
              <w:spacing w:after="0"/>
            </w:pPr>
            <w:r>
              <w:rPr>
                <w:color w:val="1C1917"/>
                <w:sz w:val="20"/>
                <w:szCs w:val="20"/>
              </w:rPr>
              <w:t xml:space="preserve">Texte doux</w:t>
            </w:r>
          </w:p>
        </w:tc>
        <w:tc>
          <w:tcPr>
            <w:tcW w:type="dxa" w:w="2000"/>
            <w:tcMar>
              <w:top w:type="dxa" w:w="100"/>
              <w:left w:type="dxa" w:w="120"/>
              <w:bottom w:type="dxa" w:w="100"/>
              <w:right w:type="dxa" w:w="120"/>
            </w:tcMar>
          </w:tcPr>
          <w:p>
            <w:pPr>
              <w:spacing w:after="0"/>
            </w:pPr>
            <w:r>
              <w:rPr>
                <w:color w:val="1C1917"/>
                <w:sz w:val="20"/>
                <w:szCs w:val="20"/>
              </w:rPr>
              <w:t xml:space="preserve">#A8A29E</w:t>
            </w:r>
          </w:p>
        </w:tc>
        <w:tc>
          <w:tcPr>
            <w:tcW w:type="dxa" w:w="4600"/>
            <w:tcMar>
              <w:top w:type="dxa" w:w="100"/>
              <w:left w:type="dxa" w:w="120"/>
              <w:bottom w:type="dxa" w:w="100"/>
              <w:right w:type="dxa" w:w="120"/>
            </w:tcMar>
          </w:tcPr>
          <w:p>
            <w:pPr>
              <w:spacing w:after="0"/>
            </w:pPr>
            <w:r>
              <w:rPr>
                <w:color w:val="1C1917"/>
                <w:sz w:val="20"/>
                <w:szCs w:val="20"/>
              </w:rPr>
              <w:t xml:space="preserve">Métadonnées, sous-titres</w:t>
            </w:r>
          </w:p>
        </w:tc>
      </w:tr>
      <w:tr>
        <w:tc>
          <w:tcPr>
            <w:tcW w:type="dxa" w:w="2400"/>
            <w:tcMar>
              <w:top w:type="dxa" w:w="100"/>
              <w:left w:type="dxa" w:w="120"/>
              <w:bottom w:type="dxa" w:w="100"/>
              <w:right w:type="dxa" w:w="120"/>
            </w:tcMar>
          </w:tcPr>
          <w:p>
            <w:pPr>
              <w:spacing w:after="0"/>
            </w:pPr>
            <w:r>
              <w:rPr>
                <w:color w:val="1C1917"/>
                <w:sz w:val="20"/>
                <w:szCs w:val="20"/>
              </w:rPr>
              <w:t xml:space="preserve">Texte fort</w:t>
            </w:r>
          </w:p>
        </w:tc>
        <w:tc>
          <w:tcPr>
            <w:tcW w:type="dxa" w:w="2000"/>
            <w:tcMar>
              <w:top w:type="dxa" w:w="100"/>
              <w:left w:type="dxa" w:w="120"/>
              <w:bottom w:type="dxa" w:w="100"/>
              <w:right w:type="dxa" w:w="120"/>
            </w:tcMar>
          </w:tcPr>
          <w:p>
            <w:pPr>
              <w:spacing w:after="0"/>
            </w:pPr>
            <w:r>
              <w:rPr>
                <w:color w:val="1C1917"/>
                <w:sz w:val="20"/>
                <w:szCs w:val="20"/>
              </w:rPr>
              <w:t xml:space="preserve">#FAFAF9</w:t>
            </w:r>
          </w:p>
        </w:tc>
        <w:tc>
          <w:tcPr>
            <w:tcW w:type="dxa" w:w="4600"/>
            <w:tcMar>
              <w:top w:type="dxa" w:w="100"/>
              <w:left w:type="dxa" w:w="120"/>
              <w:bottom w:type="dxa" w:w="100"/>
              <w:right w:type="dxa" w:w="120"/>
            </w:tcMar>
          </w:tcPr>
          <w:p>
            <w:pPr>
              <w:spacing w:after="0"/>
            </w:pPr>
            <w:r>
              <w:rPr>
                <w:color w:val="1C1917"/>
                <w:sz w:val="20"/>
                <w:szCs w:val="20"/>
              </w:rPr>
              <w:t xml:space="preserve">Corps de texte principal, titres</w:t>
            </w:r>
          </w:p>
        </w:tc>
      </w:tr>
    </w:tbl>
    <w:p>
      <w:pPr>
        <w:pStyle w:val="Heading2"/>
        <w:spacing w:after="160" w:before="280"/>
      </w:pPr>
      <w:r>
        <w:rPr>
          <w:b/>
          <w:bCs/>
          <w:color w:val="4F46E5"/>
          <w:sz w:val="26"/>
          <w:szCs w:val="26"/>
        </w:rPr>
        <w:t xml:space="preserve">3.4 Couleurs fonctionnelles</w:t>
      </w:r>
    </w:p>
    <w:p>
      <w:pPr>
        <w:spacing w:after="120" w:line="300"/>
      </w:pPr>
      <w:r>
        <w:t xml:space="preserve">Elles portent les états métier récurrents. Chaque couleur a un rôle unique et invariant — un vert n'apparaît jamais pour signaler autre chose que du succès ou du stable.</w:t>
      </w:r>
    </w:p>
    <w:p>
      <w:pPr>
        <w:pStyle w:val="Heading3"/>
        <w:spacing w:after="120" w:before="220"/>
      </w:pPr>
      <w:r>
        <w:rPr>
          <w:b/>
          <w:bCs/>
          <w:color w:val="4F46E5"/>
          <w:sz w:val="22"/>
          <w:szCs w:val="22"/>
        </w:rPr>
        <w:t xml:space="preserve">Vert — succès, stable, positif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État</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clair</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sombre</w:t>
            </w:r>
          </w:p>
        </w:tc>
      </w:tr>
      <w:tr>
        <w:tc>
          <w:tcPr>
            <w:tcW w:type="dxa" w:w="3000"/>
            <w:tcMar>
              <w:top w:type="dxa" w:w="100"/>
              <w:left w:type="dxa" w:w="120"/>
              <w:bottom w:type="dxa" w:w="100"/>
              <w:right w:type="dxa" w:w="120"/>
            </w:tcMar>
          </w:tcPr>
          <w:p>
            <w:pPr>
              <w:spacing w:after="0"/>
            </w:pPr>
            <w:r>
              <w:rPr>
                <w:color w:val="1C1917"/>
                <w:sz w:val="20"/>
                <w:szCs w:val="20"/>
              </w:rPr>
              <w:t xml:space="preserve">Fond de badge</w:t>
            </w:r>
          </w:p>
        </w:tc>
        <w:tc>
          <w:tcPr>
            <w:tcW w:type="dxa" w:w="3000"/>
            <w:tcMar>
              <w:top w:type="dxa" w:w="100"/>
              <w:left w:type="dxa" w:w="120"/>
              <w:bottom w:type="dxa" w:w="100"/>
              <w:right w:type="dxa" w:w="120"/>
            </w:tcMar>
          </w:tcPr>
          <w:p>
            <w:pPr>
              <w:spacing w:after="0"/>
            </w:pPr>
            <w:r>
              <w:rPr>
                <w:color w:val="1C1917"/>
                <w:sz w:val="20"/>
                <w:szCs w:val="20"/>
              </w:rPr>
              <w:t xml:space="preserve">#D1FAE5</w:t>
            </w:r>
          </w:p>
        </w:tc>
        <w:tc>
          <w:tcPr>
            <w:tcW w:type="dxa" w:w="3000"/>
            <w:tcMar>
              <w:top w:type="dxa" w:w="100"/>
              <w:left w:type="dxa" w:w="120"/>
              <w:bottom w:type="dxa" w:w="100"/>
              <w:right w:type="dxa" w:w="120"/>
            </w:tcMar>
          </w:tcPr>
          <w:p>
            <w:pPr>
              <w:spacing w:after="0"/>
            </w:pPr>
            <w:r>
              <w:rPr>
                <w:color w:val="1C1917"/>
                <w:sz w:val="20"/>
                <w:szCs w:val="20"/>
              </w:rPr>
              <w:t xml:space="preserve">#064E3B</w:t>
            </w:r>
          </w:p>
        </w:tc>
      </w:tr>
      <w:tr>
        <w:tc>
          <w:tcPr>
            <w:tcW w:type="dxa" w:w="3000"/>
            <w:tcMar>
              <w:top w:type="dxa" w:w="100"/>
              <w:left w:type="dxa" w:w="120"/>
              <w:bottom w:type="dxa" w:w="100"/>
              <w:right w:type="dxa" w:w="120"/>
            </w:tcMar>
          </w:tcPr>
          <w:p>
            <w:pPr>
              <w:spacing w:after="0"/>
            </w:pPr>
            <w:r>
              <w:rPr>
                <w:color w:val="1C1917"/>
                <w:sz w:val="20"/>
                <w:szCs w:val="20"/>
              </w:rPr>
              <w:t xml:space="preserve">Texte sur badge</w:t>
            </w:r>
          </w:p>
        </w:tc>
        <w:tc>
          <w:tcPr>
            <w:tcW w:type="dxa" w:w="3000"/>
            <w:tcMar>
              <w:top w:type="dxa" w:w="100"/>
              <w:left w:type="dxa" w:w="120"/>
              <w:bottom w:type="dxa" w:w="100"/>
              <w:right w:type="dxa" w:w="120"/>
            </w:tcMar>
          </w:tcPr>
          <w:p>
            <w:pPr>
              <w:spacing w:after="0"/>
            </w:pPr>
            <w:r>
              <w:rPr>
                <w:color w:val="1C1917"/>
                <w:sz w:val="20"/>
                <w:szCs w:val="20"/>
              </w:rPr>
              <w:t xml:space="preserve">#065F46</w:t>
            </w:r>
          </w:p>
        </w:tc>
        <w:tc>
          <w:tcPr>
            <w:tcW w:type="dxa" w:w="3000"/>
            <w:tcMar>
              <w:top w:type="dxa" w:w="100"/>
              <w:left w:type="dxa" w:w="120"/>
              <w:bottom w:type="dxa" w:w="100"/>
              <w:right w:type="dxa" w:w="120"/>
            </w:tcMar>
          </w:tcPr>
          <w:p>
            <w:pPr>
              <w:spacing w:after="0"/>
            </w:pPr>
            <w:r>
              <w:rPr>
                <w:color w:val="1C1917"/>
                <w:sz w:val="20"/>
                <w:szCs w:val="20"/>
              </w:rPr>
              <w:t xml:space="preserve">#A7F3D0</w:t>
            </w:r>
          </w:p>
        </w:tc>
      </w:tr>
      <w:tr>
        <w:tc>
          <w:tcPr>
            <w:tcW w:type="dxa" w:w="3000"/>
            <w:tcMar>
              <w:top w:type="dxa" w:w="100"/>
              <w:left w:type="dxa" w:w="120"/>
              <w:bottom w:type="dxa" w:w="100"/>
              <w:right w:type="dxa" w:w="120"/>
            </w:tcMar>
          </w:tcPr>
          <w:p>
            <w:pPr>
              <w:spacing w:after="0"/>
            </w:pPr>
            <w:r>
              <w:rPr>
                <w:color w:val="1C1917"/>
                <w:sz w:val="20"/>
                <w:szCs w:val="20"/>
              </w:rPr>
              <w:t xml:space="preserve">Icône ou trait</w:t>
            </w:r>
          </w:p>
        </w:tc>
        <w:tc>
          <w:tcPr>
            <w:tcW w:type="dxa" w:w="3000"/>
            <w:tcMar>
              <w:top w:type="dxa" w:w="100"/>
              <w:left w:type="dxa" w:w="120"/>
              <w:bottom w:type="dxa" w:w="100"/>
              <w:right w:type="dxa" w:w="120"/>
            </w:tcMar>
          </w:tcPr>
          <w:p>
            <w:pPr>
              <w:spacing w:after="0"/>
            </w:pPr>
            <w:r>
              <w:rPr>
                <w:color w:val="1C1917"/>
                <w:sz w:val="20"/>
                <w:szCs w:val="20"/>
              </w:rPr>
              <w:t xml:space="preserve">#059669</w:t>
            </w:r>
          </w:p>
        </w:tc>
        <w:tc>
          <w:tcPr>
            <w:tcW w:type="dxa" w:w="3000"/>
            <w:tcMar>
              <w:top w:type="dxa" w:w="100"/>
              <w:left w:type="dxa" w:w="120"/>
              <w:bottom w:type="dxa" w:w="100"/>
              <w:right w:type="dxa" w:w="120"/>
            </w:tcMar>
          </w:tcPr>
          <w:p>
            <w:pPr>
              <w:spacing w:after="0"/>
            </w:pPr>
            <w:r>
              <w:rPr>
                <w:color w:val="1C1917"/>
                <w:sz w:val="20"/>
                <w:szCs w:val="20"/>
              </w:rPr>
              <w:t xml:space="preserve">#34D399</w:t>
            </w:r>
          </w:p>
        </w:tc>
      </w:tr>
    </w:tbl>
    <w:p>
      <w:pPr>
        <w:pStyle w:val="Heading3"/>
        <w:spacing w:after="120" w:before="220"/>
      </w:pPr>
      <w:r>
        <w:rPr>
          <w:b/>
          <w:bCs/>
          <w:color w:val="4F46E5"/>
          <w:sz w:val="22"/>
          <w:szCs w:val="22"/>
        </w:rPr>
        <w:t xml:space="preserve">Orange — attention, non-bloquant, à préparer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État</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clair</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sombre</w:t>
            </w:r>
          </w:p>
        </w:tc>
      </w:tr>
      <w:tr>
        <w:tc>
          <w:tcPr>
            <w:tcW w:type="dxa" w:w="3000"/>
            <w:tcMar>
              <w:top w:type="dxa" w:w="100"/>
              <w:left w:type="dxa" w:w="120"/>
              <w:bottom w:type="dxa" w:w="100"/>
              <w:right w:type="dxa" w:w="120"/>
            </w:tcMar>
          </w:tcPr>
          <w:p>
            <w:pPr>
              <w:spacing w:after="0"/>
            </w:pPr>
            <w:r>
              <w:rPr>
                <w:color w:val="1C1917"/>
                <w:sz w:val="20"/>
                <w:szCs w:val="20"/>
              </w:rPr>
              <w:t xml:space="preserve">Fond de badge ou bandeau</w:t>
            </w:r>
          </w:p>
        </w:tc>
        <w:tc>
          <w:tcPr>
            <w:tcW w:type="dxa" w:w="3000"/>
            <w:tcMar>
              <w:top w:type="dxa" w:w="100"/>
              <w:left w:type="dxa" w:w="120"/>
              <w:bottom w:type="dxa" w:w="100"/>
              <w:right w:type="dxa" w:w="120"/>
            </w:tcMar>
          </w:tcPr>
          <w:p>
            <w:pPr>
              <w:spacing w:after="0"/>
            </w:pPr>
            <w:r>
              <w:rPr>
                <w:color w:val="1C1917"/>
                <w:sz w:val="20"/>
                <w:szCs w:val="20"/>
              </w:rPr>
              <w:t xml:space="preserve">#FEF3C7</w:t>
            </w:r>
          </w:p>
        </w:tc>
        <w:tc>
          <w:tcPr>
            <w:tcW w:type="dxa" w:w="3000"/>
            <w:tcMar>
              <w:top w:type="dxa" w:w="100"/>
              <w:left w:type="dxa" w:w="120"/>
              <w:bottom w:type="dxa" w:w="100"/>
              <w:right w:type="dxa" w:w="120"/>
            </w:tcMar>
          </w:tcPr>
          <w:p>
            <w:pPr>
              <w:spacing w:after="0"/>
            </w:pPr>
            <w:r>
              <w:rPr>
                <w:color w:val="1C1917"/>
                <w:sz w:val="20"/>
                <w:szCs w:val="20"/>
              </w:rPr>
              <w:t xml:space="preserve">#78350F</w:t>
            </w:r>
          </w:p>
        </w:tc>
      </w:tr>
      <w:tr>
        <w:tc>
          <w:tcPr>
            <w:tcW w:type="dxa" w:w="3000"/>
            <w:tcMar>
              <w:top w:type="dxa" w:w="100"/>
              <w:left w:type="dxa" w:w="120"/>
              <w:bottom w:type="dxa" w:w="100"/>
              <w:right w:type="dxa" w:w="120"/>
            </w:tcMar>
          </w:tcPr>
          <w:p>
            <w:pPr>
              <w:spacing w:after="0"/>
            </w:pPr>
            <w:r>
              <w:rPr>
                <w:color w:val="1C1917"/>
                <w:sz w:val="20"/>
                <w:szCs w:val="20"/>
              </w:rPr>
              <w:t xml:space="preserve">Texte sur badge ou bandeau</w:t>
            </w:r>
          </w:p>
        </w:tc>
        <w:tc>
          <w:tcPr>
            <w:tcW w:type="dxa" w:w="3000"/>
            <w:tcMar>
              <w:top w:type="dxa" w:w="100"/>
              <w:left w:type="dxa" w:w="120"/>
              <w:bottom w:type="dxa" w:w="100"/>
              <w:right w:type="dxa" w:w="120"/>
            </w:tcMar>
          </w:tcPr>
          <w:p>
            <w:pPr>
              <w:spacing w:after="0"/>
            </w:pPr>
            <w:r>
              <w:rPr>
                <w:color w:val="1C1917"/>
                <w:sz w:val="20"/>
                <w:szCs w:val="20"/>
              </w:rPr>
              <w:t xml:space="preserve">#92400E</w:t>
            </w:r>
          </w:p>
        </w:tc>
        <w:tc>
          <w:tcPr>
            <w:tcW w:type="dxa" w:w="3000"/>
            <w:tcMar>
              <w:top w:type="dxa" w:w="100"/>
              <w:left w:type="dxa" w:w="120"/>
              <w:bottom w:type="dxa" w:w="100"/>
              <w:right w:type="dxa" w:w="120"/>
            </w:tcMar>
          </w:tcPr>
          <w:p>
            <w:pPr>
              <w:spacing w:after="0"/>
            </w:pPr>
            <w:r>
              <w:rPr>
                <w:color w:val="1C1917"/>
                <w:sz w:val="20"/>
                <w:szCs w:val="20"/>
              </w:rPr>
              <w:t xml:space="preserve">#FDE68A</w:t>
            </w:r>
          </w:p>
        </w:tc>
      </w:tr>
      <w:tr>
        <w:tc>
          <w:tcPr>
            <w:tcW w:type="dxa" w:w="3000"/>
            <w:tcMar>
              <w:top w:type="dxa" w:w="100"/>
              <w:left w:type="dxa" w:w="120"/>
              <w:bottom w:type="dxa" w:w="100"/>
              <w:right w:type="dxa" w:w="120"/>
            </w:tcMar>
          </w:tcPr>
          <w:p>
            <w:pPr>
              <w:spacing w:after="0"/>
            </w:pPr>
            <w:r>
              <w:rPr>
                <w:color w:val="1C1917"/>
                <w:sz w:val="20"/>
                <w:szCs w:val="20"/>
              </w:rPr>
              <w:t xml:space="preserve">Icône ou trait</w:t>
            </w:r>
          </w:p>
        </w:tc>
        <w:tc>
          <w:tcPr>
            <w:tcW w:type="dxa" w:w="3000"/>
            <w:tcMar>
              <w:top w:type="dxa" w:w="100"/>
              <w:left w:type="dxa" w:w="120"/>
              <w:bottom w:type="dxa" w:w="100"/>
              <w:right w:type="dxa" w:w="120"/>
            </w:tcMar>
          </w:tcPr>
          <w:p>
            <w:pPr>
              <w:spacing w:after="0"/>
            </w:pPr>
            <w:r>
              <w:rPr>
                <w:color w:val="1C1917"/>
                <w:sz w:val="20"/>
                <w:szCs w:val="20"/>
              </w:rPr>
              <w:t xml:space="preserve">#D97706</w:t>
            </w:r>
          </w:p>
        </w:tc>
        <w:tc>
          <w:tcPr>
            <w:tcW w:type="dxa" w:w="3000"/>
            <w:tcMar>
              <w:top w:type="dxa" w:w="100"/>
              <w:left w:type="dxa" w:w="120"/>
              <w:bottom w:type="dxa" w:w="100"/>
              <w:right w:type="dxa" w:w="120"/>
            </w:tcMar>
          </w:tcPr>
          <w:p>
            <w:pPr>
              <w:spacing w:after="0"/>
            </w:pPr>
            <w:r>
              <w:rPr>
                <w:color w:val="1C1917"/>
                <w:sz w:val="20"/>
                <w:szCs w:val="20"/>
              </w:rPr>
              <w:t xml:space="preserve">#FBBF24</w:t>
            </w:r>
          </w:p>
        </w:tc>
      </w:tr>
    </w:tbl>
    <w:p>
      <w:pPr>
        <w:spacing w:after="120" w:line="300"/>
      </w:pPr>
      <w:r>
        <w:t xml:space="preserve">Le orange est utilisé exclusivement pour les avertissements non-bloquants (élément déprécié, année à préparer). Il ne remplace jamais le rouge sur un vrai blocage.</w:t>
      </w:r>
    </w:p>
    <w:p>
      <w:pPr>
        <w:pStyle w:val="Heading3"/>
        <w:spacing w:after="120" w:before="220"/>
      </w:pPr>
      <w:r>
        <w:rPr>
          <w:b/>
          <w:bCs/>
          <w:color w:val="4F46E5"/>
          <w:sz w:val="22"/>
          <w:szCs w:val="22"/>
        </w:rPr>
        <w:t xml:space="preserve">Rouge — blocage, erreur, action irréversible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État</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clair</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Mode sombre</w:t>
            </w:r>
          </w:p>
        </w:tc>
      </w:tr>
      <w:tr>
        <w:tc>
          <w:tcPr>
            <w:tcW w:type="dxa" w:w="3000"/>
            <w:tcMar>
              <w:top w:type="dxa" w:w="100"/>
              <w:left w:type="dxa" w:w="120"/>
              <w:bottom w:type="dxa" w:w="100"/>
              <w:right w:type="dxa" w:w="120"/>
            </w:tcMar>
          </w:tcPr>
          <w:p>
            <w:pPr>
              <w:spacing w:after="0"/>
            </w:pPr>
            <w:r>
              <w:rPr>
                <w:color w:val="1C1917"/>
                <w:sz w:val="20"/>
                <w:szCs w:val="20"/>
              </w:rPr>
              <w:t xml:space="preserve">Fond de badge</w:t>
            </w:r>
          </w:p>
        </w:tc>
        <w:tc>
          <w:tcPr>
            <w:tcW w:type="dxa" w:w="3000"/>
            <w:tcMar>
              <w:top w:type="dxa" w:w="100"/>
              <w:left w:type="dxa" w:w="120"/>
              <w:bottom w:type="dxa" w:w="100"/>
              <w:right w:type="dxa" w:w="120"/>
            </w:tcMar>
          </w:tcPr>
          <w:p>
            <w:pPr>
              <w:spacing w:after="0"/>
            </w:pPr>
            <w:r>
              <w:rPr>
                <w:color w:val="1C1917"/>
                <w:sz w:val="20"/>
                <w:szCs w:val="20"/>
              </w:rPr>
              <w:t xml:space="preserve">#FEE2E2</w:t>
            </w:r>
          </w:p>
        </w:tc>
        <w:tc>
          <w:tcPr>
            <w:tcW w:type="dxa" w:w="3000"/>
            <w:tcMar>
              <w:top w:type="dxa" w:w="100"/>
              <w:left w:type="dxa" w:w="120"/>
              <w:bottom w:type="dxa" w:w="100"/>
              <w:right w:type="dxa" w:w="120"/>
            </w:tcMar>
          </w:tcPr>
          <w:p>
            <w:pPr>
              <w:spacing w:after="0"/>
            </w:pPr>
            <w:r>
              <w:rPr>
                <w:color w:val="1C1917"/>
                <w:sz w:val="20"/>
                <w:szCs w:val="20"/>
              </w:rPr>
              <w:t xml:space="preserve">#7F1D1D</w:t>
            </w:r>
          </w:p>
        </w:tc>
      </w:tr>
      <w:tr>
        <w:tc>
          <w:tcPr>
            <w:tcW w:type="dxa" w:w="3000"/>
            <w:tcMar>
              <w:top w:type="dxa" w:w="100"/>
              <w:left w:type="dxa" w:w="120"/>
              <w:bottom w:type="dxa" w:w="100"/>
              <w:right w:type="dxa" w:w="120"/>
            </w:tcMar>
          </w:tcPr>
          <w:p>
            <w:pPr>
              <w:spacing w:after="0"/>
            </w:pPr>
            <w:r>
              <w:rPr>
                <w:color w:val="1C1917"/>
                <w:sz w:val="20"/>
                <w:szCs w:val="20"/>
              </w:rPr>
              <w:t xml:space="preserve">Texte sur badge</w:t>
            </w:r>
          </w:p>
        </w:tc>
        <w:tc>
          <w:tcPr>
            <w:tcW w:type="dxa" w:w="3000"/>
            <w:tcMar>
              <w:top w:type="dxa" w:w="100"/>
              <w:left w:type="dxa" w:w="120"/>
              <w:bottom w:type="dxa" w:w="100"/>
              <w:right w:type="dxa" w:w="120"/>
            </w:tcMar>
          </w:tcPr>
          <w:p>
            <w:pPr>
              <w:spacing w:after="0"/>
            </w:pPr>
            <w:r>
              <w:rPr>
                <w:color w:val="1C1917"/>
                <w:sz w:val="20"/>
                <w:szCs w:val="20"/>
              </w:rPr>
              <w:t xml:space="preserve">#991B1B</w:t>
            </w:r>
          </w:p>
        </w:tc>
        <w:tc>
          <w:tcPr>
            <w:tcW w:type="dxa" w:w="3000"/>
            <w:tcMar>
              <w:top w:type="dxa" w:w="100"/>
              <w:left w:type="dxa" w:w="120"/>
              <w:bottom w:type="dxa" w:w="100"/>
              <w:right w:type="dxa" w:w="120"/>
            </w:tcMar>
          </w:tcPr>
          <w:p>
            <w:pPr>
              <w:spacing w:after="0"/>
            </w:pPr>
            <w:r>
              <w:rPr>
                <w:color w:val="1C1917"/>
                <w:sz w:val="20"/>
                <w:szCs w:val="20"/>
              </w:rPr>
              <w:t xml:space="preserve">#FECACA</w:t>
            </w:r>
          </w:p>
        </w:tc>
      </w:tr>
      <w:tr>
        <w:tc>
          <w:tcPr>
            <w:tcW w:type="dxa" w:w="3000"/>
            <w:tcMar>
              <w:top w:type="dxa" w:w="100"/>
              <w:left w:type="dxa" w:w="120"/>
              <w:bottom w:type="dxa" w:w="100"/>
              <w:right w:type="dxa" w:w="120"/>
            </w:tcMar>
          </w:tcPr>
          <w:p>
            <w:pPr>
              <w:spacing w:after="0"/>
            </w:pPr>
            <w:r>
              <w:rPr>
                <w:color w:val="1C1917"/>
                <w:sz w:val="20"/>
                <w:szCs w:val="20"/>
              </w:rPr>
              <w:t xml:space="preserve">Icône ou trait</w:t>
            </w:r>
          </w:p>
        </w:tc>
        <w:tc>
          <w:tcPr>
            <w:tcW w:type="dxa" w:w="3000"/>
            <w:tcMar>
              <w:top w:type="dxa" w:w="100"/>
              <w:left w:type="dxa" w:w="120"/>
              <w:bottom w:type="dxa" w:w="100"/>
              <w:right w:type="dxa" w:w="120"/>
            </w:tcMar>
          </w:tcPr>
          <w:p>
            <w:pPr>
              <w:spacing w:after="0"/>
            </w:pPr>
            <w:r>
              <w:rPr>
                <w:color w:val="1C1917"/>
                <w:sz w:val="20"/>
                <w:szCs w:val="20"/>
              </w:rPr>
              <w:t xml:space="preserve">#DC2626</w:t>
            </w:r>
          </w:p>
        </w:tc>
        <w:tc>
          <w:tcPr>
            <w:tcW w:type="dxa" w:w="3000"/>
            <w:tcMar>
              <w:top w:type="dxa" w:w="100"/>
              <w:left w:type="dxa" w:w="120"/>
              <w:bottom w:type="dxa" w:w="100"/>
              <w:right w:type="dxa" w:w="120"/>
            </w:tcMar>
          </w:tcPr>
          <w:p>
            <w:pPr>
              <w:spacing w:after="0"/>
            </w:pPr>
            <w:r>
              <w:rPr>
                <w:color w:val="1C1917"/>
                <w:sz w:val="20"/>
                <w:szCs w:val="20"/>
              </w:rPr>
              <w:t xml:space="preserve">#F87171</w:t>
            </w:r>
          </w:p>
        </w:tc>
      </w:tr>
    </w:tbl>
    <w:p>
      <w:pPr>
        <w:spacing w:after="120" w:line="300"/>
      </w:pPr>
      <w:r>
        <w:t xml:space="preserve">Le rouge est réservé aux vrais blocages : validation impossible, coefficient invalide, doublon détecté, clôture irréversible. Ne jamais l'utiliser pour signaler quelque chose de simplement obsolète ou à préparer — c'est le rôle de l'orange.</w:t>
      </w:r>
    </w:p>
    <w:p>
      <w:pPr>
        <w:pStyle w:val="Heading2"/>
        <w:spacing w:after="160" w:before="280"/>
      </w:pPr>
      <w:r>
        <w:rPr>
          <w:b/>
          <w:bCs/>
          <w:color w:val="4F46E5"/>
          <w:sz w:val="26"/>
          <w:szCs w:val="26"/>
        </w:rPr>
        <w:t xml:space="preserve">3.5 Couleurs des badges officiel / personnalisé</w:t>
      </w:r>
    </w:p>
    <w:p>
      <w:pPr>
        <w:spacing w:after="120" w:line="300"/>
      </w:pPr>
      <w:r>
        <w:t xml:space="preserve">Ce couple est le signal visuel structurant de tout le module. Il ne doit jamais être confondu avec les couleurs fonctionnelles.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EEF2FF" w:color="auto" w:val="clear"/>
            <w:tcMar>
              <w:top w:type="dxa" w:w="100"/>
              <w:left w:type="dxa" w:w="120"/>
              <w:bottom w:type="dxa" w:w="100"/>
              <w:right w:type="dxa" w:w="120"/>
            </w:tcMar>
          </w:tcPr>
          <w:p>
            <w:pPr>
              <w:spacing w:after="0"/>
            </w:pPr>
            <w:r>
              <w:rPr>
                <w:b/>
                <w:bCs/>
                <w:color w:val="1E1B4B"/>
                <w:sz w:val="20"/>
                <w:szCs w:val="20"/>
              </w:rPr>
              <w:t xml:space="preserve">Badge</w:t>
            </w:r>
          </w:p>
        </w:tc>
        <w:tc>
          <w:tcPr>
            <w:tcW w:type="dxa" w:w="3500"/>
            <w:shd w:fill="EEF2FF" w:color="auto" w:val="clear"/>
            <w:tcMar>
              <w:top w:type="dxa" w:w="100"/>
              <w:left w:type="dxa" w:w="120"/>
              <w:bottom w:type="dxa" w:w="100"/>
              <w:right w:type="dxa" w:w="120"/>
            </w:tcMar>
          </w:tcPr>
          <w:p>
            <w:pPr>
              <w:spacing w:after="0"/>
            </w:pPr>
            <w:r>
              <w:rPr>
                <w:b/>
                <w:bCs/>
                <w:color w:val="1E1B4B"/>
                <w:sz w:val="20"/>
                <w:szCs w:val="20"/>
              </w:rPr>
              <w:t xml:space="preserve">Mode clair — fond / texte</w:t>
            </w:r>
          </w:p>
        </w:tc>
        <w:tc>
          <w:tcPr>
            <w:tcW w:type="dxa" w:w="3500"/>
            <w:shd w:fill="EEF2FF" w:color="auto" w:val="clear"/>
            <w:tcMar>
              <w:top w:type="dxa" w:w="100"/>
              <w:left w:type="dxa" w:w="120"/>
              <w:bottom w:type="dxa" w:w="100"/>
              <w:right w:type="dxa" w:w="120"/>
            </w:tcMar>
          </w:tcPr>
          <w:p>
            <w:pPr>
              <w:spacing w:after="0"/>
            </w:pPr>
            <w:r>
              <w:rPr>
                <w:b/>
                <w:bCs/>
                <w:color w:val="1E1B4B"/>
                <w:sz w:val="20"/>
                <w:szCs w:val="20"/>
              </w:rPr>
              <w:t xml:space="preserve">Mode sombre — fond / texte</w:t>
            </w:r>
          </w:p>
        </w:tc>
      </w:tr>
      <w:tr>
        <w:tc>
          <w:tcPr>
            <w:tcW w:type="dxa" w:w="2000"/>
            <w:tcMar>
              <w:top w:type="dxa" w:w="100"/>
              <w:left w:type="dxa" w:w="120"/>
              <w:bottom w:type="dxa" w:w="100"/>
              <w:right w:type="dxa" w:w="120"/>
            </w:tcMar>
          </w:tcPr>
          <w:p>
            <w:pPr>
              <w:spacing w:after="0"/>
            </w:pPr>
            <w:r>
              <w:rPr>
                <w:color w:val="1C1917"/>
                <w:sz w:val="20"/>
                <w:szCs w:val="20"/>
              </w:rPr>
              <w:t xml:space="preserve">Officiel</w:t>
            </w:r>
          </w:p>
        </w:tc>
        <w:tc>
          <w:tcPr>
            <w:tcW w:type="dxa" w:w="3500"/>
            <w:tcMar>
              <w:top w:type="dxa" w:w="100"/>
              <w:left w:type="dxa" w:w="120"/>
              <w:bottom w:type="dxa" w:w="100"/>
              <w:right w:type="dxa" w:w="120"/>
            </w:tcMar>
          </w:tcPr>
          <w:p>
            <w:pPr>
              <w:spacing w:after="0"/>
            </w:pPr>
            <w:r>
              <w:rPr>
                <w:color w:val="1C1917"/>
                <w:sz w:val="20"/>
                <w:szCs w:val="20"/>
              </w:rPr>
              <w:t xml:space="preserve">#EEF2FF / #4338CA</w:t>
            </w:r>
          </w:p>
        </w:tc>
        <w:tc>
          <w:tcPr>
            <w:tcW w:type="dxa" w:w="3500"/>
            <w:tcMar>
              <w:top w:type="dxa" w:w="100"/>
              <w:left w:type="dxa" w:w="120"/>
              <w:bottom w:type="dxa" w:w="100"/>
              <w:right w:type="dxa" w:w="120"/>
            </w:tcMar>
          </w:tcPr>
          <w:p>
            <w:pPr>
              <w:spacing w:after="0"/>
            </w:pPr>
            <w:r>
              <w:rPr>
                <w:color w:val="1C1917"/>
                <w:sz w:val="20"/>
                <w:szCs w:val="20"/>
              </w:rPr>
              <w:t xml:space="preserve">#312E81 / #C7D2FE</w:t>
            </w:r>
          </w:p>
        </w:tc>
      </w:tr>
      <w:tr>
        <w:tc>
          <w:tcPr>
            <w:tcW w:type="dxa" w:w="2000"/>
            <w:tcMar>
              <w:top w:type="dxa" w:w="100"/>
              <w:left w:type="dxa" w:w="120"/>
              <w:bottom w:type="dxa" w:w="100"/>
              <w:right w:type="dxa" w:w="120"/>
            </w:tcMar>
          </w:tcPr>
          <w:p>
            <w:pPr>
              <w:spacing w:after="0"/>
            </w:pPr>
            <w:r>
              <w:rPr>
                <w:color w:val="1C1917"/>
                <w:sz w:val="20"/>
                <w:szCs w:val="20"/>
              </w:rPr>
              <w:t xml:space="preserve">Personnalisé</w:t>
            </w:r>
          </w:p>
        </w:tc>
        <w:tc>
          <w:tcPr>
            <w:tcW w:type="dxa" w:w="3500"/>
            <w:tcMar>
              <w:top w:type="dxa" w:w="100"/>
              <w:left w:type="dxa" w:w="120"/>
              <w:bottom w:type="dxa" w:w="100"/>
              <w:right w:type="dxa" w:w="120"/>
            </w:tcMar>
          </w:tcPr>
          <w:p>
            <w:pPr>
              <w:spacing w:after="0"/>
            </w:pPr>
            <w:r>
              <w:rPr>
                <w:color w:val="1C1917"/>
                <w:sz w:val="20"/>
                <w:szCs w:val="20"/>
              </w:rPr>
              <w:t xml:space="preserve">#F5F3FF / #6D28D9</w:t>
            </w:r>
          </w:p>
        </w:tc>
        <w:tc>
          <w:tcPr>
            <w:tcW w:type="dxa" w:w="3500"/>
            <w:tcMar>
              <w:top w:type="dxa" w:w="100"/>
              <w:left w:type="dxa" w:w="120"/>
              <w:bottom w:type="dxa" w:w="100"/>
              <w:right w:type="dxa" w:w="120"/>
            </w:tcMar>
          </w:tcPr>
          <w:p>
            <w:pPr>
              <w:spacing w:after="0"/>
            </w:pPr>
            <w:r>
              <w:rPr>
                <w:color w:val="1C1917"/>
                <w:sz w:val="20"/>
                <w:szCs w:val="20"/>
              </w:rPr>
              <w:t xml:space="preserve">#4C1D95 / #DDD6FE</w:t>
            </w:r>
          </w:p>
        </w:tc>
      </w:tr>
    </w:tbl>
    <w:p>
      <w:pPr>
        <w:spacing w:after="120" w:line="300"/>
      </w:pPr>
      <w:r>
        <w:t xml:space="preserve">Les deux teintes sont proches mais distinguables — c'est intentionnel : un coefficient personnalisé n'est pas une anomalie, c'est un choix légitime, il ne doit donc pas être signalé par une couleur d'alerte (jaune, orange, rouge).</w:t>
      </w:r>
    </w:p>
    <w:p>
      <w:pPr>
        <w:pStyle w:val="Heading2"/>
        <w:spacing w:after="160" w:before="280"/>
      </w:pPr>
      <w:r>
        <w:rPr>
          <w:b/>
          <w:bCs/>
          <w:color w:val="4F46E5"/>
          <w:sz w:val="26"/>
          <w:szCs w:val="26"/>
        </w:rPr>
        <w:t xml:space="preserve">3.6 Règle de contraste</w:t>
      </w:r>
    </w:p>
    <w:p>
      <w:pPr>
        <w:spacing w:after="120" w:line="300"/>
      </w:pPr>
      <w:r>
        <w:t xml:space="preserve">Aucun texte ne doit apparaître sur un fond avec un ratio de contraste inférieur à 4.5:1 pour le corps de texte (WCAG AA), et 3:1 minimum pour les grands titres. Toutes les combinaisons listées dans cette charte respectent cette exigence — ne jamais improviser une nouvelle combinaison sans la vérifier.</w:t>
      </w:r>
    </w:p>
    <w:p>
      <w:r>
        <w:br w:type="page"/>
      </w:r>
    </w:p>
    <w:p>
      <w:pPr>
        <w:pStyle w:val="Heading1"/>
        <w:spacing w:after="200" w:before="360"/>
      </w:pPr>
      <w:r>
        <w:rPr>
          <w:b/>
          <w:bCs/>
          <w:color w:val="1E1B4B"/>
          <w:sz w:val="32"/>
          <w:szCs w:val="32"/>
        </w:rPr>
        <w:t xml:space="preserve">4. Typographie</w:t>
      </w:r>
    </w:p>
    <w:p>
      <w:pPr>
        <w:pStyle w:val="Heading2"/>
        <w:spacing w:after="160" w:before="280"/>
      </w:pPr>
      <w:r>
        <w:rPr>
          <w:b/>
          <w:bCs/>
          <w:color w:val="4F46E5"/>
          <w:sz w:val="26"/>
          <w:szCs w:val="26"/>
        </w:rPr>
        <w:t xml:space="preserve">4.1 Police unique — Inter</w:t>
      </w:r>
    </w:p>
    <w:p>
      <w:pPr>
        <w:spacing w:after="120" w:line="300"/>
      </w:pPr>
      <w:r>
        <w:t xml:space="preserve">Toute l'interface utilise </w:t>
      </w:r>
      <w:r>
        <w:rPr>
          <w:b/>
          <w:bCs/>
        </w:rPr>
        <w:t xml:space="preserve">Inter</w:t>
      </w:r>
      <w:r>
        <w:t xml:space="preserve"> comme police unique. Aucune seconde famille typographique n'est autorisée, aucune police serif décorative, aucune écriture manuscrite.</w:t>
      </w:r>
    </w:p>
    <w:p>
      <w:pPr>
        <w:spacing w:after="120" w:line="300"/>
      </w:pPr>
      <w:r>
        <w:t xml:space="preserve">Inter est chargée depuis Google Fonts :</w:t>
      </w:r>
    </w:p>
    <w:p>
      <w:pPr>
        <w:shd w:fill="F5F3FF" w:color="auto" w:val="clear"/>
        <w:spacing w:after="80" w:before="80"/>
      </w:pPr>
      <w:r>
        <w:rPr>
          <w:rFonts w:ascii="Consolas" w:cs="Consolas" w:eastAsia="Consolas" w:hAnsi="Consolas"/>
          <w:sz w:val="18"/>
          <w:szCs w:val="18"/>
        </w:rPr>
        <w:t xml:space="preserve">&lt;link rel="preconnect" href="https://fonts.googleapis.com"&gt;</w:t>
      </w:r>
    </w:p>
    <w:p>
      <w:pPr>
        <w:shd w:fill="F5F3FF" w:color="auto" w:val="clear"/>
        <w:spacing w:after="80" w:before="80"/>
      </w:pPr>
      <w:r>
        <w:rPr>
          <w:rFonts w:ascii="Consolas" w:cs="Consolas" w:eastAsia="Consolas" w:hAnsi="Consolas"/>
          <w:sz w:val="18"/>
          <w:szCs w:val="18"/>
        </w:rPr>
        <w:t xml:space="preserve">&lt;link rel="preconnect" href="https://fonts.gstatic.com" crossorigin&gt;</w:t>
      </w:r>
    </w:p>
    <w:p>
      <w:pPr>
        <w:shd w:fill="F5F3FF" w:color="auto" w:val="clear"/>
        <w:spacing w:after="80" w:before="80"/>
      </w:pPr>
      <w:r>
        <w:rPr>
          <w:rFonts w:ascii="Consolas" w:cs="Consolas" w:eastAsia="Consolas" w:hAnsi="Consolas"/>
          <w:sz w:val="18"/>
          <w:szCs w:val="18"/>
        </w:rPr>
        <w:t xml:space="preserve">&lt;link href="https://fonts.googleapis.com/css2?family=Inter:wght@400;500;600&amp;display=swap" rel="stylesheet"&gt;</w:t>
      </w:r>
    </w:p>
    <w:p>
      <w:pPr>
        <w:spacing w:after="120" w:line="300"/>
      </w:pPr>
      <w:r>
        <w:t xml:space="preserve">Trois graisses sont utilisées : </w:t>
      </w:r>
      <w:r>
        <w:rPr>
          <w:b/>
          <w:bCs/>
        </w:rPr>
        <w:t xml:space="preserve">Regular (400)</w:t>
      </w:r>
      <w:r>
        <w:t xml:space="preserve">, </w:t>
      </w:r>
      <w:r>
        <w:rPr>
          <w:b/>
          <w:bCs/>
        </w:rPr>
        <w:t xml:space="preserve">Medium (500)</w:t>
      </w:r>
      <w:r>
        <w:t xml:space="preserve">, et </w:t>
      </w:r>
      <w:r>
        <w:rPr>
          <w:b/>
          <w:bCs/>
        </w:rPr>
        <w:t xml:space="preserve">Semibold (600)</w:t>
      </w:r>
      <w:r>
        <w:t xml:space="preserve">. Ni light, ni bold — la charte tient sur trois graisses pour rester cohérente.</w:t>
      </w:r>
    </w:p>
    <w:p>
      <w:pPr>
        <w:pStyle w:val="Heading2"/>
        <w:spacing w:after="160" w:before="280"/>
      </w:pPr>
      <w:r>
        <w:rPr>
          <w:b/>
          <w:bCs/>
          <w:color w:val="4F46E5"/>
          <w:sz w:val="26"/>
          <w:szCs w:val="26"/>
        </w:rPr>
        <w:t xml:space="preserve">4.2 Échelle typographique</w:t>
      </w:r>
    </w:p>
    <w:p>
      <w:pPr>
        <w:spacing w:after="120" w:line="300"/>
      </w:pPr>
      <w:r>
        <w:t xml:space="preserve">Chaque taille a un usage unique et invariant. Ne jamais inventer une taille intermédiaire.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200"/>
        <w:gridCol w:w="1200"/>
        <w:gridCol w:w="3400"/>
      </w:tblGrid>
      <w:tr>
        <w:trPr>
          <w:tblHeader/>
        </w:trPr>
        <w:tc>
          <w:tcPr>
            <w:tcW w:type="dxa" w:w="14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900"/>
            <w:shd w:fill="EEF2FF" w:color="auto" w:val="clear"/>
            <w:tcMar>
              <w:top w:type="dxa" w:w="100"/>
              <w:left w:type="dxa" w:w="120"/>
              <w:bottom w:type="dxa" w:w="100"/>
              <w:right w:type="dxa" w:w="120"/>
            </w:tcMar>
          </w:tcPr>
          <w:p>
            <w:pPr>
              <w:spacing w:after="0"/>
            </w:pPr>
            <w:r>
              <w:rPr>
                <w:b/>
                <w:bCs/>
                <w:color w:val="1E1B4B"/>
                <w:sz w:val="20"/>
                <w:szCs w:val="20"/>
              </w:rPr>
              <w:t xml:space="preserve">Taille</w:t>
            </w:r>
          </w:p>
        </w:tc>
        <w:tc>
          <w:tcPr>
            <w:tcW w:type="dxa" w:w="900"/>
            <w:shd w:fill="EEF2FF" w:color="auto" w:val="clear"/>
            <w:tcMar>
              <w:top w:type="dxa" w:w="100"/>
              <w:left w:type="dxa" w:w="120"/>
              <w:bottom w:type="dxa" w:w="100"/>
              <w:right w:type="dxa" w:w="120"/>
            </w:tcMar>
          </w:tcPr>
          <w:p>
            <w:pPr>
              <w:spacing w:after="0"/>
            </w:pPr>
            <w:r>
              <w:rPr>
                <w:b/>
                <w:bCs/>
                <w:color w:val="1E1B4B"/>
                <w:sz w:val="20"/>
                <w:szCs w:val="20"/>
              </w:rPr>
              <w:t xml:space="preserve">Graisse</w:t>
            </w:r>
          </w:p>
        </w:tc>
        <w:tc>
          <w:tcPr>
            <w:tcW w:type="dxa" w:w="1200"/>
            <w:shd w:fill="EEF2FF" w:color="auto" w:val="clear"/>
            <w:tcMar>
              <w:top w:type="dxa" w:w="100"/>
              <w:left w:type="dxa" w:w="120"/>
              <w:bottom w:type="dxa" w:w="100"/>
              <w:right w:type="dxa" w:w="120"/>
            </w:tcMar>
          </w:tcPr>
          <w:p>
            <w:pPr>
              <w:spacing w:after="0"/>
            </w:pPr>
            <w:r>
              <w:rPr>
                <w:b/>
                <w:bCs/>
                <w:color w:val="1E1B4B"/>
                <w:sz w:val="20"/>
                <w:szCs w:val="20"/>
              </w:rPr>
              <w:t xml:space="preserve">Line-height</w:t>
            </w:r>
          </w:p>
        </w:tc>
        <w:tc>
          <w:tcPr>
            <w:tcW w:type="dxa" w:w="1200"/>
            <w:shd w:fill="EEF2FF" w:color="auto" w:val="clear"/>
            <w:tcMar>
              <w:top w:type="dxa" w:w="100"/>
              <w:left w:type="dxa" w:w="120"/>
              <w:bottom w:type="dxa" w:w="100"/>
              <w:right w:type="dxa" w:w="120"/>
            </w:tcMar>
          </w:tcPr>
          <w:p>
            <w:pPr>
              <w:spacing w:after="0"/>
            </w:pPr>
            <w:r>
              <w:rPr>
                <w:b/>
                <w:bCs/>
                <w:color w:val="1E1B4B"/>
                <w:sz w:val="20"/>
                <w:szCs w:val="20"/>
              </w:rPr>
              <w:t xml:space="preserve">Letter-spacing</w:t>
            </w:r>
          </w:p>
        </w:tc>
        <w:tc>
          <w:tcPr>
            <w:tcW w:type="dxa" w:w="3400"/>
            <w:shd w:fill="EEF2FF" w:color="auto" w:val="clear"/>
            <w:tcMar>
              <w:top w:type="dxa" w:w="100"/>
              <w:left w:type="dxa" w:w="120"/>
              <w:bottom w:type="dxa" w:w="100"/>
              <w:right w:type="dxa" w:w="120"/>
            </w:tcMar>
          </w:tcPr>
          <w:p>
            <w:pPr>
              <w:spacing w:after="0"/>
            </w:pPr>
            <w:r>
              <w:rPr>
                <w:b/>
                <w:bCs/>
                <w:color w:val="1E1B4B"/>
                <w:sz w:val="20"/>
                <w:szCs w:val="20"/>
              </w:rPr>
              <w:t xml:space="preserve">Usage</w:t>
            </w:r>
          </w:p>
        </w:tc>
      </w:tr>
      <w:tr>
        <w:tc>
          <w:tcPr>
            <w:tcW w:type="dxa" w:w="1400"/>
            <w:tcMar>
              <w:top w:type="dxa" w:w="100"/>
              <w:left w:type="dxa" w:w="120"/>
              <w:bottom w:type="dxa" w:w="100"/>
              <w:right w:type="dxa" w:w="120"/>
            </w:tcMar>
          </w:tcPr>
          <w:p>
            <w:pPr>
              <w:spacing w:after="0"/>
            </w:pPr>
            <w:r>
              <w:rPr>
                <w:color w:val="1C1917"/>
                <w:sz w:val="20"/>
                <w:szCs w:val="20"/>
              </w:rPr>
              <w:t xml:space="preserve">Titre 1</w:t>
            </w:r>
          </w:p>
        </w:tc>
        <w:tc>
          <w:tcPr>
            <w:tcW w:type="dxa" w:w="900"/>
            <w:tcMar>
              <w:top w:type="dxa" w:w="100"/>
              <w:left w:type="dxa" w:w="120"/>
              <w:bottom w:type="dxa" w:w="100"/>
              <w:right w:type="dxa" w:w="120"/>
            </w:tcMar>
          </w:tcPr>
          <w:p>
            <w:pPr>
              <w:spacing w:after="0"/>
            </w:pPr>
            <w:r>
              <w:rPr>
                <w:color w:val="1C1917"/>
                <w:sz w:val="20"/>
                <w:szCs w:val="20"/>
              </w:rPr>
              <w:t xml:space="preserve">32px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1.2</w:t>
            </w:r>
          </w:p>
        </w:tc>
        <w:tc>
          <w:tcPr>
            <w:tcW w:type="dxa" w:w="1200"/>
            <w:tcMar>
              <w:top w:type="dxa" w:w="100"/>
              <w:left w:type="dxa" w:w="120"/>
              <w:bottom w:type="dxa" w:w="100"/>
              <w:right w:type="dxa" w:w="120"/>
            </w:tcMar>
          </w:tcPr>
          <w:p>
            <w:pPr>
              <w:spacing w:after="0"/>
            </w:pPr>
            <w:r>
              <w:rPr>
                <w:color w:val="1C1917"/>
                <w:sz w:val="20"/>
                <w:szCs w:val="20"/>
              </w:rPr>
              <w:t xml:space="preserve">-2%</w:t>
            </w:r>
          </w:p>
        </w:tc>
        <w:tc>
          <w:tcPr>
            <w:tcW w:type="dxa" w:w="3400"/>
            <w:tcMar>
              <w:top w:type="dxa" w:w="100"/>
              <w:left w:type="dxa" w:w="120"/>
              <w:bottom w:type="dxa" w:w="100"/>
              <w:right w:type="dxa" w:w="120"/>
            </w:tcMar>
          </w:tcPr>
          <w:p>
            <w:pPr>
              <w:spacing w:after="0"/>
            </w:pPr>
            <w:r>
              <w:rPr>
                <w:color w:val="1C1917"/>
                <w:sz w:val="20"/>
                <w:szCs w:val="20"/>
              </w:rPr>
              <w:t xml:space="preserve">Titre principal d'écran, page d'accueil</w:t>
            </w:r>
          </w:p>
        </w:tc>
      </w:tr>
      <w:tr>
        <w:tc>
          <w:tcPr>
            <w:tcW w:type="dxa" w:w="1400"/>
            <w:tcMar>
              <w:top w:type="dxa" w:w="100"/>
              <w:left w:type="dxa" w:w="120"/>
              <w:bottom w:type="dxa" w:w="100"/>
              <w:right w:type="dxa" w:w="120"/>
            </w:tcMar>
          </w:tcPr>
          <w:p>
            <w:pPr>
              <w:spacing w:after="0"/>
            </w:pPr>
            <w:r>
              <w:rPr>
                <w:color w:val="1C1917"/>
                <w:sz w:val="20"/>
                <w:szCs w:val="20"/>
              </w:rPr>
              <w:t xml:space="preserve">Titre 2</w:t>
            </w:r>
          </w:p>
        </w:tc>
        <w:tc>
          <w:tcPr>
            <w:tcW w:type="dxa" w:w="900"/>
            <w:tcMar>
              <w:top w:type="dxa" w:w="100"/>
              <w:left w:type="dxa" w:w="120"/>
              <w:bottom w:type="dxa" w:w="100"/>
              <w:right w:type="dxa" w:w="120"/>
            </w:tcMar>
          </w:tcPr>
          <w:p>
            <w:pPr>
              <w:spacing w:after="0"/>
            </w:pPr>
            <w:r>
              <w:rPr>
                <w:color w:val="1C1917"/>
                <w:sz w:val="20"/>
                <w:szCs w:val="20"/>
              </w:rPr>
              <w:t xml:space="preserve">24px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1.25</w:t>
            </w:r>
          </w:p>
        </w:tc>
        <w:tc>
          <w:tcPr>
            <w:tcW w:type="dxa" w:w="1200"/>
            <w:tcMar>
              <w:top w:type="dxa" w:w="100"/>
              <w:left w:type="dxa" w:w="120"/>
              <w:bottom w:type="dxa" w:w="100"/>
              <w:right w:type="dxa" w:w="120"/>
            </w:tcMar>
          </w:tcPr>
          <w:p>
            <w:pPr>
              <w:spacing w:after="0"/>
            </w:pPr>
            <w:r>
              <w:rPr>
                <w:color w:val="1C1917"/>
                <w:sz w:val="20"/>
                <w:szCs w:val="20"/>
              </w:rPr>
              <w:t xml:space="preserve">-1%</w:t>
            </w:r>
          </w:p>
        </w:tc>
        <w:tc>
          <w:tcPr>
            <w:tcW w:type="dxa" w:w="3400"/>
            <w:tcMar>
              <w:top w:type="dxa" w:w="100"/>
              <w:left w:type="dxa" w:w="120"/>
              <w:bottom w:type="dxa" w:w="100"/>
              <w:right w:type="dxa" w:w="120"/>
            </w:tcMar>
          </w:tcPr>
          <w:p>
            <w:pPr>
              <w:spacing w:after="0"/>
            </w:pPr>
            <w:r>
              <w:rPr>
                <w:color w:val="1C1917"/>
                <w:sz w:val="20"/>
                <w:szCs w:val="20"/>
              </w:rPr>
              <w:t xml:space="preserve">Titres de section importants</w:t>
            </w:r>
          </w:p>
        </w:tc>
      </w:tr>
      <w:tr>
        <w:tc>
          <w:tcPr>
            <w:tcW w:type="dxa" w:w="1400"/>
            <w:tcMar>
              <w:top w:type="dxa" w:w="100"/>
              <w:left w:type="dxa" w:w="120"/>
              <w:bottom w:type="dxa" w:w="100"/>
              <w:right w:type="dxa" w:w="120"/>
            </w:tcMar>
          </w:tcPr>
          <w:p>
            <w:pPr>
              <w:spacing w:after="0"/>
            </w:pPr>
            <w:r>
              <w:rPr>
                <w:color w:val="1C1917"/>
                <w:sz w:val="20"/>
                <w:szCs w:val="20"/>
              </w:rPr>
              <w:t xml:space="preserve">Titre 3</w:t>
            </w:r>
          </w:p>
        </w:tc>
        <w:tc>
          <w:tcPr>
            <w:tcW w:type="dxa" w:w="900"/>
            <w:tcMar>
              <w:top w:type="dxa" w:w="100"/>
              <w:left w:type="dxa" w:w="120"/>
              <w:bottom w:type="dxa" w:w="100"/>
              <w:right w:type="dxa" w:w="120"/>
            </w:tcMar>
          </w:tcPr>
          <w:p>
            <w:pPr>
              <w:spacing w:after="0"/>
            </w:pPr>
            <w:r>
              <w:rPr>
                <w:color w:val="1C1917"/>
                <w:sz w:val="20"/>
                <w:szCs w:val="20"/>
              </w:rPr>
              <w:t xml:space="preserve">20px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1.3</w:t>
            </w:r>
          </w:p>
        </w:tc>
        <w:tc>
          <w:tcPr>
            <w:tcW w:type="dxa" w:w="1200"/>
            <w:tcMar>
              <w:top w:type="dxa" w:w="100"/>
              <w:left w:type="dxa" w:w="120"/>
              <w:bottom w:type="dxa" w:w="100"/>
              <w:right w:type="dxa" w:w="120"/>
            </w:tcMar>
          </w:tcPr>
          <w:p>
            <w:pPr>
              <w:spacing w:after="0"/>
            </w:pPr>
            <w:r>
              <w:rPr>
                <w:color w:val="1C1917"/>
                <w:sz w:val="20"/>
                <w:szCs w:val="20"/>
              </w:rPr>
              <w:t xml:space="preserve">-1%</w:t>
            </w:r>
          </w:p>
        </w:tc>
        <w:tc>
          <w:tcPr>
            <w:tcW w:type="dxa" w:w="3400"/>
            <w:tcMar>
              <w:top w:type="dxa" w:w="100"/>
              <w:left w:type="dxa" w:w="120"/>
              <w:bottom w:type="dxa" w:w="100"/>
              <w:right w:type="dxa" w:w="120"/>
            </w:tcMar>
          </w:tcPr>
          <w:p>
            <w:pPr>
              <w:spacing w:after="0"/>
            </w:pPr>
            <w:r>
              <w:rPr>
                <w:color w:val="1C1917"/>
                <w:sz w:val="20"/>
                <w:szCs w:val="20"/>
              </w:rPr>
              <w:t xml:space="preserve">Sous-titres, en-têtes de bloc</w:t>
            </w:r>
          </w:p>
        </w:tc>
      </w:tr>
      <w:tr>
        <w:tc>
          <w:tcPr>
            <w:tcW w:type="dxa" w:w="1400"/>
            <w:tcMar>
              <w:top w:type="dxa" w:w="100"/>
              <w:left w:type="dxa" w:w="120"/>
              <w:bottom w:type="dxa" w:w="100"/>
              <w:right w:type="dxa" w:w="120"/>
            </w:tcMar>
          </w:tcPr>
          <w:p>
            <w:pPr>
              <w:spacing w:after="0"/>
            </w:pPr>
            <w:r>
              <w:rPr>
                <w:color w:val="1C1917"/>
                <w:sz w:val="20"/>
                <w:szCs w:val="20"/>
              </w:rPr>
              <w:t xml:space="preserve">Titre 4</w:t>
            </w:r>
          </w:p>
        </w:tc>
        <w:tc>
          <w:tcPr>
            <w:tcW w:type="dxa" w:w="900"/>
            <w:tcMar>
              <w:top w:type="dxa" w:w="100"/>
              <w:left w:type="dxa" w:w="120"/>
              <w:bottom w:type="dxa" w:w="100"/>
              <w:right w:type="dxa" w:w="120"/>
            </w:tcMar>
          </w:tcPr>
          <w:p>
            <w:pPr>
              <w:spacing w:after="0"/>
            </w:pPr>
            <w:r>
              <w:rPr>
                <w:color w:val="1C1917"/>
                <w:sz w:val="20"/>
                <w:szCs w:val="20"/>
              </w:rPr>
              <w:t xml:space="preserve">17px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1.4</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Titres de cartes, libellés forts</w:t>
            </w:r>
          </w:p>
        </w:tc>
      </w:tr>
      <w:tr>
        <w:tc>
          <w:tcPr>
            <w:tcW w:type="dxa" w:w="1400"/>
            <w:tcMar>
              <w:top w:type="dxa" w:w="100"/>
              <w:left w:type="dxa" w:w="120"/>
              <w:bottom w:type="dxa" w:w="100"/>
              <w:right w:type="dxa" w:w="120"/>
            </w:tcMar>
          </w:tcPr>
          <w:p>
            <w:pPr>
              <w:spacing w:after="0"/>
            </w:pPr>
            <w:r>
              <w:rPr>
                <w:color w:val="1C1917"/>
                <w:sz w:val="20"/>
                <w:szCs w:val="20"/>
              </w:rPr>
              <w:t xml:space="preserve">Corps</w:t>
            </w:r>
          </w:p>
        </w:tc>
        <w:tc>
          <w:tcPr>
            <w:tcW w:type="dxa" w:w="900"/>
            <w:tcMar>
              <w:top w:type="dxa" w:w="100"/>
              <w:left w:type="dxa" w:w="120"/>
              <w:bottom w:type="dxa" w:w="100"/>
              <w:right w:type="dxa" w:w="120"/>
            </w:tcMar>
          </w:tcPr>
          <w:p>
            <w:pPr>
              <w:spacing w:after="0"/>
            </w:pPr>
            <w:r>
              <w:rPr>
                <w:color w:val="1C1917"/>
                <w:sz w:val="20"/>
                <w:szCs w:val="20"/>
              </w:rPr>
              <w:t xml:space="preserve">15px</w:t>
            </w:r>
          </w:p>
        </w:tc>
        <w:tc>
          <w:tcPr>
            <w:tcW w:type="dxa" w:w="900"/>
            <w:tcMar>
              <w:top w:type="dxa" w:w="100"/>
              <w:left w:type="dxa" w:w="120"/>
              <w:bottom w:type="dxa" w:w="100"/>
              <w:right w:type="dxa" w:w="120"/>
            </w:tcMar>
          </w:tcPr>
          <w:p>
            <w:pPr>
              <w:spacing w:after="0"/>
            </w:pPr>
            <w:r>
              <w:rPr>
                <w:color w:val="1C1917"/>
                <w:sz w:val="20"/>
                <w:szCs w:val="20"/>
              </w:rPr>
              <w:t xml:space="preserve">400</w:t>
            </w:r>
          </w:p>
        </w:tc>
        <w:tc>
          <w:tcPr>
            <w:tcW w:type="dxa" w:w="1200"/>
            <w:tcMar>
              <w:top w:type="dxa" w:w="100"/>
              <w:left w:type="dxa" w:w="120"/>
              <w:bottom w:type="dxa" w:w="100"/>
              <w:right w:type="dxa" w:w="120"/>
            </w:tcMar>
          </w:tcPr>
          <w:p>
            <w:pPr>
              <w:spacing w:after="0"/>
            </w:pPr>
            <w:r>
              <w:rPr>
                <w:color w:val="1C1917"/>
                <w:sz w:val="20"/>
                <w:szCs w:val="20"/>
              </w:rPr>
              <w:t xml:space="preserve">1.6</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Texte courant, paragraphes</w:t>
            </w:r>
          </w:p>
        </w:tc>
      </w:tr>
      <w:tr>
        <w:tc>
          <w:tcPr>
            <w:tcW w:type="dxa" w:w="1400"/>
            <w:tcMar>
              <w:top w:type="dxa" w:w="100"/>
              <w:left w:type="dxa" w:w="120"/>
              <w:bottom w:type="dxa" w:w="100"/>
              <w:right w:type="dxa" w:w="120"/>
            </w:tcMar>
          </w:tcPr>
          <w:p>
            <w:pPr>
              <w:spacing w:after="0"/>
            </w:pPr>
            <w:r>
              <w:rPr>
                <w:color w:val="1C1917"/>
                <w:sz w:val="20"/>
                <w:szCs w:val="20"/>
              </w:rPr>
              <w:t xml:space="preserve">Corps fort</w:t>
            </w:r>
          </w:p>
        </w:tc>
        <w:tc>
          <w:tcPr>
            <w:tcW w:type="dxa" w:w="900"/>
            <w:tcMar>
              <w:top w:type="dxa" w:w="100"/>
              <w:left w:type="dxa" w:w="120"/>
              <w:bottom w:type="dxa" w:w="100"/>
              <w:right w:type="dxa" w:w="120"/>
            </w:tcMar>
          </w:tcPr>
          <w:p>
            <w:pPr>
              <w:spacing w:after="0"/>
            </w:pPr>
            <w:r>
              <w:rPr>
                <w:color w:val="1C1917"/>
                <w:sz w:val="20"/>
                <w:szCs w:val="20"/>
              </w:rPr>
              <w:t xml:space="preserve">15px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1.6</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Libellés de champ, données importantes</w:t>
            </w:r>
          </w:p>
        </w:tc>
      </w:tr>
      <w:tr>
        <w:tc>
          <w:tcPr>
            <w:tcW w:type="dxa" w:w="1400"/>
            <w:tcMar>
              <w:top w:type="dxa" w:w="100"/>
              <w:left w:type="dxa" w:w="120"/>
              <w:bottom w:type="dxa" w:w="100"/>
              <w:right w:type="dxa" w:w="120"/>
            </w:tcMar>
          </w:tcPr>
          <w:p>
            <w:pPr>
              <w:spacing w:after="0"/>
            </w:pPr>
            <w:r>
              <w:rPr>
                <w:color w:val="1C1917"/>
                <w:sz w:val="20"/>
                <w:szCs w:val="20"/>
              </w:rPr>
              <w:t xml:space="preserve">Secondaire</w:t>
            </w:r>
          </w:p>
        </w:tc>
        <w:tc>
          <w:tcPr>
            <w:tcW w:type="dxa" w:w="900"/>
            <w:tcMar>
              <w:top w:type="dxa" w:w="100"/>
              <w:left w:type="dxa" w:w="120"/>
              <w:bottom w:type="dxa" w:w="100"/>
              <w:right w:type="dxa" w:w="120"/>
            </w:tcMar>
          </w:tcPr>
          <w:p>
            <w:pPr>
              <w:spacing w:after="0"/>
            </w:pPr>
            <w:r>
              <w:rPr>
                <w:color w:val="1C1917"/>
                <w:sz w:val="20"/>
                <w:szCs w:val="20"/>
              </w:rPr>
              <w:t xml:space="preserve">13px</w:t>
            </w:r>
          </w:p>
        </w:tc>
        <w:tc>
          <w:tcPr>
            <w:tcW w:type="dxa" w:w="900"/>
            <w:tcMar>
              <w:top w:type="dxa" w:w="100"/>
              <w:left w:type="dxa" w:w="120"/>
              <w:bottom w:type="dxa" w:w="100"/>
              <w:right w:type="dxa" w:w="120"/>
            </w:tcMar>
          </w:tcPr>
          <w:p>
            <w:pPr>
              <w:spacing w:after="0"/>
            </w:pPr>
            <w:r>
              <w:rPr>
                <w:color w:val="1C1917"/>
                <w:sz w:val="20"/>
                <w:szCs w:val="20"/>
              </w:rPr>
              <w:t xml:space="preserve">400</w:t>
            </w:r>
          </w:p>
        </w:tc>
        <w:tc>
          <w:tcPr>
            <w:tcW w:type="dxa" w:w="1200"/>
            <w:tcMar>
              <w:top w:type="dxa" w:w="100"/>
              <w:left w:type="dxa" w:w="120"/>
              <w:bottom w:type="dxa" w:w="100"/>
              <w:right w:type="dxa" w:w="120"/>
            </w:tcMar>
          </w:tcPr>
          <w:p>
            <w:pPr>
              <w:spacing w:after="0"/>
            </w:pPr>
            <w:r>
              <w:rPr>
                <w:color w:val="1C1917"/>
                <w:sz w:val="20"/>
                <w:szCs w:val="20"/>
              </w:rPr>
              <w:t xml:space="preserve">1.5</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Métadonnées, sous-titres, indications</w:t>
            </w:r>
          </w:p>
        </w:tc>
      </w:tr>
      <w:tr>
        <w:tc>
          <w:tcPr>
            <w:tcW w:type="dxa" w:w="1400"/>
            <w:tcMar>
              <w:top w:type="dxa" w:w="100"/>
              <w:left w:type="dxa" w:w="120"/>
              <w:bottom w:type="dxa" w:w="100"/>
              <w:right w:type="dxa" w:w="120"/>
            </w:tcMar>
          </w:tcPr>
          <w:p>
            <w:pPr>
              <w:spacing w:after="0"/>
            </w:pPr>
            <w:r>
              <w:rPr>
                <w:color w:val="1C1917"/>
                <w:sz w:val="20"/>
                <w:szCs w:val="20"/>
              </w:rPr>
              <w:t xml:space="preserve">Petit</w:t>
            </w:r>
          </w:p>
        </w:tc>
        <w:tc>
          <w:tcPr>
            <w:tcW w:type="dxa" w:w="900"/>
            <w:tcMar>
              <w:top w:type="dxa" w:w="100"/>
              <w:left w:type="dxa" w:w="120"/>
              <w:bottom w:type="dxa" w:w="100"/>
              <w:right w:type="dxa" w:w="120"/>
            </w:tcMar>
          </w:tcPr>
          <w:p>
            <w:pPr>
              <w:spacing w:after="0"/>
            </w:pPr>
            <w:r>
              <w:rPr>
                <w:color w:val="1C1917"/>
                <w:sz w:val="20"/>
                <w:szCs w:val="20"/>
              </w:rPr>
              <w:t xml:space="preserve">12px</w:t>
            </w:r>
          </w:p>
        </w:tc>
        <w:tc>
          <w:tcPr>
            <w:tcW w:type="dxa" w:w="900"/>
            <w:tcMar>
              <w:top w:type="dxa" w:w="100"/>
              <w:left w:type="dxa" w:w="120"/>
              <w:bottom w:type="dxa" w:w="100"/>
              <w:right w:type="dxa" w:w="120"/>
            </w:tcMar>
          </w:tcPr>
          <w:p>
            <w:pPr>
              <w:spacing w:after="0"/>
            </w:pPr>
            <w:r>
              <w:rPr>
                <w:color w:val="1C1917"/>
                <w:sz w:val="20"/>
                <w:szCs w:val="20"/>
              </w:rPr>
              <w:t xml:space="preserve">500</w:t>
            </w:r>
          </w:p>
        </w:tc>
        <w:tc>
          <w:tcPr>
            <w:tcW w:type="dxa" w:w="1200"/>
            <w:tcMar>
              <w:top w:type="dxa" w:w="100"/>
              <w:left w:type="dxa" w:w="120"/>
              <w:bottom w:type="dxa" w:w="100"/>
              <w:right w:type="dxa" w:w="120"/>
            </w:tcMar>
          </w:tcPr>
          <w:p>
            <w:pPr>
              <w:spacing w:after="0"/>
            </w:pPr>
            <w:r>
              <w:rPr>
                <w:color w:val="1C1917"/>
                <w:sz w:val="20"/>
                <w:szCs w:val="20"/>
              </w:rPr>
              <w:t xml:space="preserve">1.4</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Badges, pills, étiquettes</w:t>
            </w:r>
          </w:p>
        </w:tc>
      </w:tr>
      <w:tr>
        <w:tc>
          <w:tcPr>
            <w:tcW w:type="dxa" w:w="1400"/>
            <w:tcMar>
              <w:top w:type="dxa" w:w="100"/>
              <w:left w:type="dxa" w:w="120"/>
              <w:bottom w:type="dxa" w:w="100"/>
              <w:right w:type="dxa" w:w="120"/>
            </w:tcMar>
          </w:tcPr>
          <w:p>
            <w:pPr>
              <w:spacing w:after="0"/>
            </w:pPr>
            <w:r>
              <w:rPr>
                <w:color w:val="1C1917"/>
                <w:sz w:val="20"/>
                <w:szCs w:val="20"/>
              </w:rPr>
              <w:t xml:space="preserve">Micro</w:t>
            </w:r>
          </w:p>
        </w:tc>
        <w:tc>
          <w:tcPr>
            <w:tcW w:type="dxa" w:w="900"/>
            <w:tcMar>
              <w:top w:type="dxa" w:w="100"/>
              <w:left w:type="dxa" w:w="120"/>
              <w:bottom w:type="dxa" w:w="100"/>
              <w:right w:type="dxa" w:w="120"/>
            </w:tcMar>
          </w:tcPr>
          <w:p>
            <w:pPr>
              <w:spacing w:after="0"/>
            </w:pPr>
            <w:r>
              <w:rPr>
                <w:color w:val="1C1917"/>
                <w:sz w:val="20"/>
                <w:szCs w:val="20"/>
              </w:rPr>
              <w:t xml:space="preserve">11px</w:t>
            </w:r>
          </w:p>
        </w:tc>
        <w:tc>
          <w:tcPr>
            <w:tcW w:type="dxa" w:w="900"/>
            <w:tcMar>
              <w:top w:type="dxa" w:w="100"/>
              <w:left w:type="dxa" w:w="120"/>
              <w:bottom w:type="dxa" w:w="100"/>
              <w:right w:type="dxa" w:w="120"/>
            </w:tcMar>
          </w:tcPr>
          <w:p>
            <w:pPr>
              <w:spacing w:after="0"/>
            </w:pPr>
            <w:r>
              <w:rPr>
                <w:color w:val="1C1917"/>
                <w:sz w:val="20"/>
                <w:szCs w:val="20"/>
              </w:rPr>
              <w:t xml:space="preserve">400</w:t>
            </w:r>
          </w:p>
        </w:tc>
        <w:tc>
          <w:tcPr>
            <w:tcW w:type="dxa" w:w="1200"/>
            <w:tcMar>
              <w:top w:type="dxa" w:w="100"/>
              <w:left w:type="dxa" w:w="120"/>
              <w:bottom w:type="dxa" w:w="100"/>
              <w:right w:type="dxa" w:w="120"/>
            </w:tcMar>
          </w:tcPr>
          <w:p>
            <w:pPr>
              <w:spacing w:after="0"/>
            </w:pPr>
            <w:r>
              <w:rPr>
                <w:color w:val="1C1917"/>
                <w:sz w:val="20"/>
                <w:szCs w:val="20"/>
              </w:rPr>
              <w:t xml:space="preserve">1.3</w:t>
            </w:r>
          </w:p>
        </w:tc>
        <w:tc>
          <w:tcPr>
            <w:tcW w:type="dxa" w:w="1200"/>
            <w:tcMar>
              <w:top w:type="dxa" w:w="100"/>
              <w:left w:type="dxa" w:w="120"/>
              <w:bottom w:type="dxa" w:w="100"/>
              <w:right w:type="dxa" w:w="120"/>
            </w:tcMar>
          </w:tcPr>
          <w:p>
            <w:pPr>
              <w:spacing w:after="0"/>
            </w:pPr>
            <w:r>
              <w:rPr>
                <w:color w:val="1C1917"/>
                <w:sz w:val="20"/>
                <w:szCs w:val="20"/>
              </w:rPr>
              <w:t xml:space="preserve">0</w:t>
            </w:r>
          </w:p>
        </w:tc>
        <w:tc>
          <w:tcPr>
            <w:tcW w:type="dxa" w:w="3400"/>
            <w:tcMar>
              <w:top w:type="dxa" w:w="100"/>
              <w:left w:type="dxa" w:w="120"/>
              <w:bottom w:type="dxa" w:w="100"/>
              <w:right w:type="dxa" w:w="120"/>
            </w:tcMar>
          </w:tcPr>
          <w:p>
            <w:pPr>
              <w:spacing w:after="0"/>
            </w:pPr>
            <w:r>
              <w:rPr>
                <w:color w:val="1C1917"/>
                <w:sz w:val="20"/>
                <w:szCs w:val="20"/>
              </w:rPr>
              <w:t xml:space="preserve">Références techniques, mentions</w:t>
            </w:r>
          </w:p>
        </w:tc>
      </w:tr>
    </w:tbl>
    <w:p>
      <w:pPr>
        <w:spacing w:after="120" w:line="300"/>
      </w:pPr>
      <w:r>
        <w:rPr>
          <w:b/>
          <w:bCs/>
        </w:rPr>
        <w:t xml:space="preserve">La taille minimale absolue est 11px. </w:t>
      </w:r>
      <w:r>
        <w:t xml:space="preserve">Aucun texte ne descend en dessous, jamais.</w:t>
      </w:r>
    </w:p>
    <w:p>
      <w:pPr>
        <w:pStyle w:val="Heading2"/>
        <w:spacing w:after="160" w:before="280"/>
      </w:pPr>
      <w:r>
        <w:rPr>
          <w:b/>
          <w:bCs/>
          <w:color w:val="4F46E5"/>
          <w:sz w:val="26"/>
          <w:szCs w:val="26"/>
        </w:rPr>
        <w:t xml:space="preserve">4.3 Couleur du texte</w:t>
      </w:r>
    </w:p>
    <w:p>
      <w:pPr>
        <w:spacing w:after="120" w:line="300"/>
      </w:pPr>
      <w:r>
        <w:t xml:space="preserve">Le texte prend deux couleurs standard selon son rôle :</w:t>
      </w:r>
    </w:p>
    <w:p>
      <w:pPr>
        <w:pStyle w:val="ListParagraph"/>
        <w:numPr>
          <w:ilvl w:val="0"/>
          <w:numId w:val="2"/>
        </w:numPr>
        <w:spacing w:after="80"/>
      </w:pPr>
      <w:r>
        <w:t xml:space="preserve">Texte primaire (#1C1917 en clair, #FAFAF9 en sombre) : titres, corps de texte, données principales</w:t>
      </w:r>
    </w:p>
    <w:p>
      <w:pPr>
        <w:pStyle w:val="ListParagraph"/>
        <w:numPr>
          <w:ilvl w:val="0"/>
          <w:numId w:val="2"/>
        </w:numPr>
        <w:spacing w:after="80"/>
      </w:pPr>
      <w:r>
        <w:t xml:space="preserve">Texte secondaire (#78716C en clair, #A8A29E en sombre) : métadonnées, sous-titres, contexte</w:t>
      </w:r>
    </w:p>
    <w:p>
      <w:pPr>
        <w:spacing w:after="120" w:line="300"/>
      </w:pPr>
      <w:r>
        <w:t xml:space="preserve">Aucun texte ne doit être plus clair que le texte secondaire (pas de gris ultra-clair, pas de texte à faible opacité qui devient illisible).</w:t>
      </w:r>
    </w:p>
    <w:p>
      <w:pPr>
        <w:pStyle w:val="Heading2"/>
        <w:spacing w:after="160" w:before="280"/>
      </w:pPr>
      <w:r>
        <w:rPr>
          <w:b/>
          <w:bCs/>
          <w:color w:val="4F46E5"/>
          <w:sz w:val="26"/>
          <w:szCs w:val="26"/>
        </w:rPr>
        <w:t xml:space="preserve">4.4 Règles d'usage</w:t>
      </w:r>
    </w:p>
    <w:p>
      <w:pPr>
        <w:pStyle w:val="Heading3"/>
        <w:spacing w:after="120" w:before="220"/>
      </w:pPr>
      <w:r>
        <w:rPr>
          <w:b/>
          <w:bCs/>
          <w:color w:val="4F46E5"/>
          <w:sz w:val="22"/>
          <w:szCs w:val="22"/>
        </w:rPr>
        <w:t xml:space="preserve">Casse</w:t>
      </w:r>
    </w:p>
    <w:p>
      <w:pPr>
        <w:spacing w:after="120" w:line="300"/>
      </w:pPr>
      <w:r>
        <w:t xml:space="preserve">Aucun texte n'est jamais en capitales, sauf les acronymes officiels (BEPC, GCE, MINESEC). Les titres, boutons, étiquettes suivent la casse de phrase — première lettre en majuscule, le reste en minuscules.</w:t>
      </w:r>
    </w:p>
    <w:p>
      <w:pPr>
        <w:pStyle w:val="Heading3"/>
        <w:spacing w:after="120" w:before="220"/>
      </w:pPr>
      <w:r>
        <w:rPr>
          <w:b/>
          <w:bCs/>
          <w:color w:val="4F46E5"/>
          <w:sz w:val="22"/>
          <w:szCs w:val="22"/>
        </w:rPr>
        <w:t xml:space="preserve">Ponctuation</w:t>
      </w:r>
    </w:p>
    <w:p>
      <w:pPr>
        <w:spacing w:after="120" w:line="300"/>
      </w:pPr>
      <w:r>
        <w:t xml:space="preserve">Les libellés courts (titres, boutons, étiquettes de champs) n'ont pas de ponctuation finale. Les phrases complètes (descriptions, messages d'aide, messages d'erreur) ont une ponctuation normale.</w:t>
      </w:r>
    </w:p>
    <w:p>
      <w:pPr>
        <w:pStyle w:val="Heading3"/>
        <w:spacing w:after="120" w:before="220"/>
      </w:pPr>
      <w:r>
        <w:rPr>
          <w:b/>
          <w:bCs/>
          <w:color w:val="4F46E5"/>
          <w:sz w:val="22"/>
          <w:szCs w:val="22"/>
        </w:rPr>
        <w:t xml:space="preserve">Alignement</w:t>
      </w:r>
    </w:p>
    <w:p>
      <w:pPr>
        <w:spacing w:after="120" w:line="300"/>
      </w:pPr>
      <w:r>
        <w:t xml:space="preserve">Le texte est toujours aligné à gauche, jamais justifié. Seuls les nombres dans les colonnes de tableau peuvent être alignés à droite.</w:t>
      </w:r>
    </w:p>
    <w:p>
      <w:pPr>
        <w:pStyle w:val="Heading3"/>
        <w:spacing w:after="120" w:before="220"/>
      </w:pPr>
      <w:r>
        <w:rPr>
          <w:b/>
          <w:bCs/>
          <w:color w:val="4F46E5"/>
          <w:sz w:val="22"/>
          <w:szCs w:val="22"/>
        </w:rPr>
        <w:t xml:space="preserve">Contractions</w:t>
      </w:r>
    </w:p>
    <w:p>
      <w:pPr>
        <w:spacing w:after="120" w:line="300"/>
      </w:pPr>
      <w:r>
        <w:t xml:space="preserve">L'interface utilise un ton naturel et conversationnel : « Vous n'avez pas encore… » plutôt que « L'utilisateur n'a pas encore… ».</w:t>
      </w:r>
    </w:p>
    <w:p>
      <w:r>
        <w:br w:type="page"/>
      </w:r>
    </w:p>
    <w:p>
      <w:pPr>
        <w:pStyle w:val="Heading1"/>
        <w:spacing w:after="200" w:before="360"/>
      </w:pPr>
      <w:r>
        <w:rPr>
          <w:b/>
          <w:bCs/>
          <w:color w:val="1E1B4B"/>
          <w:sz w:val="32"/>
          <w:szCs w:val="32"/>
        </w:rPr>
        <w:t xml:space="preserve">5. Grille et espacements</w:t>
      </w:r>
    </w:p>
    <w:p>
      <w:pPr>
        <w:pStyle w:val="Heading2"/>
        <w:spacing w:after="160" w:before="280"/>
      </w:pPr>
      <w:r>
        <w:rPr>
          <w:b/>
          <w:bCs/>
          <w:color w:val="4F46E5"/>
          <w:sz w:val="26"/>
          <w:szCs w:val="26"/>
        </w:rPr>
        <w:t xml:space="preserve">5.1 Unité de base</w:t>
      </w:r>
    </w:p>
    <w:p>
      <w:pPr>
        <w:spacing w:after="120" w:line="300"/>
      </w:pPr>
      <w:r>
        <w:t xml:space="preserve">L'interface est construite sur une </w:t>
      </w:r>
      <w:r>
        <w:rPr>
          <w:b/>
          <w:bCs/>
        </w:rPr>
        <w:t xml:space="preserve">unité de base de 4 pixels</w:t>
      </w:r>
      <w:r>
        <w:t xml:space="preserve">. Tous les espacements, tailles et rayons sont des multiples de 4. C'est ce qui garantit l'alignement visuel de tous les éléments.</w:t>
      </w:r>
    </w:p>
    <w:p>
      <w:pPr>
        <w:pStyle w:val="Heading2"/>
        <w:spacing w:after="160" w:before="280"/>
      </w:pPr>
      <w:r>
        <w:rPr>
          <w:b/>
          <w:bCs/>
          <w:color w:val="4F46E5"/>
          <w:sz w:val="26"/>
          <w:szCs w:val="26"/>
        </w:rPr>
        <w:t xml:space="preserve">5.2 Échelle d'espacement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00"/>
      </w:tblGrid>
      <w:tr>
        <w:trPr>
          <w:tblHeader/>
        </w:trPr>
        <w:tc>
          <w:tcPr>
            <w:tcW w:type="dxa" w:w="12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1200"/>
            <w:shd w:fill="EEF2FF" w:color="auto" w:val="clear"/>
            <w:tcMar>
              <w:top w:type="dxa" w:w="100"/>
              <w:left w:type="dxa" w:w="120"/>
              <w:bottom w:type="dxa" w:w="100"/>
              <w:right w:type="dxa" w:w="120"/>
            </w:tcMar>
          </w:tcPr>
          <w:p>
            <w:pPr>
              <w:spacing w:after="0"/>
            </w:pPr>
            <w:r>
              <w:rPr>
                <w:b/>
                <w:bCs/>
                <w:color w:val="1E1B4B"/>
                <w:sz w:val="20"/>
                <w:szCs w:val="20"/>
              </w:rPr>
              <w:t xml:space="preserve">Valeur</w:t>
            </w:r>
          </w:p>
        </w:tc>
        <w:tc>
          <w:tcPr>
            <w:tcW w:type="dxa" w:w="6600"/>
            <w:shd w:fill="EEF2FF" w:color="auto" w:val="clear"/>
            <w:tcMar>
              <w:top w:type="dxa" w:w="100"/>
              <w:left w:type="dxa" w:w="120"/>
              <w:bottom w:type="dxa" w:w="100"/>
              <w:right w:type="dxa" w:w="120"/>
            </w:tcMar>
          </w:tcPr>
          <w:p>
            <w:pPr>
              <w:spacing w:after="0"/>
            </w:pPr>
            <w:r>
              <w:rPr>
                <w:b/>
                <w:bCs/>
                <w:color w:val="1E1B4B"/>
                <w:sz w:val="20"/>
                <w:szCs w:val="20"/>
              </w:rPr>
              <w:t xml:space="preserve">Usage</w:t>
            </w:r>
          </w:p>
        </w:tc>
      </w:tr>
      <w:tr>
        <w:tc>
          <w:tcPr>
            <w:tcW w:type="dxa" w:w="1200"/>
            <w:tcMar>
              <w:top w:type="dxa" w:w="100"/>
              <w:left w:type="dxa" w:w="120"/>
              <w:bottom w:type="dxa" w:w="100"/>
              <w:right w:type="dxa" w:w="120"/>
            </w:tcMar>
          </w:tcPr>
          <w:p>
            <w:pPr>
              <w:spacing w:after="0"/>
            </w:pPr>
            <w:r>
              <w:rPr>
                <w:color w:val="1C1917"/>
                <w:sz w:val="20"/>
                <w:szCs w:val="20"/>
              </w:rPr>
              <w:t xml:space="preserve">xs</w:t>
            </w:r>
          </w:p>
        </w:tc>
        <w:tc>
          <w:tcPr>
            <w:tcW w:type="dxa" w:w="1200"/>
            <w:tcMar>
              <w:top w:type="dxa" w:w="100"/>
              <w:left w:type="dxa" w:w="120"/>
              <w:bottom w:type="dxa" w:w="100"/>
              <w:right w:type="dxa" w:w="120"/>
            </w:tcMar>
          </w:tcPr>
          <w:p>
            <w:pPr>
              <w:spacing w:after="0"/>
            </w:pPr>
            <w:r>
              <w:rPr>
                <w:color w:val="1C1917"/>
                <w:sz w:val="20"/>
                <w:szCs w:val="20"/>
              </w:rPr>
              <w:t xml:space="preserve">4px</w:t>
            </w:r>
          </w:p>
        </w:tc>
        <w:tc>
          <w:tcPr>
            <w:tcW w:type="dxa" w:w="6600"/>
            <w:tcMar>
              <w:top w:type="dxa" w:w="100"/>
              <w:left w:type="dxa" w:w="120"/>
              <w:bottom w:type="dxa" w:w="100"/>
              <w:right w:type="dxa" w:w="120"/>
            </w:tcMar>
          </w:tcPr>
          <w:p>
            <w:pPr>
              <w:spacing w:after="0"/>
            </w:pPr>
            <w:r>
              <w:rPr>
                <w:color w:val="1C1917"/>
                <w:sz w:val="20"/>
                <w:szCs w:val="20"/>
              </w:rPr>
              <w:t xml:space="preserve">Espace entre une icône et son texte, séparation minimale</w:t>
            </w:r>
          </w:p>
        </w:tc>
      </w:tr>
      <w:tr>
        <w:tc>
          <w:tcPr>
            <w:tcW w:type="dxa" w:w="1200"/>
            <w:tcMar>
              <w:top w:type="dxa" w:w="100"/>
              <w:left w:type="dxa" w:w="120"/>
              <w:bottom w:type="dxa" w:w="100"/>
              <w:right w:type="dxa" w:w="120"/>
            </w:tcMar>
          </w:tcPr>
          <w:p>
            <w:pPr>
              <w:spacing w:after="0"/>
            </w:pPr>
            <w:r>
              <w:rPr>
                <w:color w:val="1C1917"/>
                <w:sz w:val="20"/>
                <w:szCs w:val="20"/>
              </w:rPr>
              <w:t xml:space="preserve">sm</w:t>
            </w:r>
          </w:p>
        </w:tc>
        <w:tc>
          <w:tcPr>
            <w:tcW w:type="dxa" w:w="1200"/>
            <w:tcMar>
              <w:top w:type="dxa" w:w="100"/>
              <w:left w:type="dxa" w:w="120"/>
              <w:bottom w:type="dxa" w:w="100"/>
              <w:right w:type="dxa" w:w="120"/>
            </w:tcMar>
          </w:tcPr>
          <w:p>
            <w:pPr>
              <w:spacing w:after="0"/>
            </w:pPr>
            <w:r>
              <w:rPr>
                <w:color w:val="1C1917"/>
                <w:sz w:val="20"/>
                <w:szCs w:val="20"/>
              </w:rPr>
              <w:t xml:space="preserve">8px</w:t>
            </w:r>
          </w:p>
        </w:tc>
        <w:tc>
          <w:tcPr>
            <w:tcW w:type="dxa" w:w="6600"/>
            <w:tcMar>
              <w:top w:type="dxa" w:w="100"/>
              <w:left w:type="dxa" w:w="120"/>
              <w:bottom w:type="dxa" w:w="100"/>
              <w:right w:type="dxa" w:w="120"/>
            </w:tcMar>
          </w:tcPr>
          <w:p>
            <w:pPr>
              <w:spacing w:after="0"/>
            </w:pPr>
            <w:r>
              <w:rPr>
                <w:color w:val="1C1917"/>
                <w:sz w:val="20"/>
                <w:szCs w:val="20"/>
              </w:rPr>
              <w:t xml:space="preserve">Espace entre éléments proches et liés (label + input)</w:t>
            </w:r>
          </w:p>
        </w:tc>
      </w:tr>
      <w:tr>
        <w:tc>
          <w:tcPr>
            <w:tcW w:type="dxa" w:w="1200"/>
            <w:tcMar>
              <w:top w:type="dxa" w:w="100"/>
              <w:left w:type="dxa" w:w="120"/>
              <w:bottom w:type="dxa" w:w="100"/>
              <w:right w:type="dxa" w:w="120"/>
            </w:tcMar>
          </w:tcPr>
          <w:p>
            <w:pPr>
              <w:spacing w:after="0"/>
            </w:pPr>
            <w:r>
              <w:rPr>
                <w:color w:val="1C1917"/>
                <w:sz w:val="20"/>
                <w:szCs w:val="20"/>
              </w:rPr>
              <w:t xml:space="preserve">md</w:t>
            </w:r>
          </w:p>
        </w:tc>
        <w:tc>
          <w:tcPr>
            <w:tcW w:type="dxa" w:w="1200"/>
            <w:tcMar>
              <w:top w:type="dxa" w:w="100"/>
              <w:left w:type="dxa" w:w="120"/>
              <w:bottom w:type="dxa" w:w="100"/>
              <w:right w:type="dxa" w:w="120"/>
            </w:tcMar>
          </w:tcPr>
          <w:p>
            <w:pPr>
              <w:spacing w:after="0"/>
            </w:pPr>
            <w:r>
              <w:rPr>
                <w:color w:val="1C1917"/>
                <w:sz w:val="20"/>
                <w:szCs w:val="20"/>
              </w:rPr>
              <w:t xml:space="preserve">12px</w:t>
            </w:r>
          </w:p>
        </w:tc>
        <w:tc>
          <w:tcPr>
            <w:tcW w:type="dxa" w:w="6600"/>
            <w:tcMar>
              <w:top w:type="dxa" w:w="100"/>
              <w:left w:type="dxa" w:w="120"/>
              <w:bottom w:type="dxa" w:w="100"/>
              <w:right w:type="dxa" w:w="120"/>
            </w:tcMar>
          </w:tcPr>
          <w:p>
            <w:pPr>
              <w:spacing w:after="0"/>
            </w:pPr>
            <w:r>
              <w:rPr>
                <w:color w:val="1C1917"/>
                <w:sz w:val="20"/>
                <w:szCs w:val="20"/>
              </w:rPr>
              <w:t xml:space="preserve">Espace entre éléments d'une même carte</w:t>
            </w:r>
          </w:p>
        </w:tc>
      </w:tr>
      <w:tr>
        <w:tc>
          <w:tcPr>
            <w:tcW w:type="dxa" w:w="1200"/>
            <w:tcMar>
              <w:top w:type="dxa" w:w="100"/>
              <w:left w:type="dxa" w:w="120"/>
              <w:bottom w:type="dxa" w:w="100"/>
              <w:right w:type="dxa" w:w="120"/>
            </w:tcMar>
          </w:tcPr>
          <w:p>
            <w:pPr>
              <w:spacing w:after="0"/>
            </w:pPr>
            <w:r>
              <w:rPr>
                <w:color w:val="1C1917"/>
                <w:sz w:val="20"/>
                <w:szCs w:val="20"/>
              </w:rPr>
              <w:t xml:space="preserve">lg</w:t>
            </w:r>
          </w:p>
        </w:tc>
        <w:tc>
          <w:tcPr>
            <w:tcW w:type="dxa" w:w="1200"/>
            <w:tcMar>
              <w:top w:type="dxa" w:w="100"/>
              <w:left w:type="dxa" w:w="120"/>
              <w:bottom w:type="dxa" w:w="100"/>
              <w:right w:type="dxa" w:w="120"/>
            </w:tcMar>
          </w:tcPr>
          <w:p>
            <w:pPr>
              <w:spacing w:after="0"/>
            </w:pPr>
            <w:r>
              <w:rPr>
                <w:color w:val="1C1917"/>
                <w:sz w:val="20"/>
                <w:szCs w:val="20"/>
              </w:rPr>
              <w:t xml:space="preserve">16px</w:t>
            </w:r>
          </w:p>
        </w:tc>
        <w:tc>
          <w:tcPr>
            <w:tcW w:type="dxa" w:w="6600"/>
            <w:tcMar>
              <w:top w:type="dxa" w:w="100"/>
              <w:left w:type="dxa" w:w="120"/>
              <w:bottom w:type="dxa" w:w="100"/>
              <w:right w:type="dxa" w:w="120"/>
            </w:tcMar>
          </w:tcPr>
          <w:p>
            <w:pPr>
              <w:spacing w:after="0"/>
            </w:pPr>
            <w:r>
              <w:rPr>
                <w:color w:val="1C1917"/>
                <w:sz w:val="20"/>
                <w:szCs w:val="20"/>
              </w:rPr>
              <w:t xml:space="preserve">Espace entre cartes, entre paragraphes</w:t>
            </w:r>
          </w:p>
        </w:tc>
      </w:tr>
      <w:tr>
        <w:tc>
          <w:tcPr>
            <w:tcW w:type="dxa" w:w="1200"/>
            <w:tcMar>
              <w:top w:type="dxa" w:w="100"/>
              <w:left w:type="dxa" w:w="120"/>
              <w:bottom w:type="dxa" w:w="100"/>
              <w:right w:type="dxa" w:w="120"/>
            </w:tcMar>
          </w:tcPr>
          <w:p>
            <w:pPr>
              <w:spacing w:after="0"/>
            </w:pPr>
            <w:r>
              <w:rPr>
                <w:color w:val="1C1917"/>
                <w:sz w:val="20"/>
                <w:szCs w:val="20"/>
              </w:rPr>
              <w:t xml:space="preserve">xl</w:t>
            </w:r>
          </w:p>
        </w:tc>
        <w:tc>
          <w:tcPr>
            <w:tcW w:type="dxa" w:w="1200"/>
            <w:tcMar>
              <w:top w:type="dxa" w:w="100"/>
              <w:left w:type="dxa" w:w="120"/>
              <w:bottom w:type="dxa" w:w="100"/>
              <w:right w:type="dxa" w:w="120"/>
            </w:tcMar>
          </w:tcPr>
          <w:p>
            <w:pPr>
              <w:spacing w:after="0"/>
            </w:pPr>
            <w:r>
              <w:rPr>
                <w:color w:val="1C1917"/>
                <w:sz w:val="20"/>
                <w:szCs w:val="20"/>
              </w:rPr>
              <w:t xml:space="preserve">24px</w:t>
            </w:r>
          </w:p>
        </w:tc>
        <w:tc>
          <w:tcPr>
            <w:tcW w:type="dxa" w:w="6600"/>
            <w:tcMar>
              <w:top w:type="dxa" w:w="100"/>
              <w:left w:type="dxa" w:w="120"/>
              <w:bottom w:type="dxa" w:w="100"/>
              <w:right w:type="dxa" w:w="120"/>
            </w:tcMar>
          </w:tcPr>
          <w:p>
            <w:pPr>
              <w:spacing w:after="0"/>
            </w:pPr>
            <w:r>
              <w:rPr>
                <w:color w:val="1C1917"/>
                <w:sz w:val="20"/>
                <w:szCs w:val="20"/>
              </w:rPr>
              <w:t xml:space="preserve">Espace entre sections d'un même écran</w:t>
            </w:r>
          </w:p>
        </w:tc>
      </w:tr>
      <w:tr>
        <w:tc>
          <w:tcPr>
            <w:tcW w:type="dxa" w:w="1200"/>
            <w:tcMar>
              <w:top w:type="dxa" w:w="100"/>
              <w:left w:type="dxa" w:w="120"/>
              <w:bottom w:type="dxa" w:w="100"/>
              <w:right w:type="dxa" w:w="120"/>
            </w:tcMar>
          </w:tcPr>
          <w:p>
            <w:pPr>
              <w:spacing w:after="0"/>
            </w:pPr>
            <w:r>
              <w:rPr>
                <w:color w:val="1C1917"/>
                <w:sz w:val="20"/>
                <w:szCs w:val="20"/>
              </w:rPr>
              <w:t xml:space="preserve">2xl</w:t>
            </w:r>
          </w:p>
        </w:tc>
        <w:tc>
          <w:tcPr>
            <w:tcW w:type="dxa" w:w="1200"/>
            <w:tcMar>
              <w:top w:type="dxa" w:w="100"/>
              <w:left w:type="dxa" w:w="120"/>
              <w:bottom w:type="dxa" w:w="100"/>
              <w:right w:type="dxa" w:w="120"/>
            </w:tcMar>
          </w:tcPr>
          <w:p>
            <w:pPr>
              <w:spacing w:after="0"/>
            </w:pPr>
            <w:r>
              <w:rPr>
                <w:color w:val="1C1917"/>
                <w:sz w:val="20"/>
                <w:szCs w:val="20"/>
              </w:rPr>
              <w:t xml:space="preserve">32px</w:t>
            </w:r>
          </w:p>
        </w:tc>
        <w:tc>
          <w:tcPr>
            <w:tcW w:type="dxa" w:w="6600"/>
            <w:tcMar>
              <w:top w:type="dxa" w:w="100"/>
              <w:left w:type="dxa" w:w="120"/>
              <w:bottom w:type="dxa" w:w="100"/>
              <w:right w:type="dxa" w:w="120"/>
            </w:tcMar>
          </w:tcPr>
          <w:p>
            <w:pPr>
              <w:spacing w:after="0"/>
            </w:pPr>
            <w:r>
              <w:rPr>
                <w:color w:val="1C1917"/>
                <w:sz w:val="20"/>
                <w:szCs w:val="20"/>
              </w:rPr>
              <w:t xml:space="preserve">Espace entre grandes zones fonctionnelles</w:t>
            </w:r>
          </w:p>
        </w:tc>
      </w:tr>
      <w:tr>
        <w:tc>
          <w:tcPr>
            <w:tcW w:type="dxa" w:w="1200"/>
            <w:tcMar>
              <w:top w:type="dxa" w:w="100"/>
              <w:left w:type="dxa" w:w="120"/>
              <w:bottom w:type="dxa" w:w="100"/>
              <w:right w:type="dxa" w:w="120"/>
            </w:tcMar>
          </w:tcPr>
          <w:p>
            <w:pPr>
              <w:spacing w:after="0"/>
            </w:pPr>
            <w:r>
              <w:rPr>
                <w:color w:val="1C1917"/>
                <w:sz w:val="20"/>
                <w:szCs w:val="20"/>
              </w:rPr>
              <w:t xml:space="preserve">3xl</w:t>
            </w:r>
          </w:p>
        </w:tc>
        <w:tc>
          <w:tcPr>
            <w:tcW w:type="dxa" w:w="1200"/>
            <w:tcMar>
              <w:top w:type="dxa" w:w="100"/>
              <w:left w:type="dxa" w:w="120"/>
              <w:bottom w:type="dxa" w:w="100"/>
              <w:right w:type="dxa" w:w="120"/>
            </w:tcMar>
          </w:tcPr>
          <w:p>
            <w:pPr>
              <w:spacing w:after="0"/>
            </w:pPr>
            <w:r>
              <w:rPr>
                <w:color w:val="1C1917"/>
                <w:sz w:val="20"/>
                <w:szCs w:val="20"/>
              </w:rPr>
              <w:t xml:space="preserve">48px</w:t>
            </w:r>
          </w:p>
        </w:tc>
        <w:tc>
          <w:tcPr>
            <w:tcW w:type="dxa" w:w="6600"/>
            <w:tcMar>
              <w:top w:type="dxa" w:w="100"/>
              <w:left w:type="dxa" w:w="120"/>
              <w:bottom w:type="dxa" w:w="100"/>
              <w:right w:type="dxa" w:w="120"/>
            </w:tcMar>
          </w:tcPr>
          <w:p>
            <w:pPr>
              <w:spacing w:after="0"/>
            </w:pPr>
            <w:r>
              <w:rPr>
                <w:color w:val="1C1917"/>
                <w:sz w:val="20"/>
                <w:szCs w:val="20"/>
              </w:rPr>
              <w:t xml:space="preserve">Marge externe d'un écran, en-tête</w:t>
            </w:r>
          </w:p>
        </w:tc>
      </w:tr>
      <w:tr>
        <w:tc>
          <w:tcPr>
            <w:tcW w:type="dxa" w:w="1200"/>
            <w:tcMar>
              <w:top w:type="dxa" w:w="100"/>
              <w:left w:type="dxa" w:w="120"/>
              <w:bottom w:type="dxa" w:w="100"/>
              <w:right w:type="dxa" w:w="120"/>
            </w:tcMar>
          </w:tcPr>
          <w:p>
            <w:pPr>
              <w:spacing w:after="0"/>
            </w:pPr>
            <w:r>
              <w:rPr>
                <w:color w:val="1C1917"/>
                <w:sz w:val="20"/>
                <w:szCs w:val="20"/>
              </w:rPr>
              <w:t xml:space="preserve">4xl</w:t>
            </w:r>
          </w:p>
        </w:tc>
        <w:tc>
          <w:tcPr>
            <w:tcW w:type="dxa" w:w="1200"/>
            <w:tcMar>
              <w:top w:type="dxa" w:w="100"/>
              <w:left w:type="dxa" w:w="120"/>
              <w:bottom w:type="dxa" w:w="100"/>
              <w:right w:type="dxa" w:w="120"/>
            </w:tcMar>
          </w:tcPr>
          <w:p>
            <w:pPr>
              <w:spacing w:after="0"/>
            </w:pPr>
            <w:r>
              <w:rPr>
                <w:color w:val="1C1917"/>
                <w:sz w:val="20"/>
                <w:szCs w:val="20"/>
              </w:rPr>
              <w:t xml:space="preserve">64px</w:t>
            </w:r>
          </w:p>
        </w:tc>
        <w:tc>
          <w:tcPr>
            <w:tcW w:type="dxa" w:w="6600"/>
            <w:tcMar>
              <w:top w:type="dxa" w:w="100"/>
              <w:left w:type="dxa" w:w="120"/>
              <w:bottom w:type="dxa" w:w="100"/>
              <w:right w:type="dxa" w:w="120"/>
            </w:tcMar>
          </w:tcPr>
          <w:p>
            <w:pPr>
              <w:spacing w:after="0"/>
            </w:pPr>
            <w:r>
              <w:rPr>
                <w:color w:val="1C1917"/>
                <w:sz w:val="20"/>
                <w:szCs w:val="20"/>
              </w:rPr>
              <w:t xml:space="preserve">Espaces respiratoires larges, pages d'accueil</w:t>
            </w:r>
          </w:p>
        </w:tc>
      </w:tr>
    </w:tbl>
    <w:p>
      <w:pPr>
        <w:pStyle w:val="Heading2"/>
        <w:spacing w:after="160" w:before="280"/>
      </w:pPr>
      <w:r>
        <w:rPr>
          <w:b/>
          <w:bCs/>
          <w:color w:val="4F46E5"/>
          <w:sz w:val="26"/>
          <w:szCs w:val="26"/>
        </w:rPr>
        <w:t xml:space="preserve">5.3 Grille de layout</w:t>
      </w:r>
    </w:p>
    <w:p>
      <w:pPr>
        <w:spacing w:after="120" w:line="300"/>
      </w:pPr>
      <w:r>
        <w:t xml:space="preserve">L'interface s'appuie sur une grille de 12 colonnes avec une gouttière de 24px. La largeur maximale d'une zone de contenu est de 1280px, centrée horizontalement à partir de la largeur d'écran 1440px.</w:t>
      </w:r>
    </w:p>
    <w:p>
      <w:pPr>
        <w:pStyle w:val="Heading3"/>
        <w:spacing w:after="120" w:before="220"/>
      </w:pPr>
      <w:r>
        <w:rPr>
          <w:b/>
          <w:bCs/>
          <w:color w:val="4F46E5"/>
          <w:sz w:val="22"/>
          <w:szCs w:val="22"/>
        </w:rPr>
        <w:t xml:space="preserve">Points de rupture responsive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2500"/>
            <w:shd w:fill="EEF2FF" w:color="auto" w:val="clear"/>
            <w:tcMar>
              <w:top w:type="dxa" w:w="100"/>
              <w:left w:type="dxa" w:w="120"/>
              <w:bottom w:type="dxa" w:w="100"/>
              <w:right w:type="dxa" w:w="120"/>
            </w:tcMar>
          </w:tcPr>
          <w:p>
            <w:pPr>
              <w:spacing w:after="0"/>
            </w:pPr>
            <w:r>
              <w:rPr>
                <w:b/>
                <w:bCs/>
                <w:color w:val="1E1B4B"/>
                <w:sz w:val="20"/>
                <w:szCs w:val="20"/>
              </w:rPr>
              <w:t xml:space="preserve">Largeur d'écran</w:t>
            </w:r>
          </w:p>
        </w:tc>
        <w:tc>
          <w:tcPr>
            <w:tcW w:type="dxa" w:w="5000"/>
            <w:shd w:fill="EEF2FF" w:color="auto" w:val="clear"/>
            <w:tcMar>
              <w:top w:type="dxa" w:w="100"/>
              <w:left w:type="dxa" w:w="120"/>
              <w:bottom w:type="dxa" w:w="100"/>
              <w:right w:type="dxa" w:w="120"/>
            </w:tcMar>
          </w:tcPr>
          <w:p>
            <w:pPr>
              <w:spacing w:after="0"/>
            </w:pPr>
            <w:r>
              <w:rPr>
                <w:b/>
                <w:bCs/>
                <w:color w:val="1E1B4B"/>
                <w:sz w:val="20"/>
                <w:szCs w:val="20"/>
              </w:rPr>
              <w:t xml:space="preserve">Comportement</w:t>
            </w:r>
          </w:p>
        </w:tc>
      </w:tr>
      <w:tr>
        <w:tc>
          <w:tcPr>
            <w:tcW w:type="dxa" w:w="1500"/>
            <w:tcMar>
              <w:top w:type="dxa" w:w="100"/>
              <w:left w:type="dxa" w:w="120"/>
              <w:bottom w:type="dxa" w:w="100"/>
              <w:right w:type="dxa" w:w="120"/>
            </w:tcMar>
          </w:tcPr>
          <w:p>
            <w:pPr>
              <w:spacing w:after="0"/>
            </w:pPr>
            <w:r>
              <w:rPr>
                <w:color w:val="1C1917"/>
                <w:sz w:val="20"/>
                <w:szCs w:val="20"/>
              </w:rPr>
              <w:t xml:space="preserve">Mobile</w:t>
            </w:r>
          </w:p>
        </w:tc>
        <w:tc>
          <w:tcPr>
            <w:tcW w:type="dxa" w:w="2500"/>
            <w:tcMar>
              <w:top w:type="dxa" w:w="100"/>
              <w:left w:type="dxa" w:w="120"/>
              <w:bottom w:type="dxa" w:w="100"/>
              <w:right w:type="dxa" w:w="120"/>
            </w:tcMar>
          </w:tcPr>
          <w:p>
            <w:pPr>
              <w:spacing w:after="0"/>
            </w:pPr>
            <w:r>
              <w:rPr>
                <w:color w:val="1C1917"/>
                <w:sz w:val="20"/>
                <w:szCs w:val="20"/>
              </w:rPr>
              <w:t xml:space="preserve">&lt; 640px</w:t>
            </w:r>
          </w:p>
        </w:tc>
        <w:tc>
          <w:tcPr>
            <w:tcW w:type="dxa" w:w="5000"/>
            <w:tcMar>
              <w:top w:type="dxa" w:w="100"/>
              <w:left w:type="dxa" w:w="120"/>
              <w:bottom w:type="dxa" w:w="100"/>
              <w:right w:type="dxa" w:w="120"/>
            </w:tcMar>
          </w:tcPr>
          <w:p>
            <w:pPr>
              <w:spacing w:after="0"/>
            </w:pPr>
            <w:r>
              <w:rPr>
                <w:color w:val="1C1917"/>
                <w:sz w:val="20"/>
                <w:szCs w:val="20"/>
              </w:rPr>
              <w:t xml:space="preserve">Une seule colonne, sidebar en menu déroulant</w:t>
            </w:r>
          </w:p>
        </w:tc>
      </w:tr>
      <w:tr>
        <w:tc>
          <w:tcPr>
            <w:tcW w:type="dxa" w:w="1500"/>
            <w:tcMar>
              <w:top w:type="dxa" w:w="100"/>
              <w:left w:type="dxa" w:w="120"/>
              <w:bottom w:type="dxa" w:w="100"/>
              <w:right w:type="dxa" w:w="120"/>
            </w:tcMar>
          </w:tcPr>
          <w:p>
            <w:pPr>
              <w:spacing w:after="0"/>
            </w:pPr>
            <w:r>
              <w:rPr>
                <w:color w:val="1C1917"/>
                <w:sz w:val="20"/>
                <w:szCs w:val="20"/>
              </w:rPr>
              <w:t xml:space="preserve">Tablette</w:t>
            </w:r>
          </w:p>
        </w:tc>
        <w:tc>
          <w:tcPr>
            <w:tcW w:type="dxa" w:w="2500"/>
            <w:tcMar>
              <w:top w:type="dxa" w:w="100"/>
              <w:left w:type="dxa" w:w="120"/>
              <w:bottom w:type="dxa" w:w="100"/>
              <w:right w:type="dxa" w:w="120"/>
            </w:tcMar>
          </w:tcPr>
          <w:p>
            <w:pPr>
              <w:spacing w:after="0"/>
            </w:pPr>
            <w:r>
              <w:rPr>
                <w:color w:val="1C1917"/>
                <w:sz w:val="20"/>
                <w:szCs w:val="20"/>
              </w:rPr>
              <w:t xml:space="preserve">640–1024px</w:t>
            </w:r>
          </w:p>
        </w:tc>
        <w:tc>
          <w:tcPr>
            <w:tcW w:type="dxa" w:w="5000"/>
            <w:tcMar>
              <w:top w:type="dxa" w:w="100"/>
              <w:left w:type="dxa" w:w="120"/>
              <w:bottom w:type="dxa" w:w="100"/>
              <w:right w:type="dxa" w:w="120"/>
            </w:tcMar>
          </w:tcPr>
          <w:p>
            <w:pPr>
              <w:spacing w:after="0"/>
            </w:pPr>
            <w:r>
              <w:rPr>
                <w:color w:val="1C1917"/>
                <w:sz w:val="20"/>
                <w:szCs w:val="20"/>
              </w:rPr>
              <w:t xml:space="preserve">Grille adaptée, sidebar compacte</w:t>
            </w:r>
          </w:p>
        </w:tc>
      </w:tr>
      <w:tr>
        <w:tc>
          <w:tcPr>
            <w:tcW w:type="dxa" w:w="1500"/>
            <w:tcMar>
              <w:top w:type="dxa" w:w="100"/>
              <w:left w:type="dxa" w:w="120"/>
              <w:bottom w:type="dxa" w:w="100"/>
              <w:right w:type="dxa" w:w="120"/>
            </w:tcMar>
          </w:tcPr>
          <w:p>
            <w:pPr>
              <w:spacing w:after="0"/>
            </w:pPr>
            <w:r>
              <w:rPr>
                <w:color w:val="1C1917"/>
                <w:sz w:val="20"/>
                <w:szCs w:val="20"/>
              </w:rPr>
              <w:t xml:space="preserve">Desktop</w:t>
            </w:r>
          </w:p>
        </w:tc>
        <w:tc>
          <w:tcPr>
            <w:tcW w:type="dxa" w:w="2500"/>
            <w:tcMar>
              <w:top w:type="dxa" w:w="100"/>
              <w:left w:type="dxa" w:w="120"/>
              <w:bottom w:type="dxa" w:w="100"/>
              <w:right w:type="dxa" w:w="120"/>
            </w:tcMar>
          </w:tcPr>
          <w:p>
            <w:pPr>
              <w:spacing w:after="0"/>
            </w:pPr>
            <w:r>
              <w:rPr>
                <w:color w:val="1C1917"/>
                <w:sz w:val="20"/>
                <w:szCs w:val="20"/>
              </w:rPr>
              <w:t xml:space="preserve">1024–1440px</w:t>
            </w:r>
          </w:p>
        </w:tc>
        <w:tc>
          <w:tcPr>
            <w:tcW w:type="dxa" w:w="5000"/>
            <w:tcMar>
              <w:top w:type="dxa" w:w="100"/>
              <w:left w:type="dxa" w:w="120"/>
              <w:bottom w:type="dxa" w:w="100"/>
              <w:right w:type="dxa" w:w="120"/>
            </w:tcMar>
          </w:tcPr>
          <w:p>
            <w:pPr>
              <w:spacing w:after="0"/>
            </w:pPr>
            <w:r>
              <w:rPr>
                <w:color w:val="1C1917"/>
                <w:sz w:val="20"/>
                <w:szCs w:val="20"/>
              </w:rPr>
              <w:t xml:space="preserve">Grille pleine, sidebar déployée</w:t>
            </w:r>
          </w:p>
        </w:tc>
      </w:tr>
      <w:tr>
        <w:tc>
          <w:tcPr>
            <w:tcW w:type="dxa" w:w="1500"/>
            <w:tcMar>
              <w:top w:type="dxa" w:w="100"/>
              <w:left w:type="dxa" w:w="120"/>
              <w:bottom w:type="dxa" w:w="100"/>
              <w:right w:type="dxa" w:w="120"/>
            </w:tcMar>
          </w:tcPr>
          <w:p>
            <w:pPr>
              <w:spacing w:after="0"/>
            </w:pPr>
            <w:r>
              <w:rPr>
                <w:color w:val="1C1917"/>
                <w:sz w:val="20"/>
                <w:szCs w:val="20"/>
              </w:rPr>
              <w:t xml:space="preserve">Large</w:t>
            </w:r>
          </w:p>
        </w:tc>
        <w:tc>
          <w:tcPr>
            <w:tcW w:type="dxa" w:w="2500"/>
            <w:tcMar>
              <w:top w:type="dxa" w:w="100"/>
              <w:left w:type="dxa" w:w="120"/>
              <w:bottom w:type="dxa" w:w="100"/>
              <w:right w:type="dxa" w:w="120"/>
            </w:tcMar>
          </w:tcPr>
          <w:p>
            <w:pPr>
              <w:spacing w:after="0"/>
            </w:pPr>
            <w:r>
              <w:rPr>
                <w:color w:val="1C1917"/>
                <w:sz w:val="20"/>
                <w:szCs w:val="20"/>
              </w:rPr>
              <w:t xml:space="preserve">≥ 1440px</w:t>
            </w:r>
          </w:p>
        </w:tc>
        <w:tc>
          <w:tcPr>
            <w:tcW w:type="dxa" w:w="5000"/>
            <w:tcMar>
              <w:top w:type="dxa" w:w="100"/>
              <w:left w:type="dxa" w:w="120"/>
              <w:bottom w:type="dxa" w:w="100"/>
              <w:right w:type="dxa" w:w="120"/>
            </w:tcMar>
          </w:tcPr>
          <w:p>
            <w:pPr>
              <w:spacing w:after="0"/>
            </w:pPr>
            <w:r>
              <w:rPr>
                <w:color w:val="1C1917"/>
                <w:sz w:val="20"/>
                <w:szCs w:val="20"/>
              </w:rPr>
              <w:t xml:space="preserve">Contenu centré à 1280px maximum</w:t>
            </w:r>
          </w:p>
        </w:tc>
      </w:tr>
    </w:tbl>
    <w:p>
      <w:pPr>
        <w:pStyle w:val="Heading2"/>
        <w:spacing w:after="160" w:before="280"/>
      </w:pPr>
      <w:r>
        <w:rPr>
          <w:b/>
          <w:bCs/>
          <w:color w:val="4F46E5"/>
          <w:sz w:val="26"/>
          <w:szCs w:val="26"/>
        </w:rPr>
        <w:t xml:space="preserve">5.4 Padding intérieur des composants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Composant</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Padding vertical</w:t>
            </w:r>
          </w:p>
        </w:tc>
        <w:tc>
          <w:tcPr>
            <w:tcW w:type="dxa" w:w="3000"/>
            <w:shd w:fill="EEF2FF" w:color="auto" w:val="clear"/>
            <w:tcMar>
              <w:top w:type="dxa" w:w="100"/>
              <w:left w:type="dxa" w:w="120"/>
              <w:bottom w:type="dxa" w:w="100"/>
              <w:right w:type="dxa" w:w="120"/>
            </w:tcMar>
          </w:tcPr>
          <w:p>
            <w:pPr>
              <w:spacing w:after="0"/>
            </w:pPr>
            <w:r>
              <w:rPr>
                <w:b/>
                <w:bCs/>
                <w:color w:val="1E1B4B"/>
                <w:sz w:val="20"/>
                <w:szCs w:val="20"/>
              </w:rPr>
              <w:t xml:space="preserve">Padding horizontal</w:t>
            </w:r>
          </w:p>
        </w:tc>
      </w:tr>
      <w:tr>
        <w:tc>
          <w:tcPr>
            <w:tcW w:type="dxa" w:w="3000"/>
            <w:tcMar>
              <w:top w:type="dxa" w:w="100"/>
              <w:left w:type="dxa" w:w="120"/>
              <w:bottom w:type="dxa" w:w="100"/>
              <w:right w:type="dxa" w:w="120"/>
            </w:tcMar>
          </w:tcPr>
          <w:p>
            <w:pPr>
              <w:spacing w:after="0"/>
            </w:pPr>
            <w:r>
              <w:rPr>
                <w:color w:val="1C1917"/>
                <w:sz w:val="20"/>
                <w:szCs w:val="20"/>
              </w:rPr>
              <w:t xml:space="preserve">Bouton standard</w:t>
            </w:r>
          </w:p>
        </w:tc>
        <w:tc>
          <w:tcPr>
            <w:tcW w:type="dxa" w:w="3000"/>
            <w:tcMar>
              <w:top w:type="dxa" w:w="100"/>
              <w:left w:type="dxa" w:w="120"/>
              <w:bottom w:type="dxa" w:w="100"/>
              <w:right w:type="dxa" w:w="120"/>
            </w:tcMar>
          </w:tcPr>
          <w:p>
            <w:pPr>
              <w:spacing w:after="0"/>
            </w:pPr>
            <w:r>
              <w:rPr>
                <w:color w:val="1C1917"/>
                <w:sz w:val="20"/>
                <w:szCs w:val="20"/>
              </w:rPr>
              <w:t xml:space="preserve">9px</w:t>
            </w:r>
          </w:p>
        </w:tc>
        <w:tc>
          <w:tcPr>
            <w:tcW w:type="dxa" w:w="3000"/>
            <w:tcMar>
              <w:top w:type="dxa" w:w="100"/>
              <w:left w:type="dxa" w:w="120"/>
              <w:bottom w:type="dxa" w:w="100"/>
              <w:right w:type="dxa" w:w="120"/>
            </w:tcMar>
          </w:tcPr>
          <w:p>
            <w:pPr>
              <w:spacing w:after="0"/>
            </w:pPr>
            <w:r>
              <w:rPr>
                <w:color w:val="1C1917"/>
                <w:sz w:val="20"/>
                <w:szCs w:val="20"/>
              </w:rPr>
              <w:t xml:space="preserve">16px</w:t>
            </w:r>
          </w:p>
        </w:tc>
      </w:tr>
      <w:tr>
        <w:tc>
          <w:tcPr>
            <w:tcW w:type="dxa" w:w="3000"/>
            <w:tcMar>
              <w:top w:type="dxa" w:w="100"/>
              <w:left w:type="dxa" w:w="120"/>
              <w:bottom w:type="dxa" w:w="100"/>
              <w:right w:type="dxa" w:w="120"/>
            </w:tcMar>
          </w:tcPr>
          <w:p>
            <w:pPr>
              <w:spacing w:after="0"/>
            </w:pPr>
            <w:r>
              <w:rPr>
                <w:color w:val="1C1917"/>
                <w:sz w:val="20"/>
                <w:szCs w:val="20"/>
              </w:rPr>
              <w:t xml:space="preserve">Bouton compact</w:t>
            </w:r>
          </w:p>
        </w:tc>
        <w:tc>
          <w:tcPr>
            <w:tcW w:type="dxa" w:w="3000"/>
            <w:tcMar>
              <w:top w:type="dxa" w:w="100"/>
              <w:left w:type="dxa" w:w="120"/>
              <w:bottom w:type="dxa" w:w="100"/>
              <w:right w:type="dxa" w:w="120"/>
            </w:tcMar>
          </w:tcPr>
          <w:p>
            <w:pPr>
              <w:spacing w:after="0"/>
            </w:pPr>
            <w:r>
              <w:rPr>
                <w:color w:val="1C1917"/>
                <w:sz w:val="20"/>
                <w:szCs w:val="20"/>
              </w:rPr>
              <w:t xml:space="preserve">6px</w:t>
            </w:r>
          </w:p>
        </w:tc>
        <w:tc>
          <w:tcPr>
            <w:tcW w:type="dxa" w:w="3000"/>
            <w:tcMar>
              <w:top w:type="dxa" w:w="100"/>
              <w:left w:type="dxa" w:w="120"/>
              <w:bottom w:type="dxa" w:w="100"/>
              <w:right w:type="dxa" w:w="120"/>
            </w:tcMar>
          </w:tcPr>
          <w:p>
            <w:pPr>
              <w:spacing w:after="0"/>
            </w:pPr>
            <w:r>
              <w:rPr>
                <w:color w:val="1C1917"/>
                <w:sz w:val="20"/>
                <w:szCs w:val="20"/>
              </w:rPr>
              <w:t xml:space="preserve">12px</w:t>
            </w:r>
          </w:p>
        </w:tc>
      </w:tr>
      <w:tr>
        <w:tc>
          <w:tcPr>
            <w:tcW w:type="dxa" w:w="3000"/>
            <w:tcMar>
              <w:top w:type="dxa" w:w="100"/>
              <w:left w:type="dxa" w:w="120"/>
              <w:bottom w:type="dxa" w:w="100"/>
              <w:right w:type="dxa" w:w="120"/>
            </w:tcMar>
          </w:tcPr>
          <w:p>
            <w:pPr>
              <w:spacing w:after="0"/>
            </w:pPr>
            <w:r>
              <w:rPr>
                <w:color w:val="1C1917"/>
                <w:sz w:val="20"/>
                <w:szCs w:val="20"/>
              </w:rPr>
              <w:t xml:space="preserve">Bouton large</w:t>
            </w:r>
          </w:p>
        </w:tc>
        <w:tc>
          <w:tcPr>
            <w:tcW w:type="dxa" w:w="3000"/>
            <w:tcMar>
              <w:top w:type="dxa" w:w="100"/>
              <w:left w:type="dxa" w:w="120"/>
              <w:bottom w:type="dxa" w:w="100"/>
              <w:right w:type="dxa" w:w="120"/>
            </w:tcMar>
          </w:tcPr>
          <w:p>
            <w:pPr>
              <w:spacing w:after="0"/>
            </w:pPr>
            <w:r>
              <w:rPr>
                <w:color w:val="1C1917"/>
                <w:sz w:val="20"/>
                <w:szCs w:val="20"/>
              </w:rPr>
              <w:t xml:space="preserve">12px</w:t>
            </w:r>
          </w:p>
        </w:tc>
        <w:tc>
          <w:tcPr>
            <w:tcW w:type="dxa" w:w="3000"/>
            <w:tcMar>
              <w:top w:type="dxa" w:w="100"/>
              <w:left w:type="dxa" w:w="120"/>
              <w:bottom w:type="dxa" w:w="100"/>
              <w:right w:type="dxa" w:w="120"/>
            </w:tcMar>
          </w:tcPr>
          <w:p>
            <w:pPr>
              <w:spacing w:after="0"/>
            </w:pPr>
            <w:r>
              <w:rPr>
                <w:color w:val="1C1917"/>
                <w:sz w:val="20"/>
                <w:szCs w:val="20"/>
              </w:rPr>
              <w:t xml:space="preserve">20px</w:t>
            </w:r>
          </w:p>
        </w:tc>
      </w:tr>
      <w:tr>
        <w:tc>
          <w:tcPr>
            <w:tcW w:type="dxa" w:w="3000"/>
            <w:tcMar>
              <w:top w:type="dxa" w:w="100"/>
              <w:left w:type="dxa" w:w="120"/>
              <w:bottom w:type="dxa" w:w="100"/>
              <w:right w:type="dxa" w:w="120"/>
            </w:tcMar>
          </w:tcPr>
          <w:p>
            <w:pPr>
              <w:spacing w:after="0"/>
            </w:pPr>
            <w:r>
              <w:rPr>
                <w:color w:val="1C1917"/>
                <w:sz w:val="20"/>
                <w:szCs w:val="20"/>
              </w:rPr>
              <w:t xml:space="preserve">Carte</w:t>
            </w:r>
          </w:p>
        </w:tc>
        <w:tc>
          <w:tcPr>
            <w:tcW w:type="dxa" w:w="3000"/>
            <w:tcMar>
              <w:top w:type="dxa" w:w="100"/>
              <w:left w:type="dxa" w:w="120"/>
              <w:bottom w:type="dxa" w:w="100"/>
              <w:right w:type="dxa" w:w="120"/>
            </w:tcMar>
          </w:tcPr>
          <w:p>
            <w:pPr>
              <w:spacing w:after="0"/>
            </w:pPr>
            <w:r>
              <w:rPr>
                <w:color w:val="1C1917"/>
                <w:sz w:val="20"/>
                <w:szCs w:val="20"/>
              </w:rPr>
              <w:t xml:space="preserve">16px</w:t>
            </w:r>
          </w:p>
        </w:tc>
        <w:tc>
          <w:tcPr>
            <w:tcW w:type="dxa" w:w="3000"/>
            <w:tcMar>
              <w:top w:type="dxa" w:w="100"/>
              <w:left w:type="dxa" w:w="120"/>
              <w:bottom w:type="dxa" w:w="100"/>
              <w:right w:type="dxa" w:w="120"/>
            </w:tcMar>
          </w:tcPr>
          <w:p>
            <w:pPr>
              <w:spacing w:after="0"/>
            </w:pPr>
            <w:r>
              <w:rPr>
                <w:color w:val="1C1917"/>
                <w:sz w:val="20"/>
                <w:szCs w:val="20"/>
              </w:rPr>
              <w:t xml:space="preserve">20px</w:t>
            </w:r>
          </w:p>
        </w:tc>
      </w:tr>
      <w:tr>
        <w:tc>
          <w:tcPr>
            <w:tcW w:type="dxa" w:w="3000"/>
            <w:tcMar>
              <w:top w:type="dxa" w:w="100"/>
              <w:left w:type="dxa" w:w="120"/>
              <w:bottom w:type="dxa" w:w="100"/>
              <w:right w:type="dxa" w:w="120"/>
            </w:tcMar>
          </w:tcPr>
          <w:p>
            <w:pPr>
              <w:spacing w:after="0"/>
            </w:pPr>
            <w:r>
              <w:rPr>
                <w:color w:val="1C1917"/>
                <w:sz w:val="20"/>
                <w:szCs w:val="20"/>
              </w:rPr>
              <w:t xml:space="preserve">Champ de saisie</w:t>
            </w:r>
          </w:p>
        </w:tc>
        <w:tc>
          <w:tcPr>
            <w:tcW w:type="dxa" w:w="3000"/>
            <w:tcMar>
              <w:top w:type="dxa" w:w="100"/>
              <w:left w:type="dxa" w:w="120"/>
              <w:bottom w:type="dxa" w:w="100"/>
              <w:right w:type="dxa" w:w="120"/>
            </w:tcMar>
          </w:tcPr>
          <w:p>
            <w:pPr>
              <w:spacing w:after="0"/>
            </w:pPr>
            <w:r>
              <w:rPr>
                <w:color w:val="1C1917"/>
                <w:sz w:val="20"/>
                <w:szCs w:val="20"/>
              </w:rPr>
              <w:t xml:space="preserve">8px</w:t>
            </w:r>
          </w:p>
        </w:tc>
        <w:tc>
          <w:tcPr>
            <w:tcW w:type="dxa" w:w="3000"/>
            <w:tcMar>
              <w:top w:type="dxa" w:w="100"/>
              <w:left w:type="dxa" w:w="120"/>
              <w:bottom w:type="dxa" w:w="100"/>
              <w:right w:type="dxa" w:w="120"/>
            </w:tcMar>
          </w:tcPr>
          <w:p>
            <w:pPr>
              <w:spacing w:after="0"/>
            </w:pPr>
            <w:r>
              <w:rPr>
                <w:color w:val="1C1917"/>
                <w:sz w:val="20"/>
                <w:szCs w:val="20"/>
              </w:rPr>
              <w:t xml:space="preserve">12px</w:t>
            </w:r>
          </w:p>
        </w:tc>
      </w:tr>
      <w:tr>
        <w:tc>
          <w:tcPr>
            <w:tcW w:type="dxa" w:w="3000"/>
            <w:tcMar>
              <w:top w:type="dxa" w:w="100"/>
              <w:left w:type="dxa" w:w="120"/>
              <w:bottom w:type="dxa" w:w="100"/>
              <w:right w:type="dxa" w:w="120"/>
            </w:tcMar>
          </w:tcPr>
          <w:p>
            <w:pPr>
              <w:spacing w:after="0"/>
            </w:pPr>
            <w:r>
              <w:rPr>
                <w:color w:val="1C1917"/>
                <w:sz w:val="20"/>
                <w:szCs w:val="20"/>
              </w:rPr>
              <w:t xml:space="preserve">Badge / pill</w:t>
            </w:r>
          </w:p>
        </w:tc>
        <w:tc>
          <w:tcPr>
            <w:tcW w:type="dxa" w:w="3000"/>
            <w:tcMar>
              <w:top w:type="dxa" w:w="100"/>
              <w:left w:type="dxa" w:w="120"/>
              <w:bottom w:type="dxa" w:w="100"/>
              <w:right w:type="dxa" w:w="120"/>
            </w:tcMar>
          </w:tcPr>
          <w:p>
            <w:pPr>
              <w:spacing w:after="0"/>
            </w:pPr>
            <w:r>
              <w:rPr>
                <w:color w:val="1C1917"/>
                <w:sz w:val="20"/>
                <w:szCs w:val="20"/>
              </w:rPr>
              <w:t xml:space="preserve">3px</w:t>
            </w:r>
          </w:p>
        </w:tc>
        <w:tc>
          <w:tcPr>
            <w:tcW w:type="dxa" w:w="3000"/>
            <w:tcMar>
              <w:top w:type="dxa" w:w="100"/>
              <w:left w:type="dxa" w:w="120"/>
              <w:bottom w:type="dxa" w:w="100"/>
              <w:right w:type="dxa" w:w="120"/>
            </w:tcMar>
          </w:tcPr>
          <w:p>
            <w:pPr>
              <w:spacing w:after="0"/>
            </w:pPr>
            <w:r>
              <w:rPr>
                <w:color w:val="1C1917"/>
                <w:sz w:val="20"/>
                <w:szCs w:val="20"/>
              </w:rPr>
              <w:t xml:space="preserve">10px</w:t>
            </w:r>
          </w:p>
        </w:tc>
      </w:tr>
      <w:tr>
        <w:tc>
          <w:tcPr>
            <w:tcW w:type="dxa" w:w="3000"/>
            <w:tcMar>
              <w:top w:type="dxa" w:w="100"/>
              <w:left w:type="dxa" w:w="120"/>
              <w:bottom w:type="dxa" w:w="100"/>
              <w:right w:type="dxa" w:w="120"/>
            </w:tcMar>
          </w:tcPr>
          <w:p>
            <w:pPr>
              <w:spacing w:after="0"/>
            </w:pPr>
            <w:r>
              <w:rPr>
                <w:color w:val="1C1917"/>
                <w:sz w:val="20"/>
                <w:szCs w:val="20"/>
              </w:rPr>
              <w:t xml:space="preserve">Bandeau d'alerte</w:t>
            </w:r>
          </w:p>
        </w:tc>
        <w:tc>
          <w:tcPr>
            <w:tcW w:type="dxa" w:w="3000"/>
            <w:tcMar>
              <w:top w:type="dxa" w:w="100"/>
              <w:left w:type="dxa" w:w="120"/>
              <w:bottom w:type="dxa" w:w="100"/>
              <w:right w:type="dxa" w:w="120"/>
            </w:tcMar>
          </w:tcPr>
          <w:p>
            <w:pPr>
              <w:spacing w:after="0"/>
            </w:pPr>
            <w:r>
              <w:rPr>
                <w:color w:val="1C1917"/>
                <w:sz w:val="20"/>
                <w:szCs w:val="20"/>
              </w:rPr>
              <w:t xml:space="preserve">12px</w:t>
            </w:r>
          </w:p>
        </w:tc>
        <w:tc>
          <w:tcPr>
            <w:tcW w:type="dxa" w:w="3000"/>
            <w:tcMar>
              <w:top w:type="dxa" w:w="100"/>
              <w:left w:type="dxa" w:w="120"/>
              <w:bottom w:type="dxa" w:w="100"/>
              <w:right w:type="dxa" w:w="120"/>
            </w:tcMar>
          </w:tcPr>
          <w:p>
            <w:pPr>
              <w:spacing w:after="0"/>
            </w:pPr>
            <w:r>
              <w:rPr>
                <w:color w:val="1C1917"/>
                <w:sz w:val="20"/>
                <w:szCs w:val="20"/>
              </w:rPr>
              <w:t xml:space="preserve">14px</w:t>
            </w:r>
          </w:p>
        </w:tc>
      </w:tr>
      <w:tr>
        <w:tc>
          <w:tcPr>
            <w:tcW w:type="dxa" w:w="3000"/>
            <w:tcMar>
              <w:top w:type="dxa" w:w="100"/>
              <w:left w:type="dxa" w:w="120"/>
              <w:bottom w:type="dxa" w:w="100"/>
              <w:right w:type="dxa" w:w="120"/>
            </w:tcMar>
          </w:tcPr>
          <w:p>
            <w:pPr>
              <w:spacing w:after="0"/>
            </w:pPr>
            <w:r>
              <w:rPr>
                <w:color w:val="1C1917"/>
                <w:sz w:val="20"/>
                <w:szCs w:val="20"/>
              </w:rPr>
              <w:t xml:space="preserve">Cellule de tableau</w:t>
            </w:r>
          </w:p>
        </w:tc>
        <w:tc>
          <w:tcPr>
            <w:tcW w:type="dxa" w:w="3000"/>
            <w:tcMar>
              <w:top w:type="dxa" w:w="100"/>
              <w:left w:type="dxa" w:w="120"/>
              <w:bottom w:type="dxa" w:w="100"/>
              <w:right w:type="dxa" w:w="120"/>
            </w:tcMar>
          </w:tcPr>
          <w:p>
            <w:pPr>
              <w:spacing w:after="0"/>
            </w:pPr>
            <w:r>
              <w:rPr>
                <w:color w:val="1C1917"/>
                <w:sz w:val="20"/>
                <w:szCs w:val="20"/>
              </w:rPr>
              <w:t xml:space="preserve">10px</w:t>
            </w:r>
          </w:p>
        </w:tc>
        <w:tc>
          <w:tcPr>
            <w:tcW w:type="dxa" w:w="3000"/>
            <w:tcMar>
              <w:top w:type="dxa" w:w="100"/>
              <w:left w:type="dxa" w:w="120"/>
              <w:bottom w:type="dxa" w:w="100"/>
              <w:right w:type="dxa" w:w="120"/>
            </w:tcMar>
          </w:tcPr>
          <w:p>
            <w:pPr>
              <w:spacing w:after="0"/>
            </w:pPr>
            <w:r>
              <w:rPr>
                <w:color w:val="1C1917"/>
                <w:sz w:val="20"/>
                <w:szCs w:val="20"/>
              </w:rPr>
              <w:t xml:space="preserve">12px</w:t>
            </w:r>
          </w:p>
        </w:tc>
      </w:tr>
    </w:tbl>
    <w:p>
      <w:r>
        <w:br w:type="page"/>
      </w:r>
    </w:p>
    <w:p>
      <w:pPr>
        <w:pStyle w:val="Heading1"/>
        <w:spacing w:after="200" w:before="360"/>
      </w:pPr>
      <w:r>
        <w:rPr>
          <w:b/>
          <w:bCs/>
          <w:color w:val="1E1B4B"/>
          <w:sz w:val="32"/>
          <w:szCs w:val="32"/>
        </w:rPr>
        <w:t xml:space="preserve">6. Bordures, coins et élévation</w:t>
      </w:r>
    </w:p>
    <w:p>
      <w:pPr>
        <w:pStyle w:val="Heading2"/>
        <w:spacing w:after="160" w:before="280"/>
      </w:pPr>
      <w:r>
        <w:rPr>
          <w:b/>
          <w:bCs/>
          <w:color w:val="4F46E5"/>
          <w:sz w:val="26"/>
          <w:szCs w:val="26"/>
        </w:rPr>
        <w:t xml:space="preserve">6.1 Épaisseur de bordure</w:t>
      </w:r>
    </w:p>
    <w:p>
      <w:pPr>
        <w:spacing w:after="120" w:line="300"/>
      </w:pPr>
      <w:r>
        <w:t xml:space="preserve">Toutes les bordures dans l'interface font </w:t>
      </w:r>
      <w:r>
        <w:rPr>
          <w:b/>
          <w:bCs/>
        </w:rPr>
        <w:t xml:space="preserve">0.5px</w:t>
      </w:r>
      <w:r>
        <w:t xml:space="preserve"> par défaut. C'est délibérément fin — ça donne la sensation moderne et légère demandée, en contraste avec les 1px ou 2px qui alourdissent visuellement.</w:t>
      </w:r>
    </w:p>
    <w:p>
      <w:pPr>
        <w:spacing w:after="120" w:line="300"/>
      </w:pPr>
      <w:r>
        <w:t xml:space="preserve">Deux exceptions :</w:t>
      </w:r>
    </w:p>
    <w:p>
      <w:pPr>
        <w:pStyle w:val="ListParagraph"/>
        <w:numPr>
          <w:ilvl w:val="0"/>
          <w:numId w:val="2"/>
        </w:numPr>
        <w:spacing w:after="80"/>
      </w:pPr>
      <w:r>
        <w:t xml:space="preserve">1px pour les tableaux denses où la structure doit être clairement lisible</w:t>
      </w:r>
    </w:p>
    <w:p>
      <w:pPr>
        <w:pStyle w:val="ListParagraph"/>
        <w:numPr>
          <w:ilvl w:val="0"/>
          <w:numId w:val="2"/>
        </w:numPr>
        <w:spacing w:after="80"/>
      </w:pPr>
      <w:r>
        <w:t xml:space="preserve">2px uniquement pour marquer un élément recommandé ou mis en avant</w:t>
      </w:r>
    </w:p>
    <w:p>
      <w:pPr>
        <w:pStyle w:val="Heading2"/>
        <w:spacing w:after="160" w:before="280"/>
      </w:pPr>
      <w:r>
        <w:rPr>
          <w:b/>
          <w:bCs/>
          <w:color w:val="4F46E5"/>
          <w:sz w:val="26"/>
          <w:szCs w:val="26"/>
        </w:rPr>
        <w:t xml:space="preserve">6.2 Couleur des bordures</w:t>
      </w:r>
    </w:p>
    <w:p>
      <w:pPr>
        <w:spacing w:after="120" w:line="300"/>
      </w:pPr>
      <w:r>
        <w:t xml:space="preserve">Trois niveaux, à utiliser selon le rôle :</w:t>
      </w:r>
    </w:p>
    <w:p>
      <w:pPr>
        <w:pStyle w:val="ListParagraph"/>
        <w:numPr>
          <w:ilvl w:val="0"/>
          <w:numId w:val="2"/>
        </w:numPr>
        <w:spacing w:after="80"/>
      </w:pPr>
      <w:r>
        <w:t xml:space="preserve">Bordure standard — hairline discrète des cartes et séparateurs (#E7E5E4 clair, #44403C sombre)</w:t>
      </w:r>
    </w:p>
    <w:p>
      <w:pPr>
        <w:pStyle w:val="ListParagraph"/>
        <w:numPr>
          <w:ilvl w:val="0"/>
          <w:numId w:val="2"/>
        </w:numPr>
        <w:spacing w:after="80"/>
      </w:pPr>
      <w:r>
        <w:t xml:space="preserve">Bordure forte — au survol, séparateur marqué, focus visuel (#D6D3D1 clair, #57534E sombre)</w:t>
      </w:r>
    </w:p>
    <w:p>
      <w:pPr>
        <w:pStyle w:val="ListParagraph"/>
        <w:numPr>
          <w:ilvl w:val="0"/>
          <w:numId w:val="2"/>
        </w:numPr>
        <w:spacing w:after="80"/>
      </w:pPr>
      <w:r>
        <w:t xml:space="preserve">Bordure fonctionnelle — teinte de la couleur fonctionnelle correspondante</w:t>
      </w:r>
    </w:p>
    <w:p>
      <w:pPr>
        <w:pStyle w:val="Heading2"/>
        <w:spacing w:after="160" w:before="280"/>
      </w:pPr>
      <w:r>
        <w:rPr>
          <w:b/>
          <w:bCs/>
          <w:color w:val="4F46E5"/>
          <w:sz w:val="26"/>
          <w:szCs w:val="26"/>
        </w:rPr>
        <w:t xml:space="preserve">6.3 Rayon des coins</w:t>
      </w:r>
    </w:p>
    <w:p>
      <w:pPr>
        <w:spacing w:after="120" w:line="300"/>
      </w:pPr>
      <w:r>
        <w:t xml:space="preserve">Trois valeurs, jamais d'autre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shd w:fill="EEF2FF" w:color="auto" w:val="clear"/>
            <w:tcMar>
              <w:top w:type="dxa" w:w="100"/>
              <w:left w:type="dxa" w:w="120"/>
              <w:bottom w:type="dxa" w:w="100"/>
              <w:right w:type="dxa" w:w="120"/>
            </w:tcMar>
          </w:tcPr>
          <w:p>
            <w:pPr>
              <w:spacing w:after="0"/>
            </w:pPr>
            <w:r>
              <w:rPr>
                <w:b/>
                <w:bCs/>
                <w:color w:val="1E1B4B"/>
                <w:sz w:val="20"/>
                <w:szCs w:val="20"/>
              </w:rPr>
              <w:t xml:space="preserve">Nom</w:t>
            </w:r>
          </w:p>
        </w:tc>
        <w:tc>
          <w:tcPr>
            <w:tcW w:type="dxa" w:w="1500"/>
            <w:shd w:fill="EEF2FF" w:color="auto" w:val="clear"/>
            <w:tcMar>
              <w:top w:type="dxa" w:w="100"/>
              <w:left w:type="dxa" w:w="120"/>
              <w:bottom w:type="dxa" w:w="100"/>
              <w:right w:type="dxa" w:w="120"/>
            </w:tcMar>
          </w:tcPr>
          <w:p>
            <w:pPr>
              <w:spacing w:after="0"/>
            </w:pPr>
            <w:r>
              <w:rPr>
                <w:b/>
                <w:bCs/>
                <w:color w:val="1E1B4B"/>
                <w:sz w:val="20"/>
                <w:szCs w:val="20"/>
              </w:rPr>
              <w:t xml:space="preserve">Valeur</w:t>
            </w:r>
          </w:p>
        </w:tc>
        <w:tc>
          <w:tcPr>
            <w:tcW w:type="dxa" w:w="6000"/>
            <w:shd w:fill="EEF2FF" w:color="auto" w:val="clear"/>
            <w:tcMar>
              <w:top w:type="dxa" w:w="100"/>
              <w:left w:type="dxa" w:w="120"/>
              <w:bottom w:type="dxa" w:w="100"/>
              <w:right w:type="dxa" w:w="120"/>
            </w:tcMar>
          </w:tcPr>
          <w:p>
            <w:pPr>
              <w:spacing w:after="0"/>
            </w:pPr>
            <w:r>
              <w:rPr>
                <w:b/>
                <w:bCs/>
                <w:color w:val="1E1B4B"/>
                <w:sz w:val="20"/>
                <w:szCs w:val="20"/>
              </w:rPr>
              <w:t xml:space="preserve">Usage</w:t>
            </w:r>
          </w:p>
        </w:tc>
      </w:tr>
      <w:tr>
        <w:tc>
          <w:tcPr>
            <w:tcW w:type="dxa" w:w="1500"/>
            <w:tcMar>
              <w:top w:type="dxa" w:w="100"/>
              <w:left w:type="dxa" w:w="120"/>
              <w:bottom w:type="dxa" w:w="100"/>
              <w:right w:type="dxa" w:w="120"/>
            </w:tcMar>
          </w:tcPr>
          <w:p>
            <w:pPr>
              <w:spacing w:after="0"/>
            </w:pPr>
            <w:r>
              <w:rPr>
                <w:color w:val="1C1917"/>
                <w:sz w:val="20"/>
                <w:szCs w:val="20"/>
              </w:rPr>
              <w:t xml:space="preserve">Petit</w:t>
            </w:r>
          </w:p>
        </w:tc>
        <w:tc>
          <w:tcPr>
            <w:tcW w:type="dxa" w:w="1500"/>
            <w:tcMar>
              <w:top w:type="dxa" w:w="100"/>
              <w:left w:type="dxa" w:w="120"/>
              <w:bottom w:type="dxa" w:w="100"/>
              <w:right w:type="dxa" w:w="120"/>
            </w:tcMar>
          </w:tcPr>
          <w:p>
            <w:pPr>
              <w:spacing w:after="0"/>
            </w:pPr>
            <w:r>
              <w:rPr>
                <w:color w:val="1C1917"/>
                <w:sz w:val="20"/>
                <w:szCs w:val="20"/>
              </w:rPr>
              <w:t xml:space="preserve">6px</w:t>
            </w:r>
          </w:p>
        </w:tc>
        <w:tc>
          <w:tcPr>
            <w:tcW w:type="dxa" w:w="6000"/>
            <w:tcMar>
              <w:top w:type="dxa" w:w="100"/>
              <w:left w:type="dxa" w:w="120"/>
              <w:bottom w:type="dxa" w:w="100"/>
              <w:right w:type="dxa" w:w="120"/>
            </w:tcMar>
          </w:tcPr>
          <w:p>
            <w:pPr>
              <w:spacing w:after="0"/>
            </w:pPr>
            <w:r>
              <w:rPr>
                <w:color w:val="1C1917"/>
                <w:sz w:val="20"/>
                <w:szCs w:val="20"/>
              </w:rPr>
              <w:t xml:space="preserve">Boutons, champs de saisie, petits éléments interactifs</w:t>
            </w:r>
          </w:p>
        </w:tc>
      </w:tr>
      <w:tr>
        <w:tc>
          <w:tcPr>
            <w:tcW w:type="dxa" w:w="1500"/>
            <w:tcMar>
              <w:top w:type="dxa" w:w="100"/>
              <w:left w:type="dxa" w:w="120"/>
              <w:bottom w:type="dxa" w:w="100"/>
              <w:right w:type="dxa" w:w="120"/>
            </w:tcMar>
          </w:tcPr>
          <w:p>
            <w:pPr>
              <w:spacing w:after="0"/>
            </w:pPr>
            <w:r>
              <w:rPr>
                <w:color w:val="1C1917"/>
                <w:sz w:val="20"/>
                <w:szCs w:val="20"/>
              </w:rPr>
              <w:t xml:space="preserve">Moyen</w:t>
            </w:r>
          </w:p>
        </w:tc>
        <w:tc>
          <w:tcPr>
            <w:tcW w:type="dxa" w:w="1500"/>
            <w:tcMar>
              <w:top w:type="dxa" w:w="100"/>
              <w:left w:type="dxa" w:w="120"/>
              <w:bottom w:type="dxa" w:w="100"/>
              <w:right w:type="dxa" w:w="120"/>
            </w:tcMar>
          </w:tcPr>
          <w:p>
            <w:pPr>
              <w:spacing w:after="0"/>
            </w:pPr>
            <w:r>
              <w:rPr>
                <w:color w:val="1C1917"/>
                <w:sz w:val="20"/>
                <w:szCs w:val="20"/>
              </w:rPr>
              <w:t xml:space="preserve">8px</w:t>
            </w:r>
          </w:p>
        </w:tc>
        <w:tc>
          <w:tcPr>
            <w:tcW w:type="dxa" w:w="6000"/>
            <w:tcMar>
              <w:top w:type="dxa" w:w="100"/>
              <w:left w:type="dxa" w:w="120"/>
              <w:bottom w:type="dxa" w:w="100"/>
              <w:right w:type="dxa" w:w="120"/>
            </w:tcMar>
          </w:tcPr>
          <w:p>
            <w:pPr>
              <w:spacing w:after="0"/>
            </w:pPr>
            <w:r>
              <w:rPr>
                <w:color w:val="1C1917"/>
                <w:sz w:val="20"/>
                <w:szCs w:val="20"/>
              </w:rPr>
              <w:t xml:space="preserve">Bandeaux d'alerte, éléments moyens</w:t>
            </w:r>
          </w:p>
        </w:tc>
      </w:tr>
      <w:tr>
        <w:tc>
          <w:tcPr>
            <w:tcW w:type="dxa" w:w="1500"/>
            <w:tcMar>
              <w:top w:type="dxa" w:w="100"/>
              <w:left w:type="dxa" w:w="120"/>
              <w:bottom w:type="dxa" w:w="100"/>
              <w:right w:type="dxa" w:w="120"/>
            </w:tcMar>
          </w:tcPr>
          <w:p>
            <w:pPr>
              <w:spacing w:after="0"/>
            </w:pPr>
            <w:r>
              <w:rPr>
                <w:color w:val="1C1917"/>
                <w:sz w:val="20"/>
                <w:szCs w:val="20"/>
              </w:rPr>
              <w:t xml:space="preserve">Grand</w:t>
            </w:r>
          </w:p>
        </w:tc>
        <w:tc>
          <w:tcPr>
            <w:tcW w:type="dxa" w:w="1500"/>
            <w:tcMar>
              <w:top w:type="dxa" w:w="100"/>
              <w:left w:type="dxa" w:w="120"/>
              <w:bottom w:type="dxa" w:w="100"/>
              <w:right w:type="dxa" w:w="120"/>
            </w:tcMar>
          </w:tcPr>
          <w:p>
            <w:pPr>
              <w:spacing w:after="0"/>
            </w:pPr>
            <w:r>
              <w:rPr>
                <w:color w:val="1C1917"/>
                <w:sz w:val="20"/>
                <w:szCs w:val="20"/>
              </w:rPr>
              <w:t xml:space="preserve">12px</w:t>
            </w:r>
          </w:p>
        </w:tc>
        <w:tc>
          <w:tcPr>
            <w:tcW w:type="dxa" w:w="6000"/>
            <w:tcMar>
              <w:top w:type="dxa" w:w="100"/>
              <w:left w:type="dxa" w:w="120"/>
              <w:bottom w:type="dxa" w:w="100"/>
              <w:right w:type="dxa" w:w="120"/>
            </w:tcMar>
          </w:tcPr>
          <w:p>
            <w:pPr>
              <w:spacing w:after="0"/>
            </w:pPr>
            <w:r>
              <w:rPr>
                <w:color w:val="1C1917"/>
                <w:sz w:val="20"/>
                <w:szCs w:val="20"/>
              </w:rPr>
              <w:t xml:space="preserve">Cartes, dialogues, panneaux</w:t>
            </w:r>
          </w:p>
        </w:tc>
      </w:tr>
      <w:tr>
        <w:tc>
          <w:tcPr>
            <w:tcW w:type="dxa" w:w="1500"/>
            <w:tcMar>
              <w:top w:type="dxa" w:w="100"/>
              <w:left w:type="dxa" w:w="120"/>
              <w:bottom w:type="dxa" w:w="100"/>
              <w:right w:type="dxa" w:w="120"/>
            </w:tcMar>
          </w:tcPr>
          <w:p>
            <w:pPr>
              <w:spacing w:after="0"/>
            </w:pPr>
            <w:r>
              <w:rPr>
                <w:color w:val="1C1917"/>
                <w:sz w:val="20"/>
                <w:szCs w:val="20"/>
              </w:rPr>
              <w:t xml:space="preserve">Pilule</w:t>
            </w:r>
          </w:p>
        </w:tc>
        <w:tc>
          <w:tcPr>
            <w:tcW w:type="dxa" w:w="1500"/>
            <w:tcMar>
              <w:top w:type="dxa" w:w="100"/>
              <w:left w:type="dxa" w:w="120"/>
              <w:bottom w:type="dxa" w:w="100"/>
              <w:right w:type="dxa" w:w="120"/>
            </w:tcMar>
          </w:tcPr>
          <w:p>
            <w:pPr>
              <w:spacing w:after="0"/>
            </w:pPr>
            <w:r>
              <w:rPr>
                <w:color w:val="1C1917"/>
                <w:sz w:val="20"/>
                <w:szCs w:val="20"/>
              </w:rPr>
              <w:t xml:space="preserve">999px</w:t>
            </w:r>
          </w:p>
        </w:tc>
        <w:tc>
          <w:tcPr>
            <w:tcW w:type="dxa" w:w="6000"/>
            <w:tcMar>
              <w:top w:type="dxa" w:w="100"/>
              <w:left w:type="dxa" w:w="120"/>
              <w:bottom w:type="dxa" w:w="100"/>
              <w:right w:type="dxa" w:w="120"/>
            </w:tcMar>
          </w:tcPr>
          <w:p>
            <w:pPr>
              <w:spacing w:after="0"/>
            </w:pPr>
            <w:r>
              <w:rPr>
                <w:color w:val="1C1917"/>
                <w:sz w:val="20"/>
                <w:szCs w:val="20"/>
              </w:rPr>
              <w:t xml:space="preserve">Badges, pills, tags</w:t>
            </w:r>
          </w:p>
        </w:tc>
      </w:tr>
    </w:tbl>
    <w:p>
      <w:pPr>
        <w:spacing w:after="120" w:line="300"/>
      </w:pPr>
      <w:r>
        <w:rPr>
          <w:b/>
          <w:bCs/>
        </w:rPr>
        <w:t xml:space="preserve">Règle absolue : jamais de coins arrondis sur une bordure d'un seul côté. </w:t>
      </w:r>
      <w:r>
        <w:t xml:space="preserve">Si une carte a un accent de couleur sur son bord gauche (border-left), les autres coins doivent être également non-arrondis (border-radius: 0). Sinon, l'effet visuel est cassé.</w:t>
      </w:r>
    </w:p>
    <w:p>
      <w:pPr>
        <w:pStyle w:val="Heading2"/>
        <w:spacing w:after="160" w:before="280"/>
      </w:pPr>
      <w:r>
        <w:rPr>
          <w:b/>
          <w:bCs/>
          <w:color w:val="4F46E5"/>
          <w:sz w:val="26"/>
          <w:szCs w:val="26"/>
        </w:rPr>
        <w:t xml:space="preserve">6.4 Élévation</w:t>
      </w:r>
    </w:p>
    <w:p>
      <w:pPr>
        <w:spacing w:after="120" w:line="300"/>
      </w:pPr>
      <w:r>
        <w:t xml:space="preserve">Daeko utilise une élévation plate — pas d'ombres portées coûteuses en performance, pas de dégradés. La hiérarchie visuelle repose sur trois techniques uniquement :</w:t>
      </w:r>
    </w:p>
    <w:p>
      <w:pPr>
        <w:pStyle w:val="ListParagraph"/>
        <w:numPr>
          <w:ilvl w:val="0"/>
          <w:numId w:val="2"/>
        </w:numPr>
        <w:spacing w:after="80"/>
      </w:pPr>
      <w:r>
        <w:t xml:space="preserve">Différence de fond : une carte blanche sur un fond légèrement gris remonte visuellement sans ombre</w:t>
      </w:r>
    </w:p>
    <w:p>
      <w:pPr>
        <w:pStyle w:val="ListParagraph"/>
        <w:numPr>
          <w:ilvl w:val="0"/>
          <w:numId w:val="2"/>
        </w:numPr>
        <w:spacing w:after="80"/>
      </w:pPr>
      <w:r>
        <w:t xml:space="preserve">Bordure hairline : le contour 0.5px donne assez de définition</w:t>
      </w:r>
    </w:p>
    <w:p>
      <w:pPr>
        <w:pStyle w:val="ListParagraph"/>
        <w:numPr>
          <w:ilvl w:val="0"/>
          <w:numId w:val="2"/>
        </w:numPr>
        <w:spacing w:after="80"/>
      </w:pPr>
      <w:r>
        <w:t xml:space="preserve">Espacement : plus un élément a d'espace autour de lui, plus il paraît important</w:t>
      </w:r>
    </w:p>
    <w:p>
      <w:pPr>
        <w:spacing w:after="120" w:line="300"/>
      </w:pPr>
      <w:r>
        <w:t xml:space="preserve">Une seule exception : les popovers et menus déroulants portent une ombre légère pour signaler qu'ils flottent au-dessus du reste.</w:t>
      </w:r>
    </w:p>
    <w:p>
      <w:pPr>
        <w:spacing w:after="120" w:line="300"/>
      </w:pPr>
      <w:r>
        <w:rPr>
          <w:b/>
          <w:bCs/>
        </w:rPr>
        <w:t xml:space="preserve">Ombre unique autorisée (popovers uniquement) :</w:t>
      </w:r>
    </w:p>
    <w:p>
      <w:pPr>
        <w:pStyle w:val="ListParagraph"/>
        <w:numPr>
          <w:ilvl w:val="0"/>
          <w:numId w:val="2"/>
        </w:numPr>
        <w:spacing w:after="80"/>
      </w:pPr>
      <w:r>
        <w:t xml:space="preserve">Mode clair : box-shadow: 0 4px 12px rgba(28, 25, 23, 0.08), 0 2px 4px rgba(28, 25, 23, 0.04)</w:t>
      </w:r>
    </w:p>
    <w:p>
      <w:pPr>
        <w:pStyle w:val="ListParagraph"/>
        <w:numPr>
          <w:ilvl w:val="0"/>
          <w:numId w:val="2"/>
        </w:numPr>
        <w:spacing w:after="80"/>
      </w:pPr>
      <w:r>
        <w:t xml:space="preserve">Mode sombre : box-shadow: 0 4px 12px rgba(0, 0, 0, 0.4), 0 2px 4px rgba(0, 0, 0, 0.2)</w:t>
      </w:r>
    </w:p>
    <w:p>
      <w:r>
        <w:br w:type="page"/>
      </w:r>
    </w:p>
    <w:p>
      <w:pPr>
        <w:pStyle w:val="Heading1"/>
        <w:spacing w:after="200" w:before="360"/>
      </w:pPr>
      <w:r>
        <w:rPr>
          <w:b/>
          <w:bCs/>
          <w:color w:val="1E1B4B"/>
          <w:sz w:val="32"/>
          <w:szCs w:val="32"/>
        </w:rPr>
        <w:t xml:space="preserve">7. Iconographie</w:t>
      </w:r>
    </w:p>
    <w:p>
      <w:pPr>
        <w:pStyle w:val="Heading2"/>
        <w:spacing w:after="160" w:before="280"/>
      </w:pPr>
      <w:r>
        <w:rPr>
          <w:b/>
          <w:bCs/>
          <w:color w:val="4F46E5"/>
          <w:sz w:val="26"/>
          <w:szCs w:val="26"/>
        </w:rPr>
        <w:t xml:space="preserve">7.1 Bibliothèque unique — Tabler Icons</w:t>
      </w:r>
    </w:p>
    <w:p>
      <w:pPr>
        <w:spacing w:after="120" w:line="300"/>
      </w:pPr>
      <w:r>
        <w:t xml:space="preserve">Toutes les icônes de l'interface proviennent de </w:t>
      </w:r>
      <w:r>
        <w:rPr>
          <w:b/>
          <w:bCs/>
        </w:rPr>
        <w:t xml:space="preserve">Tabler Icons</w:t>
      </w:r>
      <w:r>
        <w:t xml:space="preserve">, dans leur variante </w:t>
      </w:r>
      <w:r>
        <w:rPr>
          <w:b/>
          <w:bCs/>
        </w:rPr>
        <w:t xml:space="preserve">outline</w:t>
      </w:r>
      <w:r>
        <w:t xml:space="preserve"> (jamais filled). Cette bibliothèque est libre, cohérente, et couvre plus de 5000 icônes.</w:t>
      </w:r>
    </w:p>
    <w:p>
      <w:pPr>
        <w:spacing w:after="120" w:line="300"/>
      </w:pPr>
      <w:r>
        <w:t xml:space="preserve">Aucune autre bibliothèque d'icônes n'est utilisée. Aucune icône n'est dessinée à la main, sauf pour le monogramme du logo.</w:t>
      </w:r>
    </w:p>
    <w:p>
      <w:pPr>
        <w:pStyle w:val="Heading2"/>
        <w:spacing w:after="160" w:before="280"/>
      </w:pPr>
      <w:r>
        <w:rPr>
          <w:b/>
          <w:bCs/>
          <w:color w:val="4F46E5"/>
          <w:sz w:val="26"/>
          <w:szCs w:val="26"/>
        </w:rPr>
        <w:t xml:space="preserve">7.2 Tailles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EEF2FF" w:color="auto" w:val="clear"/>
            <w:tcMar>
              <w:top w:type="dxa" w:w="100"/>
              <w:left w:type="dxa" w:w="120"/>
              <w:bottom w:type="dxa" w:w="100"/>
              <w:right w:type="dxa" w:w="120"/>
            </w:tcMar>
          </w:tcPr>
          <w:p>
            <w:pPr>
              <w:spacing w:after="0"/>
            </w:pPr>
            <w:r>
              <w:rPr>
                <w:b/>
                <w:bCs/>
                <w:color w:val="1E1B4B"/>
                <w:sz w:val="20"/>
                <w:szCs w:val="20"/>
              </w:rPr>
              <w:t xml:space="preserve">Contexte</w:t>
            </w:r>
          </w:p>
        </w:tc>
        <w:tc>
          <w:tcPr>
            <w:tcW w:type="dxa" w:w="3500"/>
            <w:shd w:fill="EEF2FF" w:color="auto" w:val="clear"/>
            <w:tcMar>
              <w:top w:type="dxa" w:w="100"/>
              <w:left w:type="dxa" w:w="120"/>
              <w:bottom w:type="dxa" w:w="100"/>
              <w:right w:type="dxa" w:w="120"/>
            </w:tcMar>
          </w:tcPr>
          <w:p>
            <w:pPr>
              <w:spacing w:after="0"/>
            </w:pPr>
            <w:r>
              <w:rPr>
                <w:b/>
                <w:bCs/>
                <w:color w:val="1E1B4B"/>
                <w:sz w:val="20"/>
                <w:szCs w:val="20"/>
              </w:rPr>
              <w:t xml:space="preserve">Taille</w:t>
            </w:r>
          </w:p>
        </w:tc>
      </w:tr>
      <w:tr>
        <w:tc>
          <w:tcPr>
            <w:tcW w:type="dxa" w:w="5500"/>
            <w:tcMar>
              <w:top w:type="dxa" w:w="100"/>
              <w:left w:type="dxa" w:w="120"/>
              <w:bottom w:type="dxa" w:w="100"/>
              <w:right w:type="dxa" w:w="120"/>
            </w:tcMar>
          </w:tcPr>
          <w:p>
            <w:pPr>
              <w:spacing w:after="0"/>
            </w:pPr>
            <w:r>
              <w:rPr>
                <w:color w:val="1C1917"/>
                <w:sz w:val="20"/>
                <w:szCs w:val="20"/>
              </w:rPr>
              <w:t xml:space="preserve">Icône dans un bouton</w:t>
            </w:r>
          </w:p>
        </w:tc>
        <w:tc>
          <w:tcPr>
            <w:tcW w:type="dxa" w:w="3500"/>
            <w:tcMar>
              <w:top w:type="dxa" w:w="100"/>
              <w:left w:type="dxa" w:w="120"/>
              <w:bottom w:type="dxa" w:w="100"/>
              <w:right w:type="dxa" w:w="120"/>
            </w:tcMar>
          </w:tcPr>
          <w:p>
            <w:pPr>
              <w:spacing w:after="0"/>
            </w:pPr>
            <w:r>
              <w:rPr>
                <w:color w:val="1C1917"/>
                <w:sz w:val="20"/>
                <w:szCs w:val="20"/>
              </w:rPr>
              <w:t xml:space="preserve">16px</w:t>
            </w:r>
          </w:p>
        </w:tc>
      </w:tr>
      <w:tr>
        <w:tc>
          <w:tcPr>
            <w:tcW w:type="dxa" w:w="5500"/>
            <w:tcMar>
              <w:top w:type="dxa" w:w="100"/>
              <w:left w:type="dxa" w:w="120"/>
              <w:bottom w:type="dxa" w:w="100"/>
              <w:right w:type="dxa" w:w="120"/>
            </w:tcMar>
          </w:tcPr>
          <w:p>
            <w:pPr>
              <w:spacing w:after="0"/>
            </w:pPr>
            <w:r>
              <w:rPr>
                <w:color w:val="1C1917"/>
                <w:sz w:val="20"/>
                <w:szCs w:val="20"/>
              </w:rPr>
              <w:t xml:space="preserve">Icône dans un titre de section</w:t>
            </w:r>
          </w:p>
        </w:tc>
        <w:tc>
          <w:tcPr>
            <w:tcW w:type="dxa" w:w="3500"/>
            <w:tcMar>
              <w:top w:type="dxa" w:w="100"/>
              <w:left w:type="dxa" w:w="120"/>
              <w:bottom w:type="dxa" w:w="100"/>
              <w:right w:type="dxa" w:w="120"/>
            </w:tcMar>
          </w:tcPr>
          <w:p>
            <w:pPr>
              <w:spacing w:after="0"/>
            </w:pPr>
            <w:r>
              <w:rPr>
                <w:color w:val="1C1917"/>
                <w:sz w:val="20"/>
                <w:szCs w:val="20"/>
              </w:rPr>
              <w:t xml:space="preserve">20px</w:t>
            </w:r>
          </w:p>
        </w:tc>
      </w:tr>
      <w:tr>
        <w:tc>
          <w:tcPr>
            <w:tcW w:type="dxa" w:w="5500"/>
            <w:tcMar>
              <w:top w:type="dxa" w:w="100"/>
              <w:left w:type="dxa" w:w="120"/>
              <w:bottom w:type="dxa" w:w="100"/>
              <w:right w:type="dxa" w:w="120"/>
            </w:tcMar>
          </w:tcPr>
          <w:p>
            <w:pPr>
              <w:spacing w:after="0"/>
            </w:pPr>
            <w:r>
              <w:rPr>
                <w:color w:val="1C1917"/>
                <w:sz w:val="20"/>
                <w:szCs w:val="20"/>
              </w:rPr>
              <w:t xml:space="preserve">Icône décorative dans une carte</w:t>
            </w:r>
          </w:p>
        </w:tc>
        <w:tc>
          <w:tcPr>
            <w:tcW w:type="dxa" w:w="3500"/>
            <w:tcMar>
              <w:top w:type="dxa" w:w="100"/>
              <w:left w:type="dxa" w:w="120"/>
              <w:bottom w:type="dxa" w:w="100"/>
              <w:right w:type="dxa" w:w="120"/>
            </w:tcMar>
          </w:tcPr>
          <w:p>
            <w:pPr>
              <w:spacing w:after="0"/>
            </w:pPr>
            <w:r>
              <w:rPr>
                <w:color w:val="1C1917"/>
                <w:sz w:val="20"/>
                <w:szCs w:val="20"/>
              </w:rPr>
              <w:t xml:space="preserve">24px</w:t>
            </w:r>
          </w:p>
        </w:tc>
      </w:tr>
      <w:tr>
        <w:tc>
          <w:tcPr>
            <w:tcW w:type="dxa" w:w="5500"/>
            <w:tcMar>
              <w:top w:type="dxa" w:w="100"/>
              <w:left w:type="dxa" w:w="120"/>
              <w:bottom w:type="dxa" w:w="100"/>
              <w:right w:type="dxa" w:w="120"/>
            </w:tcMar>
          </w:tcPr>
          <w:p>
            <w:pPr>
              <w:spacing w:after="0"/>
            </w:pPr>
            <w:r>
              <w:rPr>
                <w:color w:val="1C1917"/>
                <w:sz w:val="20"/>
                <w:szCs w:val="20"/>
              </w:rPr>
              <w:t xml:space="preserve">Icône dans un état vide</w:t>
            </w:r>
          </w:p>
        </w:tc>
        <w:tc>
          <w:tcPr>
            <w:tcW w:type="dxa" w:w="3500"/>
            <w:tcMar>
              <w:top w:type="dxa" w:w="100"/>
              <w:left w:type="dxa" w:w="120"/>
              <w:bottom w:type="dxa" w:w="100"/>
              <w:right w:type="dxa" w:w="120"/>
            </w:tcMar>
          </w:tcPr>
          <w:p>
            <w:pPr>
              <w:spacing w:after="0"/>
            </w:pPr>
            <w:r>
              <w:rPr>
                <w:color w:val="1C1917"/>
                <w:sz w:val="20"/>
                <w:szCs w:val="20"/>
              </w:rPr>
              <w:t xml:space="preserve">40px</w:t>
            </w:r>
          </w:p>
        </w:tc>
      </w:tr>
    </w:tbl>
    <w:p>
      <w:pPr>
        <w:spacing w:after="120" w:line="300"/>
      </w:pPr>
      <w:r>
        <w:t xml:space="preserve">Ne jamais utiliser d'icône plus grande que 40px dans l'interface — au-delà, c'est de l'illustration, pas de l'iconographie.</w:t>
      </w:r>
    </w:p>
    <w:p>
      <w:pPr>
        <w:pStyle w:val="Heading2"/>
        <w:spacing w:after="160" w:before="280"/>
      </w:pPr>
      <w:r>
        <w:rPr>
          <w:b/>
          <w:bCs/>
          <w:color w:val="4F46E5"/>
          <w:sz w:val="26"/>
          <w:szCs w:val="26"/>
        </w:rPr>
        <w:t xml:space="preserve">7.3 Couleur</w:t>
      </w:r>
    </w:p>
    <w:p>
      <w:pPr>
        <w:spacing w:after="120" w:line="300"/>
      </w:pPr>
      <w:r>
        <w:t xml:space="preserve">Les icônes prennent la couleur du texte adjacent — elles ne sont jamais colorées indépendamment. Exceptions :</w:t>
      </w:r>
    </w:p>
    <w:p>
      <w:pPr>
        <w:pStyle w:val="ListParagraph"/>
        <w:numPr>
          <w:ilvl w:val="0"/>
          <w:numId w:val="2"/>
        </w:numPr>
        <w:spacing w:after="80"/>
      </w:pPr>
      <w:r>
        <w:t xml:space="preserve">Icône dans un bandeau fonctionnel : couleur de l'état (vert, orange, rouge)</w:t>
      </w:r>
    </w:p>
    <w:p>
      <w:pPr>
        <w:pStyle w:val="ListParagraph"/>
        <w:numPr>
          <w:ilvl w:val="0"/>
          <w:numId w:val="2"/>
        </w:numPr>
        <w:spacing w:after="80"/>
      </w:pPr>
      <w:r>
        <w:t xml:space="preserve">Icône d'action primaire dans un bouton : blanc (mode clair) ou indigo profond (mode sombre)</w:t>
      </w:r>
    </w:p>
    <w:p>
      <w:pPr>
        <w:pStyle w:val="Heading2"/>
        <w:spacing w:after="160" w:before="280"/>
      </w:pPr>
      <w:r>
        <w:rPr>
          <w:b/>
          <w:bCs/>
          <w:color w:val="4F46E5"/>
          <w:sz w:val="26"/>
          <w:szCs w:val="26"/>
        </w:rPr>
        <w:t xml:space="preserve">7.4 Emoji</w:t>
      </w:r>
    </w:p>
    <w:p>
      <w:pPr>
        <w:spacing w:after="120" w:line="300"/>
      </w:pPr>
      <w:r>
        <w:rPr>
          <w:b/>
          <w:bCs/>
        </w:rPr>
        <w:t xml:space="preserve">Aucun emoji dans l'interface. </w:t>
      </w:r>
      <w:r>
        <w:t xml:space="preserve">L'ensemble des signaux visuels passe par les icônes Tabler ou par la couleur — les emojis produisent un rendu incohérent selon les systèmes et cassent la sensation professionnelle.</w:t>
      </w:r>
    </w:p>
    <w:p>
      <w:r>
        <w:br w:type="page"/>
      </w:r>
    </w:p>
    <w:p>
      <w:pPr>
        <w:pStyle w:val="Heading1"/>
        <w:spacing w:after="200" w:before="360"/>
      </w:pPr>
      <w:r>
        <w:rPr>
          <w:b/>
          <w:bCs/>
          <w:color w:val="1E1B4B"/>
          <w:sz w:val="32"/>
          <w:szCs w:val="32"/>
        </w:rPr>
        <w:t xml:space="preserve">8. Composants d'interface</w:t>
      </w:r>
    </w:p>
    <w:p>
      <w:pPr>
        <w:pStyle w:val="Heading2"/>
        <w:spacing w:after="160" w:before="280"/>
      </w:pPr>
      <w:r>
        <w:rPr>
          <w:b/>
          <w:bCs/>
          <w:color w:val="4F46E5"/>
          <w:sz w:val="26"/>
          <w:szCs w:val="26"/>
        </w:rPr>
        <w:t xml:space="preserve">8.1 Boutons</w:t>
      </w:r>
    </w:p>
    <w:p>
      <w:pPr>
        <w:spacing w:after="120" w:line="300"/>
      </w:pPr>
      <w:r>
        <w:t xml:space="preserve">Trois variantes seulement.</w:t>
      </w:r>
    </w:p>
    <w:p>
      <w:pPr>
        <w:pStyle w:val="Heading3"/>
        <w:spacing w:after="120" w:before="220"/>
      </w:pPr>
      <w:r>
        <w:rPr>
          <w:b/>
          <w:bCs/>
          <w:color w:val="4F46E5"/>
          <w:sz w:val="22"/>
          <w:szCs w:val="22"/>
        </w:rPr>
        <w:t xml:space="preserve">Bouton primaire</w:t>
      </w:r>
    </w:p>
    <w:p>
      <w:pPr>
        <w:spacing w:after="120" w:line="300"/>
      </w:pPr>
      <w:r>
        <w:t xml:space="preserve">Utilisé pour l'action principale d'un écran ou d'un formulaire. Une seule occurrence par vue, jamais deux boutons primaires côte à côte.</w:t>
      </w:r>
    </w:p>
    <w:p>
      <w:pPr>
        <w:pStyle w:val="ListParagraph"/>
        <w:numPr>
          <w:ilvl w:val="0"/>
          <w:numId w:val="2"/>
        </w:numPr>
        <w:spacing w:after="80"/>
      </w:pPr>
      <w:r>
        <w:t xml:space="preserve">Fond : Indigo Daeko (#4F46E5 clair, #818CF8 sombre)</w:t>
      </w:r>
    </w:p>
    <w:p>
      <w:pPr>
        <w:pStyle w:val="ListParagraph"/>
        <w:numPr>
          <w:ilvl w:val="0"/>
          <w:numId w:val="2"/>
        </w:numPr>
        <w:spacing w:after="80"/>
      </w:pPr>
      <w:r>
        <w:t xml:space="preserve">Texte : blanc (clair), Indigo profond #1E1B4B (sombre)</w:t>
      </w:r>
    </w:p>
    <w:p>
      <w:pPr>
        <w:pStyle w:val="ListParagraph"/>
        <w:numPr>
          <w:ilvl w:val="0"/>
          <w:numId w:val="2"/>
        </w:numPr>
        <w:spacing w:after="80"/>
      </w:pPr>
      <w:r>
        <w:t xml:space="preserve">Bordure : aucune</w:t>
      </w:r>
    </w:p>
    <w:p>
      <w:pPr>
        <w:pStyle w:val="ListParagraph"/>
        <w:numPr>
          <w:ilvl w:val="0"/>
          <w:numId w:val="2"/>
        </w:numPr>
        <w:spacing w:after="80"/>
      </w:pPr>
      <w:r>
        <w:t xml:space="preserve">Rayon : 8px</w:t>
      </w:r>
    </w:p>
    <w:p>
      <w:pPr>
        <w:pStyle w:val="ListParagraph"/>
        <w:numPr>
          <w:ilvl w:val="0"/>
          <w:numId w:val="2"/>
        </w:numPr>
        <w:spacing w:after="80"/>
      </w:pPr>
      <w:r>
        <w:t xml:space="preserve">Padding : 9px 16px</w:t>
      </w:r>
    </w:p>
    <w:p>
      <w:pPr>
        <w:pStyle w:val="ListParagraph"/>
        <w:numPr>
          <w:ilvl w:val="0"/>
          <w:numId w:val="2"/>
        </w:numPr>
        <w:spacing w:after="80"/>
      </w:pPr>
      <w:r>
        <w:t xml:space="preserve">Graisse texte : Medium (500)</w:t>
      </w:r>
    </w:p>
    <w:p>
      <w:pPr>
        <w:pStyle w:val="Heading3"/>
        <w:spacing w:after="120" w:before="220"/>
      </w:pPr>
      <w:r>
        <w:rPr>
          <w:b/>
          <w:bCs/>
          <w:color w:val="4F46E5"/>
          <w:sz w:val="22"/>
          <w:szCs w:val="22"/>
        </w:rPr>
        <w:t xml:space="preserve">Bouton secondaire</w:t>
      </w:r>
    </w:p>
    <w:p>
      <w:pPr>
        <w:spacing w:after="120" w:line="300"/>
      </w:pPr>
      <w:r>
        <w:t xml:space="preserve">Utilisé pour les actions courantes non-primaires. Peut apparaître plusieurs fois sur un même écran.</w:t>
      </w:r>
    </w:p>
    <w:p>
      <w:pPr>
        <w:pStyle w:val="ListParagraph"/>
        <w:numPr>
          <w:ilvl w:val="0"/>
          <w:numId w:val="2"/>
        </w:numPr>
        <w:spacing w:after="80"/>
      </w:pPr>
      <w:r>
        <w:t xml:space="preserve">Fond : blanc (clair), transparent (sombre)</w:t>
      </w:r>
    </w:p>
    <w:p>
      <w:pPr>
        <w:pStyle w:val="ListParagraph"/>
        <w:numPr>
          <w:ilvl w:val="0"/>
          <w:numId w:val="2"/>
        </w:numPr>
        <w:spacing w:after="80"/>
      </w:pPr>
      <w:r>
        <w:t xml:space="preserve">Texte : Texte fort</w:t>
      </w:r>
    </w:p>
    <w:p>
      <w:pPr>
        <w:pStyle w:val="ListParagraph"/>
        <w:numPr>
          <w:ilvl w:val="0"/>
          <w:numId w:val="2"/>
        </w:numPr>
        <w:spacing w:after="80"/>
      </w:pPr>
      <w:r>
        <w:t xml:space="preserve">Bordure : 0.5px Bordure forte</w:t>
      </w:r>
    </w:p>
    <w:p>
      <w:pPr>
        <w:pStyle w:val="ListParagraph"/>
        <w:numPr>
          <w:ilvl w:val="0"/>
          <w:numId w:val="2"/>
        </w:numPr>
        <w:spacing w:after="80"/>
      </w:pPr>
      <w:r>
        <w:t xml:space="preserve">Rayon : 8px</w:t>
      </w:r>
    </w:p>
    <w:p>
      <w:pPr>
        <w:pStyle w:val="ListParagraph"/>
        <w:numPr>
          <w:ilvl w:val="0"/>
          <w:numId w:val="2"/>
        </w:numPr>
        <w:spacing w:after="80"/>
      </w:pPr>
      <w:r>
        <w:t xml:space="preserve">Padding : 9px 16px</w:t>
      </w:r>
    </w:p>
    <w:p>
      <w:pPr>
        <w:pStyle w:val="Heading3"/>
        <w:spacing w:after="120" w:before="220"/>
      </w:pPr>
      <w:r>
        <w:rPr>
          <w:b/>
          <w:bCs/>
          <w:color w:val="4F46E5"/>
          <w:sz w:val="22"/>
          <w:szCs w:val="22"/>
        </w:rPr>
        <w:t xml:space="preserve">Bouton ghost</w:t>
      </w:r>
    </w:p>
    <w:p>
      <w:pPr>
        <w:spacing w:after="120" w:line="300"/>
      </w:pPr>
      <w:r>
        <w:t xml:space="preserve">Utilisé pour les actions tertiaires ou destructives dans un contexte secondaire.</w:t>
      </w:r>
    </w:p>
    <w:p>
      <w:pPr>
        <w:pStyle w:val="ListParagraph"/>
        <w:numPr>
          <w:ilvl w:val="0"/>
          <w:numId w:val="2"/>
        </w:numPr>
        <w:spacing w:after="80"/>
      </w:pPr>
      <w:r>
        <w:t xml:space="preserve">Fond : transparent</w:t>
      </w:r>
    </w:p>
    <w:p>
      <w:pPr>
        <w:pStyle w:val="ListParagraph"/>
        <w:numPr>
          <w:ilvl w:val="0"/>
          <w:numId w:val="2"/>
        </w:numPr>
        <w:spacing w:after="80"/>
      </w:pPr>
      <w:r>
        <w:t xml:space="preserve">Texte : Texte doux</w:t>
      </w:r>
    </w:p>
    <w:p>
      <w:pPr>
        <w:pStyle w:val="ListParagraph"/>
        <w:numPr>
          <w:ilvl w:val="0"/>
          <w:numId w:val="2"/>
        </w:numPr>
        <w:spacing w:after="80"/>
      </w:pPr>
      <w:r>
        <w:t xml:space="preserve">Bordure : aucune</w:t>
      </w:r>
    </w:p>
    <w:p>
      <w:pPr>
        <w:pStyle w:val="ListParagraph"/>
        <w:numPr>
          <w:ilvl w:val="0"/>
          <w:numId w:val="2"/>
        </w:numPr>
        <w:spacing w:after="80"/>
      </w:pPr>
      <w:r>
        <w:t xml:space="preserve">Rayon : 8px</w:t>
      </w:r>
    </w:p>
    <w:p>
      <w:pPr>
        <w:pStyle w:val="ListParagraph"/>
        <w:numPr>
          <w:ilvl w:val="0"/>
          <w:numId w:val="2"/>
        </w:numPr>
        <w:spacing w:after="80"/>
      </w:pPr>
      <w:r>
        <w:t xml:space="preserve">Padding : 9px 12px</w:t>
      </w:r>
    </w:p>
    <w:p>
      <w:pPr>
        <w:pStyle w:val="Heading3"/>
        <w:spacing w:after="120" w:before="220"/>
      </w:pPr>
      <w:r>
        <w:rPr>
          <w:b/>
          <w:bCs/>
          <w:color w:val="4F46E5"/>
          <w:sz w:val="22"/>
          <w:szCs w:val="22"/>
        </w:rPr>
        <w:t xml:space="preserve">États de tous les boutons</w:t>
      </w:r>
    </w:p>
    <w:p>
      <w:pPr>
        <w:pStyle w:val="ListParagraph"/>
        <w:numPr>
          <w:ilvl w:val="0"/>
          <w:numId w:val="2"/>
        </w:numPr>
        <w:spacing w:after="80"/>
      </w:pPr>
      <w:r>
        <w:t xml:space="preserve">Hover : opacité 90% du fond ou fond légèrement plus foncé</w:t>
      </w:r>
    </w:p>
    <w:p>
      <w:pPr>
        <w:pStyle w:val="ListParagraph"/>
        <w:numPr>
          <w:ilvl w:val="0"/>
          <w:numId w:val="2"/>
        </w:numPr>
        <w:spacing w:after="80"/>
      </w:pPr>
      <w:r>
        <w:t xml:space="preserve">Active (cliqué) : transformation scale(0.98) pendant 100ms</w:t>
      </w:r>
    </w:p>
    <w:p>
      <w:pPr>
        <w:pStyle w:val="ListParagraph"/>
        <w:numPr>
          <w:ilvl w:val="0"/>
          <w:numId w:val="2"/>
        </w:numPr>
        <w:spacing w:after="80"/>
      </w:pPr>
      <w:r>
        <w:t xml:space="preserve">Focus : focus ring 2px Indigo Daeko à 4px de distance du bord</w:t>
      </w:r>
    </w:p>
    <w:p>
      <w:pPr>
        <w:pStyle w:val="ListParagraph"/>
        <w:numPr>
          <w:ilvl w:val="0"/>
          <w:numId w:val="2"/>
        </w:numPr>
        <w:spacing w:after="80"/>
      </w:pPr>
      <w:r>
        <w:t xml:space="preserve">Disabled : opacité 50%, curseur not-allowed</w:t>
      </w:r>
    </w:p>
    <w:p>
      <w:pPr>
        <w:pStyle w:val="Heading2"/>
        <w:spacing w:after="160" w:before="280"/>
      </w:pPr>
      <w:r>
        <w:rPr>
          <w:b/>
          <w:bCs/>
          <w:color w:val="4F46E5"/>
          <w:sz w:val="26"/>
          <w:szCs w:val="26"/>
        </w:rPr>
        <w:t xml:space="preserve">8.2 Champs de saisie</w:t>
      </w:r>
    </w:p>
    <w:p>
      <w:pPr>
        <w:pStyle w:val="Heading3"/>
        <w:spacing w:after="120" w:before="220"/>
      </w:pPr>
      <w:r>
        <w:rPr>
          <w:b/>
          <w:bCs/>
          <w:color w:val="4F46E5"/>
          <w:sz w:val="22"/>
          <w:szCs w:val="22"/>
        </w:rPr>
        <w:t xml:space="preserve">Champ texte standard</w:t>
      </w:r>
    </w:p>
    <w:p>
      <w:pPr>
        <w:pStyle w:val="ListParagraph"/>
        <w:numPr>
          <w:ilvl w:val="0"/>
          <w:numId w:val="2"/>
        </w:numPr>
        <w:spacing w:after="80"/>
      </w:pPr>
      <w:r>
        <w:t xml:space="preserve">Hauteur : 36px</w:t>
      </w:r>
    </w:p>
    <w:p>
      <w:pPr>
        <w:pStyle w:val="ListParagraph"/>
        <w:numPr>
          <w:ilvl w:val="0"/>
          <w:numId w:val="2"/>
        </w:numPr>
        <w:spacing w:after="80"/>
      </w:pPr>
      <w:r>
        <w:t xml:space="preserve">Fond : blanc (clair), Surface carte (sombre)</w:t>
      </w:r>
    </w:p>
    <w:p>
      <w:pPr>
        <w:pStyle w:val="ListParagraph"/>
        <w:numPr>
          <w:ilvl w:val="0"/>
          <w:numId w:val="2"/>
        </w:numPr>
        <w:spacing w:after="80"/>
      </w:pPr>
      <w:r>
        <w:t xml:space="preserve">Bordure : 0.5px Bordure standard</w:t>
      </w:r>
    </w:p>
    <w:p>
      <w:pPr>
        <w:pStyle w:val="ListParagraph"/>
        <w:numPr>
          <w:ilvl w:val="0"/>
          <w:numId w:val="2"/>
        </w:numPr>
        <w:spacing w:after="80"/>
      </w:pPr>
      <w:r>
        <w:t xml:space="preserve">Rayon : 6px</w:t>
      </w:r>
    </w:p>
    <w:p>
      <w:pPr>
        <w:pStyle w:val="ListParagraph"/>
        <w:numPr>
          <w:ilvl w:val="0"/>
          <w:numId w:val="2"/>
        </w:numPr>
        <w:spacing w:after="80"/>
      </w:pPr>
      <w:r>
        <w:t xml:space="preserve">Padding : 8px 12px</w:t>
      </w:r>
    </w:p>
    <w:p>
      <w:pPr>
        <w:pStyle w:val="ListParagraph"/>
        <w:numPr>
          <w:ilvl w:val="0"/>
          <w:numId w:val="2"/>
        </w:numPr>
        <w:spacing w:after="80"/>
      </w:pPr>
      <w:r>
        <w:t xml:space="preserve">Taille de texte : 15px</w:t>
      </w:r>
    </w:p>
    <w:p>
      <w:pPr>
        <w:pStyle w:val="ListParagraph"/>
        <w:numPr>
          <w:ilvl w:val="0"/>
          <w:numId w:val="2"/>
        </w:numPr>
        <w:spacing w:after="80"/>
      </w:pPr>
      <w:r>
        <w:t xml:space="preserve">Focus : bordure passe en Indigo Daeko + focus ring 2px Indigo léger</w:t>
      </w:r>
    </w:p>
    <w:p>
      <w:pPr>
        <w:spacing w:after="120" w:line="300"/>
      </w:pPr>
      <w:r>
        <w:rPr>
          <w:b/>
          <w:bCs/>
        </w:rPr>
        <w:t xml:space="preserve">Label de champ : </w:t>
      </w:r>
      <w:r>
        <w:t xml:space="preserve">placé au-dessus du champ, 13px Medium, texte primaire, marge inférieure de 6px.</w:t>
      </w:r>
    </w:p>
    <w:p>
      <w:pPr>
        <w:spacing w:after="120" w:line="300"/>
      </w:pPr>
      <w:r>
        <w:rPr>
          <w:b/>
          <w:bCs/>
        </w:rPr>
        <w:t xml:space="preserve">Texte d'aide : </w:t>
      </w:r>
      <w:r>
        <w:t xml:space="preserve">placé sous le champ, 12px Regular, texte secondaire, marge supérieure de 4px.</w:t>
      </w:r>
    </w:p>
    <w:p>
      <w:pPr>
        <w:spacing w:after="120" w:line="300"/>
      </w:pPr>
      <w:r>
        <w:rPr>
          <w:b/>
          <w:bCs/>
        </w:rPr>
        <w:t xml:space="preserve">Message d'erreur : </w:t>
      </w:r>
      <w:r>
        <w:t xml:space="preserve">remplace le texte d'aide en cas d'erreur, 12px Regular, couleur rouge (#DC2626 clair, #F87171 sombre), icône Tabler ti-alert-circle à 14px à gauche.</w:t>
      </w:r>
    </w:p>
    <w:p>
      <w:pPr>
        <w:pStyle w:val="Heading2"/>
        <w:spacing w:after="160" w:before="280"/>
      </w:pPr>
      <w:r>
        <w:rPr>
          <w:b/>
          <w:bCs/>
          <w:color w:val="4F46E5"/>
          <w:sz w:val="26"/>
          <w:szCs w:val="26"/>
        </w:rPr>
        <w:t xml:space="preserve">8.3 Cartes</w:t>
      </w:r>
    </w:p>
    <w:p>
      <w:pPr>
        <w:spacing w:after="120" w:line="300"/>
      </w:pPr>
      <w:r>
        <w:t xml:space="preserve">Bloc structurant de l'interface. Toute information contextuelle (une branche, une classe, une matière détaillée) vit dans une carte.</w:t>
      </w:r>
    </w:p>
    <w:p>
      <w:pPr>
        <w:pStyle w:val="ListParagraph"/>
        <w:numPr>
          <w:ilvl w:val="0"/>
          <w:numId w:val="2"/>
        </w:numPr>
        <w:spacing w:after="80"/>
      </w:pPr>
      <w:r>
        <w:t xml:space="preserve">Fond : Surface carte</w:t>
      </w:r>
    </w:p>
    <w:p>
      <w:pPr>
        <w:pStyle w:val="ListParagraph"/>
        <w:numPr>
          <w:ilvl w:val="0"/>
          <w:numId w:val="2"/>
        </w:numPr>
        <w:spacing w:after="80"/>
      </w:pPr>
      <w:r>
        <w:t xml:space="preserve">Bordure : 0.5px Bordure standard</w:t>
      </w:r>
    </w:p>
    <w:p>
      <w:pPr>
        <w:pStyle w:val="ListParagraph"/>
        <w:numPr>
          <w:ilvl w:val="0"/>
          <w:numId w:val="2"/>
        </w:numPr>
        <w:spacing w:after="80"/>
      </w:pPr>
      <w:r>
        <w:t xml:space="preserve">Rayon : 12px</w:t>
      </w:r>
    </w:p>
    <w:p>
      <w:pPr>
        <w:pStyle w:val="ListParagraph"/>
        <w:numPr>
          <w:ilvl w:val="0"/>
          <w:numId w:val="2"/>
        </w:numPr>
        <w:spacing w:after="80"/>
      </w:pPr>
      <w:r>
        <w:t xml:space="preserve">Padding : 16px 20px</w:t>
      </w:r>
    </w:p>
    <w:p>
      <w:pPr>
        <w:pStyle w:val="ListParagraph"/>
        <w:numPr>
          <w:ilvl w:val="0"/>
          <w:numId w:val="2"/>
        </w:numPr>
        <w:spacing w:after="80"/>
      </w:pPr>
      <w:r>
        <w:t xml:space="preserve">Hover (si cliquable) : bordure passe en Bordure forte, curseur pointer</w:t>
      </w:r>
    </w:p>
    <w:p>
      <w:pPr>
        <w:spacing w:after="120" w:line="300"/>
      </w:pPr>
      <w:r>
        <w:rPr>
          <w:b/>
          <w:bCs/>
        </w:rPr>
        <w:t xml:space="preserve">Structure interne d'une carte :</w:t>
      </w:r>
    </w:p>
    <w:p>
      <w:pPr>
        <w:pStyle w:val="ListParagraph"/>
        <w:numPr>
          <w:ilvl w:val="0"/>
          <w:numId w:val="2"/>
        </w:numPr>
        <w:spacing w:after="80"/>
      </w:pPr>
      <w:r>
        <w:t xml:space="preserve">En-tête : titre 15px Medium à gauche, badge d'état à droite</w:t>
      </w:r>
    </w:p>
    <w:p>
      <w:pPr>
        <w:pStyle w:val="ListParagraph"/>
        <w:numPr>
          <w:ilvl w:val="0"/>
          <w:numId w:val="2"/>
        </w:numPr>
        <w:spacing w:after="80"/>
      </w:pPr>
      <w:r>
        <w:t xml:space="preserve">Corps : contenu principal</w:t>
      </w:r>
    </w:p>
    <w:p>
      <w:pPr>
        <w:pStyle w:val="ListParagraph"/>
        <w:numPr>
          <w:ilvl w:val="0"/>
          <w:numId w:val="2"/>
        </w:numPr>
        <w:spacing w:after="80"/>
      </w:pPr>
      <w:r>
        <w:t xml:space="preserve">Séparateur interne (si nécessaire) : 0.5px Bordure standard, marges verticales de 12px</w:t>
      </w:r>
    </w:p>
    <w:p>
      <w:pPr>
        <w:pStyle w:val="ListParagraph"/>
        <w:numPr>
          <w:ilvl w:val="0"/>
          <w:numId w:val="2"/>
        </w:numPr>
        <w:spacing w:after="80"/>
      </w:pPr>
      <w:r>
        <w:t xml:space="preserve">Pied : méta-informations en 13px Regular, texte secondaire</w:t>
      </w:r>
    </w:p>
    <w:p>
      <w:pPr>
        <w:pStyle w:val="Heading2"/>
        <w:spacing w:after="160" w:before="280"/>
      </w:pPr>
      <w:r>
        <w:rPr>
          <w:b/>
          <w:bCs/>
          <w:color w:val="4F46E5"/>
          <w:sz w:val="26"/>
          <w:szCs w:val="26"/>
        </w:rPr>
        <w:t xml:space="preserve">8.4 Badges</w:t>
      </w:r>
    </w:p>
    <w:p>
      <w:pPr>
        <w:spacing w:after="120" w:line="300"/>
      </w:pPr>
      <w:r>
        <w:t xml:space="preserve">Petits éléments visuels indiquant un état ou une catégorie.</w:t>
      </w:r>
    </w:p>
    <w:p>
      <w:pPr>
        <w:pStyle w:val="ListParagraph"/>
        <w:numPr>
          <w:ilvl w:val="0"/>
          <w:numId w:val="2"/>
        </w:numPr>
        <w:spacing w:after="80"/>
      </w:pPr>
      <w:r>
        <w:t xml:space="preserve">Hauteur : 20px</w:t>
      </w:r>
    </w:p>
    <w:p>
      <w:pPr>
        <w:pStyle w:val="ListParagraph"/>
        <w:numPr>
          <w:ilvl w:val="0"/>
          <w:numId w:val="2"/>
        </w:numPr>
        <w:spacing w:after="80"/>
      </w:pPr>
      <w:r>
        <w:t xml:space="preserve">Padding : 3px 10px</w:t>
      </w:r>
    </w:p>
    <w:p>
      <w:pPr>
        <w:pStyle w:val="ListParagraph"/>
        <w:numPr>
          <w:ilvl w:val="0"/>
          <w:numId w:val="2"/>
        </w:numPr>
        <w:spacing w:after="80"/>
      </w:pPr>
      <w:r>
        <w:t xml:space="preserve">Rayon : 999px (pilule complète)</w:t>
      </w:r>
    </w:p>
    <w:p>
      <w:pPr>
        <w:pStyle w:val="ListParagraph"/>
        <w:numPr>
          <w:ilvl w:val="0"/>
          <w:numId w:val="2"/>
        </w:numPr>
        <w:spacing w:after="80"/>
      </w:pPr>
      <w:r>
        <w:t xml:space="preserve">Taille de texte : 12px Medium</w:t>
      </w:r>
    </w:p>
    <w:p>
      <w:pPr>
        <w:pStyle w:val="ListParagraph"/>
        <w:numPr>
          <w:ilvl w:val="0"/>
          <w:numId w:val="2"/>
        </w:numPr>
        <w:spacing w:after="80"/>
      </w:pPr>
      <w:r>
        <w:t xml:space="preserve">Fond : selon la sémantique (voir couleurs fonctionnelles ou badges officiel/personnalisé)</w:t>
      </w:r>
    </w:p>
    <w:p>
      <w:pPr>
        <w:spacing w:after="120" w:line="300"/>
      </w:pPr>
      <w:r>
        <w:t xml:space="preserve">Ne jamais mettre d'icône dans un badge sauf si sa signification est cruciale — les badges doivent rester compacts et lisibles à froid.</w:t>
      </w:r>
    </w:p>
    <w:p>
      <w:pPr>
        <w:pStyle w:val="Heading2"/>
        <w:spacing w:after="160" w:before="280"/>
      </w:pPr>
      <w:r>
        <w:rPr>
          <w:b/>
          <w:bCs/>
          <w:color w:val="4F46E5"/>
          <w:sz w:val="26"/>
          <w:szCs w:val="26"/>
        </w:rPr>
        <w:t xml:space="preserve">8.5 Bandeaux d'alerte</w:t>
      </w:r>
    </w:p>
    <w:p>
      <w:pPr>
        <w:spacing w:after="120" w:line="300"/>
      </w:pPr>
      <w:r>
        <w:t xml:space="preserve">Trois variantes selon la gravité.</w:t>
      </w:r>
    </w:p>
    <w:p>
      <w:pPr>
        <w:pStyle w:val="Heading3"/>
        <w:spacing w:after="120" w:before="220"/>
      </w:pPr>
      <w:r>
        <w:rPr>
          <w:b/>
          <w:bCs/>
          <w:color w:val="4F46E5"/>
          <w:sz w:val="22"/>
          <w:szCs w:val="22"/>
        </w:rPr>
        <w:t xml:space="preserve">Bandeau informatif (bleu-indigo léger)</w:t>
      </w:r>
    </w:p>
    <w:p>
      <w:pPr>
        <w:pStyle w:val="ListParagraph"/>
        <w:numPr>
          <w:ilvl w:val="0"/>
          <w:numId w:val="2"/>
        </w:numPr>
        <w:spacing w:after="80"/>
      </w:pPr>
      <w:r>
        <w:t xml:space="preserve">Fond : Indigo léger</w:t>
      </w:r>
    </w:p>
    <w:p>
      <w:pPr>
        <w:pStyle w:val="ListParagraph"/>
        <w:numPr>
          <w:ilvl w:val="0"/>
          <w:numId w:val="2"/>
        </w:numPr>
        <w:spacing w:after="80"/>
      </w:pPr>
      <w:r>
        <w:t xml:space="preserve">Bordure : 0.5px Indigo #C7D2FE</w:t>
      </w:r>
    </w:p>
    <w:p>
      <w:pPr>
        <w:pStyle w:val="ListParagraph"/>
        <w:numPr>
          <w:ilvl w:val="0"/>
          <w:numId w:val="2"/>
        </w:numPr>
        <w:spacing w:after="80"/>
      </w:pPr>
      <w:r>
        <w:t xml:space="preserve">Icône : ti-info-circle en Indigo Daeko</w:t>
      </w:r>
    </w:p>
    <w:p>
      <w:pPr>
        <w:pStyle w:val="ListParagraph"/>
        <w:numPr>
          <w:ilvl w:val="0"/>
          <w:numId w:val="2"/>
        </w:numPr>
        <w:spacing w:after="80"/>
      </w:pPr>
      <w:r>
        <w:t xml:space="preserve">Texte : Indigo profond</w:t>
      </w:r>
    </w:p>
    <w:p>
      <w:pPr>
        <w:pStyle w:val="Heading3"/>
        <w:spacing w:after="120" w:before="220"/>
      </w:pPr>
      <w:r>
        <w:rPr>
          <w:b/>
          <w:bCs/>
          <w:color w:val="4F46E5"/>
          <w:sz w:val="22"/>
          <w:szCs w:val="22"/>
        </w:rPr>
        <w:t xml:space="preserve">Bandeau d'attention (orange)</w:t>
      </w:r>
    </w:p>
    <w:p>
      <w:pPr>
        <w:pStyle w:val="ListParagraph"/>
        <w:numPr>
          <w:ilvl w:val="0"/>
          <w:numId w:val="2"/>
        </w:numPr>
        <w:spacing w:after="80"/>
      </w:pPr>
      <w:r>
        <w:t xml:space="preserve">Fond : orange léger (#FEF3C7 clair, #78350F sombre)</w:t>
      </w:r>
    </w:p>
    <w:p>
      <w:pPr>
        <w:pStyle w:val="ListParagraph"/>
        <w:numPr>
          <w:ilvl w:val="0"/>
          <w:numId w:val="2"/>
        </w:numPr>
        <w:spacing w:after="80"/>
      </w:pPr>
      <w:r>
        <w:t xml:space="preserve">Bordure : 0.5px orange plus foncé</w:t>
      </w:r>
    </w:p>
    <w:p>
      <w:pPr>
        <w:pStyle w:val="ListParagraph"/>
        <w:numPr>
          <w:ilvl w:val="0"/>
          <w:numId w:val="2"/>
        </w:numPr>
        <w:spacing w:after="80"/>
      </w:pPr>
      <w:r>
        <w:t xml:space="preserve">Icône : ti-alert-triangle</w:t>
      </w:r>
    </w:p>
    <w:p>
      <w:pPr>
        <w:pStyle w:val="ListParagraph"/>
        <w:numPr>
          <w:ilvl w:val="0"/>
          <w:numId w:val="2"/>
        </w:numPr>
        <w:spacing w:after="80"/>
      </w:pPr>
      <w:r>
        <w:t xml:space="preserve">Texte : selon la palette orange</w:t>
      </w:r>
    </w:p>
    <w:p>
      <w:pPr>
        <w:pStyle w:val="Heading3"/>
        <w:spacing w:after="120" w:before="220"/>
      </w:pPr>
      <w:r>
        <w:rPr>
          <w:b/>
          <w:bCs/>
          <w:color w:val="4F46E5"/>
          <w:sz w:val="22"/>
          <w:szCs w:val="22"/>
        </w:rPr>
        <w:t xml:space="preserve">Bandeau de blocage (rouge)</w:t>
      </w:r>
    </w:p>
    <w:p>
      <w:pPr>
        <w:spacing w:after="120" w:line="300"/>
      </w:pPr>
      <w:r>
        <w:t xml:space="preserve">Utilisé exclusivement pour des erreurs bloquantes.</w:t>
      </w:r>
    </w:p>
    <w:p>
      <w:pPr>
        <w:pStyle w:val="ListParagraph"/>
        <w:numPr>
          <w:ilvl w:val="0"/>
          <w:numId w:val="2"/>
        </w:numPr>
        <w:spacing w:after="80"/>
      </w:pPr>
      <w:r>
        <w:t xml:space="preserve">Fond : rouge léger</w:t>
      </w:r>
    </w:p>
    <w:p>
      <w:pPr>
        <w:pStyle w:val="ListParagraph"/>
        <w:numPr>
          <w:ilvl w:val="0"/>
          <w:numId w:val="2"/>
        </w:numPr>
        <w:spacing w:after="80"/>
      </w:pPr>
      <w:r>
        <w:t xml:space="preserve">Bordure : 0.5px rouge</w:t>
      </w:r>
    </w:p>
    <w:p>
      <w:pPr>
        <w:pStyle w:val="ListParagraph"/>
        <w:numPr>
          <w:ilvl w:val="0"/>
          <w:numId w:val="2"/>
        </w:numPr>
        <w:spacing w:after="80"/>
      </w:pPr>
      <w:r>
        <w:t xml:space="preserve">Icône : ti-alert-circle</w:t>
      </w:r>
    </w:p>
    <w:p>
      <w:pPr>
        <w:pStyle w:val="ListParagraph"/>
        <w:numPr>
          <w:ilvl w:val="0"/>
          <w:numId w:val="2"/>
        </w:numPr>
        <w:spacing w:after="80"/>
      </w:pPr>
      <w:r>
        <w:t xml:space="preserve">Texte : selon la palette rouge</w:t>
      </w:r>
    </w:p>
    <w:p>
      <w:pPr>
        <w:spacing w:after="120" w:line="300"/>
      </w:pPr>
      <w:r>
        <w:t xml:space="preserve">Tous les bandeaux ont un padding de 12px 14px, un rayon de 8px, une icône à gauche (18px) alignée sur la première ligne de texte.</w:t>
      </w:r>
    </w:p>
    <w:p>
      <w:pPr>
        <w:pStyle w:val="Heading2"/>
        <w:spacing w:after="160" w:before="280"/>
      </w:pPr>
      <w:r>
        <w:rPr>
          <w:b/>
          <w:bCs/>
          <w:color w:val="4F46E5"/>
          <w:sz w:val="26"/>
          <w:szCs w:val="26"/>
        </w:rPr>
        <w:t xml:space="preserve">8.6 Tableaux</w:t>
      </w:r>
    </w:p>
    <w:p>
      <w:pPr>
        <w:spacing w:after="120" w:line="300"/>
      </w:pPr>
      <w:r>
        <w:t xml:space="preserve">Pour les vues denses (matrice des coefficients, liste de classes).</w:t>
      </w:r>
    </w:p>
    <w:p>
      <w:pPr>
        <w:pStyle w:val="ListParagraph"/>
        <w:numPr>
          <w:ilvl w:val="0"/>
          <w:numId w:val="2"/>
        </w:numPr>
        <w:spacing w:after="80"/>
      </w:pPr>
      <w:r>
        <w:t xml:space="preserve">Bordure externe : 0.5px Bordure standard, rayon 8px</w:t>
      </w:r>
    </w:p>
    <w:p>
      <w:pPr>
        <w:pStyle w:val="ListParagraph"/>
        <w:numPr>
          <w:ilvl w:val="0"/>
          <w:numId w:val="2"/>
        </w:numPr>
        <w:spacing w:after="80"/>
      </w:pPr>
      <w:r>
        <w:t xml:space="preserve">Séparateur de lignes : 0.5px Bordure standard</w:t>
      </w:r>
    </w:p>
    <w:p>
      <w:pPr>
        <w:pStyle w:val="ListParagraph"/>
        <w:numPr>
          <w:ilvl w:val="0"/>
          <w:numId w:val="2"/>
        </w:numPr>
        <w:spacing w:after="80"/>
      </w:pPr>
      <w:r>
        <w:t xml:space="preserve">Ligne d'en-tête : fond légèrement teinté (#F5F5F4 clair, #1F1D19 sombre), texte 13px Medium</w:t>
      </w:r>
    </w:p>
    <w:p>
      <w:pPr>
        <w:pStyle w:val="ListParagraph"/>
        <w:numPr>
          <w:ilvl w:val="0"/>
          <w:numId w:val="2"/>
        </w:numPr>
        <w:spacing w:after="80"/>
      </w:pPr>
      <w:r>
        <w:t xml:space="preserve">Cellules : padding 10px 12px, texte 14px Regular</w:t>
      </w:r>
    </w:p>
    <w:p>
      <w:pPr>
        <w:pStyle w:val="ListParagraph"/>
        <w:numPr>
          <w:ilvl w:val="0"/>
          <w:numId w:val="2"/>
        </w:numPr>
        <w:spacing w:after="80"/>
      </w:pPr>
      <w:r>
        <w:t xml:space="preserve">Ligne survolée : fond #FAFAF9 (clair) ou #1F1D19 (sombre)</w:t>
      </w:r>
    </w:p>
    <w:p>
      <w:pPr>
        <w:spacing w:after="120" w:line="300"/>
      </w:pPr>
      <w:r>
        <w:t xml:space="preserve">Les tableaux denses (matrice complète) peuvent réduire le padding vertical à 6px pour maximiser la densité, mais jamais en dessous.</w:t>
      </w:r>
    </w:p>
    <w:p>
      <w:pPr>
        <w:pStyle w:val="Heading2"/>
        <w:spacing w:after="160" w:before="280"/>
      </w:pPr>
      <w:r>
        <w:rPr>
          <w:b/>
          <w:bCs/>
          <w:color w:val="4F46E5"/>
          <w:sz w:val="26"/>
          <w:szCs w:val="26"/>
        </w:rPr>
        <w:t xml:space="preserve">8.7 Navigation latérale (sidebar)</w:t>
      </w:r>
    </w:p>
    <w:p>
      <w:pPr>
        <w:pStyle w:val="ListParagraph"/>
        <w:numPr>
          <w:ilvl w:val="0"/>
          <w:numId w:val="2"/>
        </w:numPr>
        <w:spacing w:after="80"/>
      </w:pPr>
      <w:r>
        <w:t xml:space="preserve">Largeur : 240px déployée, 64px repliée</w:t>
      </w:r>
    </w:p>
    <w:p>
      <w:pPr>
        <w:pStyle w:val="ListParagraph"/>
        <w:numPr>
          <w:ilvl w:val="0"/>
          <w:numId w:val="2"/>
        </w:numPr>
        <w:spacing w:after="80"/>
      </w:pPr>
      <w:r>
        <w:t xml:space="preserve">Fond : Fond page (pas Surface carte — c'est délibéré pour qu'elle se fonde)</w:t>
      </w:r>
    </w:p>
    <w:p>
      <w:pPr>
        <w:pStyle w:val="ListParagraph"/>
        <w:numPr>
          <w:ilvl w:val="0"/>
          <w:numId w:val="2"/>
        </w:numPr>
        <w:spacing w:after="80"/>
      </w:pPr>
      <w:r>
        <w:t xml:space="preserve">Séparateur avec le contenu : 0.5px Bordure standard vertical</w:t>
      </w:r>
    </w:p>
    <w:p>
      <w:pPr>
        <w:pStyle w:val="ListParagraph"/>
        <w:numPr>
          <w:ilvl w:val="0"/>
          <w:numId w:val="2"/>
        </w:numPr>
        <w:spacing w:after="80"/>
      </w:pPr>
      <w:r>
        <w:t xml:space="preserve">Item de menu : 36px de hauteur, padding horizontal 12px, rayon 6px</w:t>
      </w:r>
    </w:p>
    <w:p>
      <w:pPr>
        <w:pStyle w:val="ListParagraph"/>
        <w:numPr>
          <w:ilvl w:val="0"/>
          <w:numId w:val="2"/>
        </w:numPr>
        <w:spacing w:after="80"/>
      </w:pPr>
      <w:r>
        <w:t xml:space="preserve">Item actif : fond Indigo léger, texte Indigo profond</w:t>
      </w:r>
    </w:p>
    <w:p>
      <w:pPr>
        <w:pStyle w:val="ListParagraph"/>
        <w:numPr>
          <w:ilvl w:val="0"/>
          <w:numId w:val="2"/>
        </w:numPr>
        <w:spacing w:after="80"/>
      </w:pPr>
      <w:r>
        <w:t xml:space="preserve">Item au survol : fond très légèrement teinté</w:t>
      </w:r>
    </w:p>
    <w:p>
      <w:pPr>
        <w:pStyle w:val="Heading2"/>
        <w:spacing w:after="160" w:before="280"/>
      </w:pPr>
      <w:r>
        <w:rPr>
          <w:b/>
          <w:bCs/>
          <w:color w:val="4F46E5"/>
          <w:sz w:val="26"/>
          <w:szCs w:val="26"/>
        </w:rPr>
        <w:t xml:space="preserve">8.8 Dialogue modal</w:t>
      </w:r>
    </w:p>
    <w:p>
      <w:pPr>
        <w:pStyle w:val="ListParagraph"/>
        <w:numPr>
          <w:ilvl w:val="0"/>
          <w:numId w:val="2"/>
        </w:numPr>
        <w:spacing w:after="80"/>
      </w:pPr>
      <w:r>
        <w:t xml:space="preserve">Largeur : 480px pour les confirmations, 640px pour les formulaires</w:t>
      </w:r>
    </w:p>
    <w:p>
      <w:pPr>
        <w:pStyle w:val="ListParagraph"/>
        <w:numPr>
          <w:ilvl w:val="0"/>
          <w:numId w:val="2"/>
        </w:numPr>
        <w:spacing w:after="80"/>
      </w:pPr>
      <w:r>
        <w:t xml:space="preserve">Fond : Surface carte</w:t>
      </w:r>
    </w:p>
    <w:p>
      <w:pPr>
        <w:pStyle w:val="ListParagraph"/>
        <w:numPr>
          <w:ilvl w:val="0"/>
          <w:numId w:val="2"/>
        </w:numPr>
        <w:spacing w:after="80"/>
      </w:pPr>
      <w:r>
        <w:t xml:space="preserve">Rayon : 12px</w:t>
      </w:r>
    </w:p>
    <w:p>
      <w:pPr>
        <w:pStyle w:val="ListParagraph"/>
        <w:numPr>
          <w:ilvl w:val="0"/>
          <w:numId w:val="2"/>
        </w:numPr>
        <w:spacing w:after="80"/>
      </w:pPr>
      <w:r>
        <w:t xml:space="preserve">Padding : 24px</w:t>
      </w:r>
    </w:p>
    <w:p>
      <w:pPr>
        <w:pStyle w:val="ListParagraph"/>
        <w:numPr>
          <w:ilvl w:val="0"/>
          <w:numId w:val="2"/>
        </w:numPr>
        <w:spacing w:after="80"/>
      </w:pPr>
      <w:r>
        <w:t xml:space="preserve">Overlay derrière : noir à 45% d'opacité</w:t>
      </w:r>
    </w:p>
    <w:p>
      <w:pPr>
        <w:pStyle w:val="ListParagraph"/>
        <w:numPr>
          <w:ilvl w:val="0"/>
          <w:numId w:val="2"/>
        </w:numPr>
        <w:spacing w:after="80"/>
      </w:pPr>
      <w:r>
        <w:t xml:space="preserve">Titre : 20px Medium en haut</w:t>
      </w:r>
    </w:p>
    <w:p>
      <w:pPr>
        <w:pStyle w:val="ListParagraph"/>
        <w:numPr>
          <w:ilvl w:val="0"/>
          <w:numId w:val="2"/>
        </w:numPr>
        <w:spacing w:after="80"/>
      </w:pPr>
      <w:r>
        <w:t xml:space="preserve">Corps : 15px Regular</w:t>
      </w:r>
    </w:p>
    <w:p>
      <w:pPr>
        <w:pStyle w:val="ListParagraph"/>
        <w:numPr>
          <w:ilvl w:val="0"/>
          <w:numId w:val="2"/>
        </w:numPr>
        <w:spacing w:after="80"/>
      </w:pPr>
      <w:r>
        <w:t xml:space="preserve">Boutons d'action : en bas à droite, avec l'action primaire à droite</w:t>
      </w:r>
    </w:p>
    <w:p>
      <w:r>
        <w:br w:type="page"/>
      </w:r>
    </w:p>
    <w:p>
      <w:pPr>
        <w:pStyle w:val="Heading1"/>
        <w:spacing w:after="200" w:before="360"/>
      </w:pPr>
      <w:r>
        <w:rPr>
          <w:b/>
          <w:bCs/>
          <w:color w:val="1E1B4B"/>
          <w:sz w:val="32"/>
          <w:szCs w:val="32"/>
        </w:rPr>
        <w:t xml:space="preserve">9. États et interactions</w:t>
      </w:r>
    </w:p>
    <w:p>
      <w:pPr>
        <w:pStyle w:val="Heading2"/>
        <w:spacing w:after="160" w:before="280"/>
      </w:pPr>
      <w:r>
        <w:rPr>
          <w:b/>
          <w:bCs/>
          <w:color w:val="4F46E5"/>
          <w:sz w:val="26"/>
          <w:szCs w:val="26"/>
        </w:rPr>
        <w:t xml:space="preserve">9.1 Focus visible</w:t>
      </w:r>
    </w:p>
    <w:p>
      <w:pPr>
        <w:spacing w:after="120" w:line="300"/>
      </w:pPr>
      <w:r>
        <w:t xml:space="preserve">Tout élément interactif doit avoir un focus ring visible au clavier — c'est une exigence d'accessibilité, pas un choix esthétique.</w:t>
      </w:r>
    </w:p>
    <w:p>
      <w:pPr>
        <w:pStyle w:val="ListParagraph"/>
        <w:numPr>
          <w:ilvl w:val="0"/>
          <w:numId w:val="2"/>
        </w:numPr>
        <w:spacing w:after="80"/>
      </w:pPr>
      <w:r>
        <w:t xml:space="preserve">Focus ring standard : 2px Indigo Daeko, offset 4px du bord de l'élément</w:t>
      </w:r>
    </w:p>
    <w:p>
      <w:pPr>
        <w:pStyle w:val="ListParagraph"/>
        <w:numPr>
          <w:ilvl w:val="0"/>
          <w:numId w:val="2"/>
        </w:numPr>
        <w:spacing w:after="80"/>
      </w:pPr>
      <w:r>
        <w:t xml:space="preserve">Focus ring sur fond coloré : 2px blanc à 90% d'opacité + 2px Indigo Daeko</w:t>
      </w:r>
    </w:p>
    <w:p>
      <w:pPr>
        <w:pStyle w:val="Heading2"/>
        <w:spacing w:after="160" w:before="280"/>
      </w:pPr>
      <w:r>
        <w:rPr>
          <w:b/>
          <w:bCs/>
          <w:color w:val="4F46E5"/>
          <w:sz w:val="26"/>
          <w:szCs w:val="26"/>
        </w:rPr>
        <w:t xml:space="preserve">9.2 Transitions</w:t>
      </w:r>
    </w:p>
    <w:p>
      <w:pPr>
        <w:spacing w:after="120" w:line="300"/>
      </w:pPr>
      <w:r>
        <w:t xml:space="preserve">Toutes les transitions durent </w:t>
      </w:r>
      <w:r>
        <w:rPr>
          <w:b/>
          <w:bCs/>
        </w:rPr>
        <w:t xml:space="preserve">150ms</w:t>
      </w:r>
      <w:r>
        <w:t xml:space="preserve"> avec un timing ease-out. Aucune transition ne dure plus de 200ms — au-delà, l'interface commence à sembler lente.</w:t>
      </w:r>
    </w:p>
    <w:p>
      <w:pPr>
        <w:spacing w:after="120" w:line="300"/>
      </w:pPr>
      <w:r>
        <w:t xml:space="preserve">Trois propriétés seulement peuvent être animées : background, border-color, transform (pour le scale(0.98) au clic). Ne jamais animer width, height, top, ou des propriétés coûteuses en rendu.</w:t>
      </w:r>
    </w:p>
    <w:p>
      <w:pPr>
        <w:pStyle w:val="Heading2"/>
        <w:spacing w:after="160" w:before="280"/>
      </w:pPr>
      <w:r>
        <w:rPr>
          <w:b/>
          <w:bCs/>
          <w:color w:val="4F46E5"/>
          <w:sz w:val="26"/>
          <w:szCs w:val="26"/>
        </w:rPr>
        <w:t xml:space="preserve">9.3 États de chargement</w:t>
      </w:r>
    </w:p>
    <w:p>
      <w:pPr>
        <w:spacing w:after="120" w:line="300"/>
      </w:pPr>
      <w:r>
        <w:rPr>
          <w:b/>
          <w:bCs/>
        </w:rPr>
        <w:t xml:space="preserve">Chargement d'une carte ou d'un bloc </w:t>
      </w:r>
      <w:r>
        <w:t xml:space="preserve">: squelette gris (#F5F5F4 clair, #292524 sombre) aux formes des éléments à charger, avec une animation subtile de shimmer.</w:t>
      </w:r>
    </w:p>
    <w:p>
      <w:pPr>
        <w:spacing w:after="120" w:line="300"/>
      </w:pPr>
      <w:r>
        <w:rPr>
          <w:b/>
          <w:bCs/>
        </w:rPr>
        <w:t xml:space="preserve">Chargement d'un bouton </w:t>
      </w:r>
      <w:r>
        <w:t xml:space="preserve">: le texte est remplacé par une icône spinner Tabler ti-loader-2 en rotation, le bouton reste à sa taille et à sa couleur.</w:t>
      </w:r>
    </w:p>
    <w:p>
      <w:pPr>
        <w:spacing w:after="120" w:line="300"/>
      </w:pPr>
      <w:r>
        <w:rPr>
          <w:b/>
          <w:bCs/>
        </w:rPr>
        <w:t xml:space="preserve">Chargement global d'un écran </w:t>
      </w:r>
      <w:r>
        <w:t xml:space="preserve">: barre de progression fine en haut de l'écran (2px de hauteur, Indigo Daeko, animation indéterminée).</w:t>
      </w:r>
    </w:p>
    <w:p>
      <w:pPr>
        <w:pStyle w:val="Heading2"/>
        <w:spacing w:after="160" w:before="280"/>
      </w:pPr>
      <w:r>
        <w:rPr>
          <w:b/>
          <w:bCs/>
          <w:color w:val="4F46E5"/>
          <w:sz w:val="26"/>
          <w:szCs w:val="26"/>
        </w:rPr>
        <w:t xml:space="preserve">9.4 États vides</w:t>
      </w:r>
    </w:p>
    <w:p>
      <w:pPr>
        <w:spacing w:after="120" w:line="300"/>
      </w:pPr>
      <w:r>
        <w:t xml:space="preserve">Un écran ou une section vide n'affiche jamais « aucune donnée » ou « vide ». Il propose une invitation à l'action :</w:t>
      </w:r>
    </w:p>
    <w:p>
      <w:pPr>
        <w:pStyle w:val="ListParagraph"/>
        <w:numPr>
          <w:ilvl w:val="0"/>
          <w:numId w:val="2"/>
        </w:numPr>
        <w:spacing w:after="80"/>
      </w:pPr>
      <w:r>
        <w:t xml:space="preserve">Icône Tabler à 40px, en texte doux</w:t>
      </w:r>
    </w:p>
    <w:p>
      <w:pPr>
        <w:pStyle w:val="ListParagraph"/>
        <w:numPr>
          <w:ilvl w:val="0"/>
          <w:numId w:val="2"/>
        </w:numPr>
        <w:spacing w:after="80"/>
      </w:pPr>
      <w:r>
        <w:t xml:space="preserve">Titre 17px Medium invitant à commencer</w:t>
      </w:r>
    </w:p>
    <w:p>
      <w:pPr>
        <w:pStyle w:val="ListParagraph"/>
        <w:numPr>
          <w:ilvl w:val="0"/>
          <w:numId w:val="2"/>
        </w:numPr>
        <w:spacing w:after="80"/>
      </w:pPr>
      <w:r>
        <w:t xml:space="preserve">Description 15px Regular en une phrase courte</w:t>
      </w:r>
    </w:p>
    <w:p>
      <w:pPr>
        <w:pStyle w:val="ListParagraph"/>
        <w:numPr>
          <w:ilvl w:val="0"/>
          <w:numId w:val="2"/>
        </w:numPr>
        <w:spacing w:after="80"/>
      </w:pPr>
      <w:r>
        <w:t xml:space="preserve">Bouton primaire de l'action à effectuer</w:t>
      </w:r>
    </w:p>
    <w:p>
      <w:pPr>
        <w:pStyle w:val="Heading2"/>
        <w:spacing w:after="160" w:before="280"/>
      </w:pPr>
      <w:r>
        <w:rPr>
          <w:b/>
          <w:bCs/>
          <w:color w:val="4F46E5"/>
          <w:sz w:val="26"/>
          <w:szCs w:val="26"/>
        </w:rPr>
        <w:t xml:space="preserve">9.5 Messages de succès et d'erreur</w:t>
      </w:r>
    </w:p>
    <w:p>
      <w:pPr>
        <w:spacing w:after="120" w:line="300"/>
      </w:pPr>
      <w:r>
        <w:rPr>
          <w:b/>
          <w:bCs/>
        </w:rPr>
        <w:t xml:space="preserve">Toast de succès </w:t>
      </w:r>
      <w:r>
        <w:t xml:space="preserve">(temporaire, en bas de l'écran) : fond vert léger, texte vert foncé, icône ti-check, disparaît après 3 secondes, position coin bas droit à 24px du bord.</w:t>
      </w:r>
    </w:p>
    <w:p>
      <w:pPr>
        <w:spacing w:after="120" w:line="300"/>
      </w:pPr>
      <w:r>
        <w:rPr>
          <w:b/>
          <w:bCs/>
        </w:rPr>
        <w:t xml:space="preserve">Toast d'erreur </w:t>
      </w:r>
      <w:r>
        <w:t xml:space="preserve">: fond rouge léger, texte rouge foncé, icône ti-alert-circle, ne disparaît pas automatiquement, message actionnable (dire ce qui s'est passé et ce que l'utilisateur peut faire).</w:t>
      </w:r>
    </w:p>
    <w:p>
      <w:r>
        <w:br w:type="page"/>
      </w:r>
    </w:p>
    <w:p>
      <w:pPr>
        <w:pStyle w:val="Heading1"/>
        <w:spacing w:after="200" w:before="360"/>
      </w:pPr>
      <w:r>
        <w:rPr>
          <w:b/>
          <w:bCs/>
          <w:color w:val="1E1B4B"/>
          <w:sz w:val="32"/>
          <w:szCs w:val="32"/>
        </w:rPr>
        <w:t xml:space="preserve">10. Motifs de contenu</w:t>
      </w:r>
    </w:p>
    <w:p>
      <w:pPr>
        <w:pStyle w:val="Heading2"/>
        <w:spacing w:after="160" w:before="280"/>
      </w:pPr>
      <w:r>
        <w:rPr>
          <w:b/>
          <w:bCs/>
          <w:color w:val="4F46E5"/>
          <w:sz w:val="26"/>
          <w:szCs w:val="26"/>
        </w:rPr>
        <w:t xml:space="preserve">10.1 Ton de voix</w:t>
      </w:r>
    </w:p>
    <w:p>
      <w:pPr>
        <w:spacing w:after="120" w:line="300"/>
      </w:pPr>
      <w:r>
        <w:t xml:space="preserve">Daeko s'adresse à ses utilisateurs comme un collègue compétent et disponible — jamais comme un manuel, jamais comme un assistant obséquieux.</w:t>
      </w:r>
    </w:p>
    <w:p>
      <w:pPr>
        <w:pStyle w:val="ListParagraph"/>
        <w:numPr>
          <w:ilvl w:val="0"/>
          <w:numId w:val="2"/>
        </w:numPr>
        <w:spacing w:after="80"/>
      </w:pPr>
      <w:r>
        <w:t xml:space="preserve">Direct : « Créer une branche » plutôt que « Veuillez cliquer ici pour créer une branche »</w:t>
      </w:r>
    </w:p>
    <w:p>
      <w:pPr>
        <w:pStyle w:val="ListParagraph"/>
        <w:numPr>
          <w:ilvl w:val="0"/>
          <w:numId w:val="2"/>
        </w:numPr>
        <w:spacing w:after="80"/>
      </w:pPr>
      <w:r>
        <w:t xml:space="preserve">Bienveillant sans être infantilisant : « Cette action est irréversible » plutôt que « Attention ! Vous êtes sûr ? »</w:t>
      </w:r>
    </w:p>
    <w:p>
      <w:pPr>
        <w:pStyle w:val="ListParagraph"/>
        <w:numPr>
          <w:ilvl w:val="0"/>
          <w:numId w:val="2"/>
        </w:numPr>
        <w:spacing w:after="80"/>
      </w:pPr>
      <w:r>
        <w:t xml:space="preserve">Neutre culturellement : pas d'expressions purement françaises de France, pas d'anglicismes évitables</w:t>
      </w:r>
    </w:p>
    <w:p>
      <w:pPr>
        <w:pStyle w:val="Heading2"/>
        <w:spacing w:after="160" w:before="280"/>
      </w:pPr>
      <w:r>
        <w:rPr>
          <w:b/>
          <w:bCs/>
          <w:color w:val="4F46E5"/>
          <w:sz w:val="26"/>
          <w:szCs w:val="26"/>
        </w:rPr>
        <w:t xml:space="preserve">10.2 Formulations types</w:t>
      </w:r>
    </w:p>
    <w:p>
      <w:pPr>
        <w:pStyle w:val="Heading3"/>
        <w:spacing w:after="120" w:before="220"/>
      </w:pPr>
      <w:r>
        <w:rPr>
          <w:b/>
          <w:bCs/>
          <w:color w:val="4F46E5"/>
          <w:sz w:val="22"/>
          <w:szCs w:val="22"/>
        </w:rPr>
        <w:t xml:space="preserve">Boutons d'action</w:t>
      </w:r>
    </w:p>
    <w:p>
      <w:pPr>
        <w:spacing w:after="120" w:line="300"/>
      </w:pPr>
      <w:r>
        <w:t xml:space="preserve">Verbe à l'infinitif, jamais de « OK » ou « Valider » seul.</w:t>
      </w:r>
    </w:p>
    <w:p>
      <w:pPr>
        <w:spacing w:after="120" w:line="300"/>
      </w:pPr>
      <w:r>
        <w:t xml:space="preserve">✓ « Créer la branche », « Enregistrer les modifications »</w:t>
      </w:r>
    </w:p>
    <w:p>
      <w:pPr>
        <w:spacing w:after="120" w:line="300"/>
      </w:pPr>
      <w:r>
        <w:t xml:space="preserve">✗ « OK », « Valider », « Soumettre »</w:t>
      </w:r>
    </w:p>
    <w:p>
      <w:pPr>
        <w:pStyle w:val="Heading3"/>
        <w:spacing w:after="120" w:before="220"/>
      </w:pPr>
      <w:r>
        <w:rPr>
          <w:b/>
          <w:bCs/>
          <w:color w:val="4F46E5"/>
          <w:sz w:val="22"/>
          <w:szCs w:val="22"/>
        </w:rPr>
        <w:t xml:space="preserve">Messages d'erreur</w:t>
      </w:r>
    </w:p>
    <w:p>
      <w:pPr>
        <w:spacing w:after="120" w:line="300"/>
      </w:pPr>
      <w:r>
        <w:t xml:space="preserve">Décrire ce qui s'est passé et ce que l'utilisateur peut faire.</w:t>
      </w:r>
    </w:p>
    <w:p>
      <w:pPr>
        <w:spacing w:after="120" w:line="300"/>
      </w:pPr>
      <w:r>
        <w:t xml:space="preserve">✓ « Ce nom est déjà utilisé. Essayez un autre libellé. »</w:t>
      </w:r>
    </w:p>
    <w:p>
      <w:pPr>
        <w:spacing w:after="120" w:line="300"/>
      </w:pPr>
      <w:r>
        <w:t xml:space="preserve">✗ « Erreur : nom en doublon. »</w:t>
      </w:r>
    </w:p>
    <w:p>
      <w:pPr>
        <w:pStyle w:val="Heading3"/>
        <w:spacing w:after="120" w:before="220"/>
      </w:pPr>
      <w:r>
        <w:rPr>
          <w:b/>
          <w:bCs/>
          <w:color w:val="4F46E5"/>
          <w:sz w:val="22"/>
          <w:szCs w:val="22"/>
        </w:rPr>
        <w:t xml:space="preserve">Confirmations irréversibles</w:t>
      </w:r>
    </w:p>
    <w:p>
      <w:pPr>
        <w:spacing w:after="120" w:line="300"/>
      </w:pPr>
      <w:r>
        <w:t xml:space="preserve">Énoncer clairement la conséquence.</w:t>
      </w:r>
    </w:p>
    <w:p>
      <w:pPr>
        <w:spacing w:after="120" w:line="300"/>
      </w:pPr>
      <w:r>
        <w:t xml:space="preserve">✓ « Une fois l'année clôturée, plus aucune modification ne sera possible. Tapez le libellé de l'année pour confirmer. »</w:t>
      </w:r>
    </w:p>
    <w:p>
      <w:pPr>
        <w:spacing w:after="120" w:line="300"/>
      </w:pPr>
      <w:r>
        <w:t xml:space="preserve">✗ « Êtes-vous sûr de vouloir continuer ? »</w:t>
      </w:r>
    </w:p>
    <w:p>
      <w:pPr>
        <w:pStyle w:val="Heading2"/>
        <w:spacing w:after="160" w:before="280"/>
      </w:pPr>
      <w:r>
        <w:rPr>
          <w:b/>
          <w:bCs/>
          <w:color w:val="4F46E5"/>
          <w:sz w:val="26"/>
          <w:szCs w:val="26"/>
        </w:rPr>
        <w:t xml:space="preserve">10.3 Nombres et dates</w:t>
      </w:r>
    </w:p>
    <w:p>
      <w:pPr>
        <w:spacing w:after="120" w:line="300"/>
      </w:pPr>
      <w:r>
        <w:rPr>
          <w:b/>
          <w:bCs/>
        </w:rPr>
        <w:t xml:space="preserve">Nombres : </w:t>
      </w:r>
      <w:r>
        <w:t xml:space="preserve">les milliers sont séparés par une espace insécable (1 234 et non 1,234 ou 1234). Les décimales utilisent la virgule française (12,50).</w:t>
      </w:r>
    </w:p>
    <w:p>
      <w:pPr>
        <w:spacing w:after="120" w:line="300"/>
      </w:pPr>
      <w:r>
        <w:rPr>
          <w:b/>
          <w:bCs/>
        </w:rPr>
        <w:t xml:space="preserve">Dates : </w:t>
      </w:r>
      <w:r>
        <w:t xml:space="preserve">format standard JJ/MM/AAAA en interface courte, format long en toutes lettres pour les documents officiels (21 juillet 2026).</w:t>
      </w:r>
    </w:p>
    <w:p>
      <w:pPr>
        <w:spacing w:after="120" w:line="300"/>
      </w:pPr>
      <w:r>
        <w:rPr>
          <w:b/>
          <w:bCs/>
        </w:rPr>
        <w:t xml:space="preserve">Années académiques : </w:t>
      </w:r>
      <w:r>
        <w:t xml:space="preserve">toujours au format AAAA-AAAA (2025-2026), jamais 25-26 ou 2025/26.</w:t>
      </w:r>
    </w:p>
    <w:p>
      <w:pPr>
        <w:pStyle w:val="Heading2"/>
        <w:spacing w:after="160" w:before="280"/>
      </w:pPr>
      <w:r>
        <w:rPr>
          <w:b/>
          <w:bCs/>
          <w:color w:val="4F46E5"/>
          <w:sz w:val="26"/>
          <w:szCs w:val="26"/>
        </w:rPr>
        <w:t xml:space="preserve">10.4 Bilinguisme</w:t>
      </w:r>
    </w:p>
    <w:p>
      <w:pPr>
        <w:spacing w:after="120" w:line="300"/>
      </w:pPr>
      <w:r>
        <w:t xml:space="preserve">Toutes les chaînes de texte sont écrites en français et en anglais, choisies dynamiquement selon la préférence de l'utilisateur. Aucun texte n'est codé en dur dans l'interface — tout passe par le système de localisation.</w:t>
      </w:r>
    </w:p>
    <w:p>
      <w:pPr>
        <w:spacing w:after="120" w:line="300"/>
      </w:pPr>
      <w:r>
        <w:t xml:space="preserve">Les libellés du catalogue (matières, séries, niveaux) s'affichent dans la langue du sous-système concerné : une matière du sous-système anglophone reste en anglais même si l'utilisateur a choisi le français comme langue d'interface.</w:t>
      </w:r>
    </w:p>
    <w:p>
      <w:r>
        <w:br w:type="page"/>
      </w:r>
    </w:p>
    <w:p>
      <w:pPr>
        <w:pStyle w:val="Heading1"/>
        <w:spacing w:after="200" w:before="360"/>
      </w:pPr>
      <w:r>
        <w:rPr>
          <w:b/>
          <w:bCs/>
          <w:color w:val="1E1B4B"/>
          <w:sz w:val="32"/>
          <w:szCs w:val="32"/>
        </w:rPr>
        <w:t xml:space="preserve">11. Mode sombre</w:t>
      </w:r>
    </w:p>
    <w:p>
      <w:pPr>
        <w:pStyle w:val="Heading2"/>
        <w:spacing w:after="160" w:before="280"/>
      </w:pPr>
      <w:r>
        <w:rPr>
          <w:b/>
          <w:bCs/>
          <w:color w:val="4F46E5"/>
          <w:sz w:val="26"/>
          <w:szCs w:val="26"/>
        </w:rPr>
        <w:t xml:space="preserve">11.1 Principe général</w:t>
      </w:r>
    </w:p>
    <w:p>
      <w:pPr>
        <w:spacing w:after="120" w:line="300"/>
      </w:pPr>
      <w:r>
        <w:t xml:space="preserve">Le mode sombre n'est pas une simple inversion des couleurs. Chaque décision est repensée :</w:t>
      </w:r>
    </w:p>
    <w:p>
      <w:pPr>
        <w:pStyle w:val="ListParagraph"/>
        <w:numPr>
          <w:ilvl w:val="0"/>
          <w:numId w:val="2"/>
        </w:numPr>
        <w:spacing w:after="80"/>
      </w:pPr>
      <w:r>
        <w:t xml:space="preserve">Le fond n'est jamais noir pur, mais un gris chaud très sombre (#1C1917)</w:t>
      </w:r>
    </w:p>
    <w:p>
      <w:pPr>
        <w:pStyle w:val="ListParagraph"/>
        <w:numPr>
          <w:ilvl w:val="0"/>
          <w:numId w:val="2"/>
        </w:numPr>
        <w:spacing w:after="80"/>
      </w:pPr>
      <w:r>
        <w:t xml:space="preserve">Les couleurs saturées sont désaturées et éclaircies pour ne pas vibrer sur fond sombre</w:t>
      </w:r>
    </w:p>
    <w:p>
      <w:pPr>
        <w:pStyle w:val="ListParagraph"/>
        <w:numPr>
          <w:ilvl w:val="0"/>
          <w:numId w:val="2"/>
        </w:numPr>
        <w:spacing w:after="80"/>
      </w:pPr>
      <w:r>
        <w:t xml:space="preserve">Les cartes s'enfoncent visuellement au lieu de remonter — la hiérarchie de profondeur est inversée</w:t>
      </w:r>
    </w:p>
    <w:p>
      <w:pPr>
        <w:pStyle w:val="Heading2"/>
        <w:spacing w:after="160" w:before="280"/>
      </w:pPr>
      <w:r>
        <w:rPr>
          <w:b/>
          <w:bCs/>
          <w:color w:val="4F46E5"/>
          <w:sz w:val="26"/>
          <w:szCs w:val="26"/>
        </w:rPr>
        <w:t xml:space="preserve">11.2 Déclenchement</w:t>
      </w:r>
    </w:p>
    <w:p>
      <w:pPr>
        <w:spacing w:after="120" w:line="300"/>
      </w:pPr>
      <w:r>
        <w:t xml:space="preserve">Le mode sombre suit trois règles de priorité, dans cet ordre :</w:t>
      </w:r>
    </w:p>
    <w:p>
      <w:pPr>
        <w:pStyle w:val="ListParagraph"/>
        <w:numPr>
          <w:ilvl w:val="0"/>
          <w:numId w:val="2"/>
        </w:numPr>
        <w:spacing w:after="80"/>
      </w:pPr>
      <w:r>
        <w:t xml:space="preserve">Préférence explicite de l'utilisateur si elle existe (sauvegardée)</w:t>
      </w:r>
    </w:p>
    <w:p>
      <w:pPr>
        <w:pStyle w:val="ListParagraph"/>
        <w:numPr>
          <w:ilvl w:val="0"/>
          <w:numId w:val="2"/>
        </w:numPr>
        <w:spacing w:after="80"/>
      </w:pPr>
      <w:r>
        <w:t xml:space="preserve">À défaut, préférence système du navigateur/appareil (prefers-color-scheme: dark)</w:t>
      </w:r>
    </w:p>
    <w:p>
      <w:pPr>
        <w:pStyle w:val="ListParagraph"/>
        <w:numPr>
          <w:ilvl w:val="0"/>
          <w:numId w:val="2"/>
        </w:numPr>
        <w:spacing w:after="80"/>
      </w:pPr>
      <w:r>
        <w:t xml:space="preserve">À défaut, mode clair par défaut</w:t>
      </w:r>
    </w:p>
    <w:p>
      <w:pPr>
        <w:spacing w:after="120" w:line="300"/>
      </w:pPr>
      <w:r>
        <w:t xml:space="preserve">Un basculement manuel est toujours disponible dans les préférences utilisateur, avec un raccourci clavier Ctrl/Cmd + Shift + L.</w:t>
      </w:r>
    </w:p>
    <w:p>
      <w:pPr>
        <w:pStyle w:val="Heading2"/>
        <w:spacing w:after="160" w:before="280"/>
      </w:pPr>
      <w:r>
        <w:rPr>
          <w:b/>
          <w:bCs/>
          <w:color w:val="4F46E5"/>
          <w:sz w:val="26"/>
          <w:szCs w:val="26"/>
        </w:rPr>
        <w:t xml:space="preserve">11.3 Éléments à ajuster</w:t>
      </w:r>
    </w:p>
    <w:p>
      <w:pPr>
        <w:spacing w:after="120" w:line="300"/>
      </w:pPr>
      <w:r>
        <w:t xml:space="preserve">Les éléments suivants ont un comportement différent en mode sombre :</w:t>
      </w:r>
    </w:p>
    <w:p>
      <w:pPr>
        <w:pStyle w:val="ListParagraph"/>
        <w:numPr>
          <w:ilvl w:val="0"/>
          <w:numId w:val="2"/>
        </w:numPr>
        <w:spacing w:after="80"/>
      </w:pPr>
      <w:r>
        <w:t xml:space="preserve">Le monogramme du logo : la lettre D intérieure passe du blanc au gris sombre du fond (#1C1917), pour éviter un halo lumineux gênant</w:t>
      </w:r>
    </w:p>
    <w:p>
      <w:pPr>
        <w:pStyle w:val="ListParagraph"/>
        <w:numPr>
          <w:ilvl w:val="0"/>
          <w:numId w:val="2"/>
        </w:numPr>
        <w:spacing w:after="80"/>
      </w:pPr>
      <w:r>
        <w:t xml:space="preserve">Les boutons primaires : le texte devient Indigo profond (#1E1B4B) sur fond Indigo éclairci — un texte blanc laverait le bouton</w:t>
      </w:r>
    </w:p>
    <w:p>
      <w:pPr>
        <w:pStyle w:val="ListParagraph"/>
        <w:numPr>
          <w:ilvl w:val="0"/>
          <w:numId w:val="2"/>
        </w:numPr>
        <w:spacing w:after="80"/>
      </w:pPr>
      <w:r>
        <w:t xml:space="preserve">Les cartes : elles s'enfoncent avec une teinte légèrement plus sombre que la surface (#1F1D19 au lieu de #292524)</w:t>
      </w:r>
    </w:p>
    <w:p>
      <w:pPr>
        <w:pStyle w:val="ListParagraph"/>
        <w:numPr>
          <w:ilvl w:val="0"/>
          <w:numId w:val="2"/>
        </w:numPr>
        <w:spacing w:after="80"/>
      </w:pPr>
      <w:r>
        <w:t xml:space="preserve">Les focus rings : deviennent Indigo éclairci pour rester visibles</w:t>
      </w:r>
    </w:p>
    <w:p>
      <w:pPr>
        <w:pStyle w:val="Heading2"/>
        <w:spacing w:after="160" w:before="280"/>
      </w:pPr>
      <w:r>
        <w:rPr>
          <w:b/>
          <w:bCs/>
          <w:color w:val="4F46E5"/>
          <w:sz w:val="26"/>
          <w:szCs w:val="26"/>
        </w:rPr>
        <w:t xml:space="preserve">11.4 Éléments qui ne changent pas</w:t>
      </w:r>
    </w:p>
    <w:p>
      <w:pPr>
        <w:pStyle w:val="ListParagraph"/>
        <w:numPr>
          <w:ilvl w:val="0"/>
          <w:numId w:val="2"/>
        </w:numPr>
        <w:spacing w:after="80"/>
      </w:pPr>
      <w:r>
        <w:t xml:space="preserve">La typographie (police, tailles, graisses) reste identique</w:t>
      </w:r>
    </w:p>
    <w:p>
      <w:pPr>
        <w:pStyle w:val="ListParagraph"/>
        <w:numPr>
          <w:ilvl w:val="0"/>
          <w:numId w:val="2"/>
        </w:numPr>
        <w:spacing w:after="80"/>
      </w:pPr>
      <w:r>
        <w:t xml:space="preserve">Les rayons de coins et les épaisseurs de bordure restent identiques</w:t>
      </w:r>
    </w:p>
    <w:p>
      <w:pPr>
        <w:pStyle w:val="ListParagraph"/>
        <w:numPr>
          <w:ilvl w:val="0"/>
          <w:numId w:val="2"/>
        </w:numPr>
        <w:spacing w:after="80"/>
      </w:pPr>
      <w:r>
        <w:t xml:space="preserve">Les espacements et les grilles restent identiques</w:t>
      </w:r>
    </w:p>
    <w:p>
      <w:pPr>
        <w:pStyle w:val="ListParagraph"/>
        <w:numPr>
          <w:ilvl w:val="0"/>
          <w:numId w:val="2"/>
        </w:numPr>
        <w:spacing w:after="80"/>
      </w:pPr>
      <w:r>
        <w:t xml:space="preserve">Les icônes prennent la nouvelle couleur du texte adjacent, mais leur forme et taille ne changent pas</w:t>
      </w:r>
    </w:p>
    <w:p>
      <w:r>
        <w:br w:type="page"/>
      </w:r>
    </w:p>
    <w:p>
      <w:pPr>
        <w:pStyle w:val="Heading1"/>
        <w:spacing w:after="200" w:before="360"/>
      </w:pPr>
      <w:r>
        <w:rPr>
          <w:b/>
          <w:bCs/>
          <w:color w:val="1E1B4B"/>
          <w:sz w:val="32"/>
          <w:szCs w:val="32"/>
        </w:rPr>
        <w:t xml:space="preserve">12. Application aux écrans clés</w:t>
      </w:r>
    </w:p>
    <w:p>
      <w:pPr>
        <w:pStyle w:val="Heading2"/>
        <w:spacing w:after="160" w:before="280"/>
      </w:pPr>
      <w:r>
        <w:rPr>
          <w:b/>
          <w:bCs/>
          <w:color w:val="4F46E5"/>
          <w:sz w:val="26"/>
          <w:szCs w:val="26"/>
        </w:rPr>
        <w:t xml:space="preserve">12.1 Tableau de bord</w:t>
      </w:r>
    </w:p>
    <w:p>
      <w:pPr>
        <w:pStyle w:val="Heading3"/>
        <w:spacing w:after="120" w:before="220"/>
      </w:pPr>
      <w:r>
        <w:rPr>
          <w:b/>
          <w:bCs/>
          <w:color w:val="4F46E5"/>
          <w:sz w:val="22"/>
          <w:szCs w:val="22"/>
        </w:rPr>
        <w:t xml:space="preserve">État année stable (la majorité de l'année)</w:t>
      </w:r>
    </w:p>
    <w:p>
      <w:pPr>
        <w:pStyle w:val="ListParagraph"/>
        <w:numPr>
          <w:ilvl w:val="0"/>
          <w:numId w:val="2"/>
        </w:numPr>
        <w:spacing w:after="80"/>
      </w:pPr>
      <w:r>
        <w:t xml:space="preserve">Fond de page Fond page</w:t>
      </w:r>
    </w:p>
    <w:p>
      <w:pPr>
        <w:pStyle w:val="ListParagraph"/>
        <w:numPr>
          <w:ilvl w:val="0"/>
          <w:numId w:val="2"/>
        </w:numPr>
        <w:spacing w:after="80"/>
      </w:pPr>
      <w:r>
        <w:t xml:space="preserve">Titre 24px Medium en haut à gauche : Ma structure</w:t>
      </w:r>
    </w:p>
    <w:p>
      <w:pPr>
        <w:pStyle w:val="ListParagraph"/>
        <w:numPr>
          <w:ilvl w:val="0"/>
          <w:numId w:val="2"/>
        </w:numPr>
        <w:spacing w:after="80"/>
      </w:pPr>
      <w:r>
        <w:t xml:space="preserve">Sous-titre 13px texte secondaire : Année 2025-2026 · en cours</w:t>
      </w:r>
    </w:p>
    <w:p>
      <w:pPr>
        <w:pStyle w:val="ListParagraph"/>
        <w:numPr>
          <w:ilvl w:val="0"/>
          <w:numId w:val="2"/>
        </w:numPr>
        <w:spacing w:after="80"/>
      </w:pPr>
      <w:r>
        <w:t xml:space="preserve">Grille de cartes de branches (une par branche), gap 12px</w:t>
      </w:r>
    </w:p>
    <w:p>
      <w:pPr>
        <w:pStyle w:val="ListParagraph"/>
        <w:numPr>
          <w:ilvl w:val="0"/>
          <w:numId w:val="2"/>
        </w:numPr>
        <w:spacing w:after="80"/>
      </w:pPr>
      <w:r>
        <w:t xml:space="preserve">Chaque carte : titre de branche 15px Medium, badge En cours en vert, ligne de résumé 13px texte secondaire</w:t>
      </w:r>
    </w:p>
    <w:p>
      <w:pPr>
        <w:pStyle w:val="ListParagraph"/>
        <w:numPr>
          <w:ilvl w:val="0"/>
          <w:numId w:val="2"/>
        </w:numPr>
        <w:spacing w:after="80"/>
      </w:pPr>
      <w:r>
        <w:t xml:space="preserve">Aucun bouton primaire visible — l'écran est calme</w:t>
      </w:r>
    </w:p>
    <w:p>
      <w:pPr>
        <w:pStyle w:val="Heading3"/>
        <w:spacing w:after="120" w:before="220"/>
      </w:pPr>
      <w:r>
        <w:rPr>
          <w:b/>
          <w:bCs/>
          <w:color w:val="4F46E5"/>
          <w:sz w:val="22"/>
          <w:szCs w:val="22"/>
        </w:rPr>
        <w:t xml:space="preserve">État fenêtre de rentrée</w:t>
      </w:r>
    </w:p>
    <w:p>
      <w:pPr>
        <w:pStyle w:val="ListParagraph"/>
        <w:numPr>
          <w:ilvl w:val="0"/>
          <w:numId w:val="2"/>
        </w:numPr>
        <w:spacing w:after="80"/>
      </w:pPr>
      <w:r>
        <w:t xml:space="preserve">Même structure, plus un bandeau accent tout en haut</w:t>
      </w:r>
    </w:p>
    <w:p>
      <w:pPr>
        <w:pStyle w:val="ListParagraph"/>
        <w:numPr>
          <w:ilvl w:val="0"/>
          <w:numId w:val="2"/>
        </w:numPr>
        <w:spacing w:after="80"/>
      </w:pPr>
      <w:r>
        <w:t xml:space="preserve">Bandeau : fond Indigo léger, icône ti-refresh Indigo Daeko, texte Préparer la rentrée à partir de 2025-2026</w:t>
      </w:r>
    </w:p>
    <w:p>
      <w:pPr>
        <w:pStyle w:val="ListParagraph"/>
        <w:numPr>
          <w:ilvl w:val="0"/>
          <w:numId w:val="2"/>
        </w:numPr>
        <w:spacing w:after="80"/>
      </w:pPr>
      <w:r>
        <w:t xml:space="preserve">À droite du bandeau : lien Commencer en Indigo Daeko avec flèche ti-arrow-right</w:t>
      </w:r>
    </w:p>
    <w:p>
      <w:pPr>
        <w:pStyle w:val="ListParagraph"/>
        <w:numPr>
          <w:ilvl w:val="0"/>
          <w:numId w:val="2"/>
        </w:numPr>
        <w:spacing w:after="80"/>
      </w:pPr>
      <w:r>
        <w:t xml:space="preserve">Les cartes montrent maintenant une barre de progression fine en bas</w:t>
      </w:r>
    </w:p>
    <w:p>
      <w:pPr>
        <w:pStyle w:val="Heading2"/>
        <w:spacing w:after="160" w:before="280"/>
      </w:pPr>
      <w:r>
        <w:rPr>
          <w:b/>
          <w:bCs/>
          <w:color w:val="4F46E5"/>
          <w:sz w:val="26"/>
          <w:szCs w:val="26"/>
        </w:rPr>
        <w:t xml:space="preserve">12.2 Assistant de configuration</w:t>
      </w:r>
    </w:p>
    <w:p>
      <w:pPr>
        <w:pStyle w:val="ListParagraph"/>
        <w:numPr>
          <w:ilvl w:val="0"/>
          <w:numId w:val="2"/>
        </w:numPr>
        <w:spacing w:after="80"/>
      </w:pPr>
      <w:r>
        <w:t xml:space="preserve">Étapes horizontales en haut, avec segments de progression (4px de hauteur)</w:t>
      </w:r>
    </w:p>
    <w:p>
      <w:pPr>
        <w:pStyle w:val="ListParagraph"/>
        <w:numPr>
          <w:ilvl w:val="0"/>
          <w:numId w:val="2"/>
        </w:numPr>
        <w:spacing w:after="80"/>
      </w:pPr>
      <w:r>
        <w:t xml:space="preserve">Segments verts pour les étapes validées, Indigo Daeko pour l'étape en cours, gris pour les étapes à venir</w:t>
      </w:r>
    </w:p>
    <w:p>
      <w:pPr>
        <w:pStyle w:val="ListParagraph"/>
        <w:numPr>
          <w:ilvl w:val="0"/>
          <w:numId w:val="2"/>
        </w:numPr>
        <w:spacing w:after="80"/>
      </w:pPr>
      <w:r>
        <w:t xml:space="preserve">Titre 20px Medium indiquant l'étape courante</w:t>
      </w:r>
    </w:p>
    <w:p>
      <w:pPr>
        <w:pStyle w:val="ListParagraph"/>
        <w:numPr>
          <w:ilvl w:val="0"/>
          <w:numId w:val="2"/>
        </w:numPr>
        <w:spacing w:after="80"/>
      </w:pPr>
      <w:r>
        <w:t xml:space="preserve">Sous-titre 13px texte secondaire indiquant Étape 4 sur 5 · Matières · Terminale D</w:t>
      </w:r>
    </w:p>
    <w:p>
      <w:pPr>
        <w:pStyle w:val="ListParagraph"/>
        <w:numPr>
          <w:ilvl w:val="0"/>
          <w:numId w:val="2"/>
        </w:numPr>
        <w:spacing w:after="80"/>
      </w:pPr>
      <w:r>
        <w:t xml:space="preserve">Contenu principal dans une carte pleine largeur</w:t>
      </w:r>
    </w:p>
    <w:p>
      <w:pPr>
        <w:pStyle w:val="ListParagraph"/>
        <w:numPr>
          <w:ilvl w:val="0"/>
          <w:numId w:val="2"/>
        </w:numPr>
        <w:spacing w:after="80"/>
      </w:pPr>
      <w:r>
        <w:t xml:space="preserve">Boutons en bas : Retour en ghost à gauche, Continuer en primaire à droite</w:t>
      </w:r>
    </w:p>
    <w:p>
      <w:pPr>
        <w:pStyle w:val="Heading2"/>
        <w:spacing w:after="160" w:before="280"/>
      </w:pPr>
      <w:r>
        <w:rPr>
          <w:b/>
          <w:bCs/>
          <w:color w:val="4F46E5"/>
          <w:sz w:val="26"/>
          <w:szCs w:val="26"/>
        </w:rPr>
        <w:t xml:space="preserve">12.3 Matrice des coefficients</w:t>
      </w:r>
    </w:p>
    <w:p>
      <w:pPr>
        <w:pStyle w:val="ListParagraph"/>
        <w:numPr>
          <w:ilvl w:val="0"/>
          <w:numId w:val="2"/>
        </w:numPr>
        <w:spacing w:after="80"/>
      </w:pPr>
      <w:r>
        <w:t xml:space="preserve">Tableau dense avec bordure 1px (exception à la règle 0.5px pour lisibilité)</w:t>
      </w:r>
    </w:p>
    <w:p>
      <w:pPr>
        <w:pStyle w:val="ListParagraph"/>
        <w:numPr>
          <w:ilvl w:val="0"/>
          <w:numId w:val="2"/>
        </w:numPr>
        <w:spacing w:after="80"/>
      </w:pPr>
      <w:r>
        <w:t xml:space="preserve">Ligne d'en-tête sticky au scroll</w:t>
      </w:r>
    </w:p>
    <w:p>
      <w:pPr>
        <w:pStyle w:val="ListParagraph"/>
        <w:numPr>
          <w:ilvl w:val="0"/>
          <w:numId w:val="2"/>
        </w:numPr>
        <w:spacing w:after="80"/>
      </w:pPr>
      <w:r>
        <w:t xml:space="preserve">Cellules avec coefficient + petit badge officiel/personnalisé</w:t>
      </w:r>
    </w:p>
    <w:p>
      <w:pPr>
        <w:pStyle w:val="ListParagraph"/>
        <w:numPr>
          <w:ilvl w:val="0"/>
          <w:numId w:val="2"/>
        </w:numPr>
        <w:spacing w:after="80"/>
      </w:pPr>
      <w:r>
        <w:t xml:space="preserve">Bouton de bascule d'affichage en haut à droite : Par coefficient / Par groupe</w:t>
      </w:r>
    </w:p>
    <w:p>
      <w:pPr>
        <w:pStyle w:val="ListParagraph"/>
        <w:numPr>
          <w:ilvl w:val="0"/>
          <w:numId w:val="2"/>
        </w:numPr>
        <w:spacing w:after="80"/>
      </w:pPr>
      <w:r>
        <w:t xml:space="preserve">Bouton Imprimer secondaire</w:t>
      </w:r>
    </w:p>
    <w:p>
      <w:pPr>
        <w:pStyle w:val="Heading2"/>
        <w:spacing w:after="160" w:before="280"/>
      </w:pPr>
      <w:r>
        <w:rPr>
          <w:b/>
          <w:bCs/>
          <w:color w:val="4F46E5"/>
          <w:sz w:val="26"/>
          <w:szCs w:val="26"/>
        </w:rPr>
        <w:t xml:space="preserve">12.4 Écran de clôture d'année</w:t>
      </w:r>
    </w:p>
    <w:p>
      <w:pPr>
        <w:pStyle w:val="ListParagraph"/>
        <w:numPr>
          <w:ilvl w:val="0"/>
          <w:numId w:val="2"/>
        </w:numPr>
        <w:spacing w:after="80"/>
      </w:pPr>
      <w:r>
        <w:t xml:space="preserve">Fond de page sobre, aucune décoration</w:t>
      </w:r>
    </w:p>
    <w:p>
      <w:pPr>
        <w:pStyle w:val="ListParagraph"/>
        <w:numPr>
          <w:ilvl w:val="0"/>
          <w:numId w:val="2"/>
        </w:numPr>
        <w:spacing w:after="80"/>
      </w:pPr>
      <w:r>
        <w:t xml:space="preserve">Titre 24px Medium centré : Clôturer l'année 2025-2026</w:t>
      </w:r>
    </w:p>
    <w:p>
      <w:pPr>
        <w:pStyle w:val="ListParagraph"/>
        <w:numPr>
          <w:ilvl w:val="0"/>
          <w:numId w:val="2"/>
        </w:numPr>
        <w:spacing w:after="80"/>
      </w:pPr>
      <w:r>
        <w:t xml:space="preserve">Description 15px sur plusieurs lignes expliquant les conséquences</w:t>
      </w:r>
    </w:p>
    <w:p>
      <w:pPr>
        <w:pStyle w:val="ListParagraph"/>
        <w:numPr>
          <w:ilvl w:val="0"/>
          <w:numId w:val="2"/>
        </w:numPr>
        <w:spacing w:after="80"/>
      </w:pPr>
      <w:r>
        <w:t xml:space="preserve">Liste à puces des conséquences irréversibles avec icônes ti-lock en texte secondaire</w:t>
      </w:r>
    </w:p>
    <w:p>
      <w:pPr>
        <w:pStyle w:val="ListParagraph"/>
        <w:numPr>
          <w:ilvl w:val="0"/>
          <w:numId w:val="2"/>
        </w:numPr>
        <w:spacing w:after="80"/>
      </w:pPr>
      <w:r>
        <w:t xml:space="preserve">Champ de saisie du libellé de confirmation</w:t>
      </w:r>
    </w:p>
    <w:p>
      <w:pPr>
        <w:pStyle w:val="ListParagraph"/>
        <w:numPr>
          <w:ilvl w:val="0"/>
          <w:numId w:val="2"/>
        </w:numPr>
        <w:spacing w:after="80"/>
      </w:pPr>
      <w:r>
        <w:t xml:space="preserve">Deux boutons en bas : Annuler en secondaire, Clôturer définitivement en rouge</w:t>
      </w:r>
    </w:p>
    <w:p>
      <w:r>
        <w:br w:type="page"/>
      </w:r>
    </w:p>
    <w:p>
      <w:pPr>
        <w:pStyle w:val="Heading1"/>
        <w:spacing w:after="200" w:before="360"/>
      </w:pPr>
      <w:r>
        <w:rPr>
          <w:b/>
          <w:bCs/>
          <w:color w:val="1E1B4B"/>
          <w:sz w:val="32"/>
          <w:szCs w:val="32"/>
        </w:rPr>
        <w:t xml:space="preserve">13. Accessibilité et bonnes pratiques</w:t>
      </w:r>
    </w:p>
    <w:p>
      <w:pPr>
        <w:pStyle w:val="Heading2"/>
        <w:spacing w:after="160" w:before="280"/>
      </w:pPr>
      <w:r>
        <w:rPr>
          <w:b/>
          <w:bCs/>
          <w:color w:val="4F46E5"/>
          <w:sz w:val="26"/>
          <w:szCs w:val="26"/>
        </w:rPr>
        <w:t xml:space="preserve">13.1 Contraste</w:t>
      </w:r>
    </w:p>
    <w:p>
      <w:pPr>
        <w:spacing w:after="120" w:line="300"/>
      </w:pPr>
      <w:r>
        <w:t xml:space="preserve">Tout couple couleur de texte / couleur de fond doit atteindre au minimum :</w:t>
      </w:r>
    </w:p>
    <w:p>
      <w:pPr>
        <w:pStyle w:val="ListParagraph"/>
        <w:numPr>
          <w:ilvl w:val="0"/>
          <w:numId w:val="2"/>
        </w:numPr>
        <w:spacing w:after="80"/>
      </w:pPr>
      <w:r>
        <w:t xml:space="preserve">WCAG AA : ratio de 4.5:1 pour le corps de texte, 3:1 pour les grands titres</w:t>
      </w:r>
    </w:p>
    <w:p>
      <w:pPr>
        <w:pStyle w:val="ListParagraph"/>
        <w:numPr>
          <w:ilvl w:val="0"/>
          <w:numId w:val="2"/>
        </w:numPr>
        <w:spacing w:after="80"/>
      </w:pPr>
      <w:r>
        <w:t xml:space="preserve">WCAG AAA (recommandé pour Daeko) : ratio de 7:1 pour le corps de texte</w:t>
      </w:r>
    </w:p>
    <w:p>
      <w:pPr>
        <w:spacing w:after="120" w:line="300"/>
      </w:pPr>
      <w:r>
        <w:t xml:space="preserve">Les combinaisons listées dans cette charte respectent WCAG AA. Certaines atteignent AAA — c'est un objectif à viser sans l'imposer.</w:t>
      </w:r>
    </w:p>
    <w:p>
      <w:pPr>
        <w:pStyle w:val="Heading2"/>
        <w:spacing w:after="160" w:before="280"/>
      </w:pPr>
      <w:r>
        <w:rPr>
          <w:b/>
          <w:bCs/>
          <w:color w:val="4F46E5"/>
          <w:sz w:val="26"/>
          <w:szCs w:val="26"/>
        </w:rPr>
        <w:t xml:space="preserve">13.2 Navigation clavier</w:t>
      </w:r>
    </w:p>
    <w:p>
      <w:pPr>
        <w:spacing w:after="120" w:line="300"/>
      </w:pPr>
      <w:r>
        <w:t xml:space="preserve">Toute l'interface doit être utilisable au clavier seul :</w:t>
      </w:r>
    </w:p>
    <w:p>
      <w:pPr>
        <w:pStyle w:val="ListParagraph"/>
        <w:numPr>
          <w:ilvl w:val="0"/>
          <w:numId w:val="2"/>
        </w:numPr>
        <w:spacing w:after="80"/>
      </w:pPr>
      <w:r>
        <w:t xml:space="preserve">Tab / Shift+Tab pour la navigation entre éléments interactifs</w:t>
      </w:r>
    </w:p>
    <w:p>
      <w:pPr>
        <w:pStyle w:val="ListParagraph"/>
        <w:numPr>
          <w:ilvl w:val="0"/>
          <w:numId w:val="2"/>
        </w:numPr>
        <w:spacing w:after="80"/>
      </w:pPr>
      <w:r>
        <w:t xml:space="preserve">Entrée pour activer un bouton ou un lien</w:t>
      </w:r>
    </w:p>
    <w:p>
      <w:pPr>
        <w:pStyle w:val="ListParagraph"/>
        <w:numPr>
          <w:ilvl w:val="0"/>
          <w:numId w:val="2"/>
        </w:numPr>
        <w:spacing w:after="80"/>
      </w:pPr>
      <w:r>
        <w:t xml:space="preserve">Espace pour cocher une case ou activer un bouton</w:t>
      </w:r>
    </w:p>
    <w:p>
      <w:pPr>
        <w:pStyle w:val="ListParagraph"/>
        <w:numPr>
          <w:ilvl w:val="0"/>
          <w:numId w:val="2"/>
        </w:numPr>
        <w:spacing w:after="80"/>
      </w:pPr>
      <w:r>
        <w:t xml:space="preserve">Échap pour fermer un modal ou un menu déroulant</w:t>
      </w:r>
    </w:p>
    <w:p>
      <w:pPr>
        <w:pStyle w:val="ListParagraph"/>
        <w:numPr>
          <w:ilvl w:val="0"/>
          <w:numId w:val="2"/>
        </w:numPr>
        <w:spacing w:after="80"/>
      </w:pPr>
      <w:r>
        <w:t xml:space="preserve">Flèches pour naviguer dans un menu ou une liste</w:t>
      </w:r>
    </w:p>
    <w:p>
      <w:pPr>
        <w:spacing w:after="120" w:line="300"/>
      </w:pPr>
      <w:r>
        <w:t xml:space="preserve">Chaque élément interactif au focus doit afficher un focus ring visible (voir 9.1).</w:t>
      </w:r>
    </w:p>
    <w:p>
      <w:pPr>
        <w:pStyle w:val="Heading2"/>
        <w:spacing w:after="160" w:before="280"/>
      </w:pPr>
      <w:r>
        <w:rPr>
          <w:b/>
          <w:bCs/>
          <w:color w:val="4F46E5"/>
          <w:sz w:val="26"/>
          <w:szCs w:val="26"/>
        </w:rPr>
        <w:t xml:space="preserve">13.3 Lecteurs d'écran</w:t>
      </w:r>
    </w:p>
    <w:p>
      <w:pPr>
        <w:pStyle w:val="ListParagraph"/>
        <w:numPr>
          <w:ilvl w:val="0"/>
          <w:numId w:val="2"/>
        </w:numPr>
        <w:spacing w:after="80"/>
      </w:pPr>
      <w:r>
        <w:t xml:space="preserve">Chaque icône décorative porte l'attribut aria-hidden=true</w:t>
      </w:r>
    </w:p>
    <w:p>
      <w:pPr>
        <w:pStyle w:val="ListParagraph"/>
        <w:numPr>
          <w:ilvl w:val="0"/>
          <w:numId w:val="2"/>
        </w:numPr>
        <w:spacing w:after="80"/>
      </w:pPr>
      <w:r>
        <w:t xml:space="preserve">Chaque icône seule (bouton icône) porte un aria-label explicite</w:t>
      </w:r>
    </w:p>
    <w:p>
      <w:pPr>
        <w:pStyle w:val="ListParagraph"/>
        <w:numPr>
          <w:ilvl w:val="0"/>
          <w:numId w:val="2"/>
        </w:numPr>
        <w:spacing w:after="80"/>
      </w:pPr>
      <w:r>
        <w:t xml:space="preserve">Les images informatives portent un alt descriptif ; les décoratives portent un alt vide</w:t>
      </w:r>
    </w:p>
    <w:p>
      <w:pPr>
        <w:pStyle w:val="ListParagraph"/>
        <w:numPr>
          <w:ilvl w:val="0"/>
          <w:numId w:val="2"/>
        </w:numPr>
        <w:spacing w:after="80"/>
      </w:pPr>
      <w:r>
        <w:t xml:space="preserve">Les changements d'état importants sont annoncés via aria-live</w:t>
      </w:r>
    </w:p>
    <w:p>
      <w:pPr>
        <w:pStyle w:val="Heading2"/>
        <w:spacing w:after="160" w:before="280"/>
      </w:pPr>
      <w:r>
        <w:rPr>
          <w:b/>
          <w:bCs/>
          <w:color w:val="4F46E5"/>
          <w:sz w:val="26"/>
          <w:szCs w:val="26"/>
        </w:rPr>
        <w:t xml:space="preserve">13.4 Réduction de mouvement</w:t>
      </w:r>
    </w:p>
    <w:p>
      <w:pPr>
        <w:spacing w:after="120" w:line="300"/>
      </w:pPr>
      <w:r>
        <w:t xml:space="preserve">Si l'utilisateur a activé prefers-reduced-motion dans son système, toutes les animations non-essentielles sont désactivées. La transition de couleur des boutons reste, mais l'animation scale(0.98) du clic disparaît, les animations de shimmer des squelettes de chargement se figent.</w:t>
      </w:r>
    </w:p>
    <w:p>
      <w:pPr>
        <w:pStyle w:val="Heading2"/>
        <w:spacing w:after="160" w:before="280"/>
      </w:pPr>
      <w:r>
        <w:rPr>
          <w:b/>
          <w:bCs/>
          <w:color w:val="4F46E5"/>
          <w:sz w:val="26"/>
          <w:szCs w:val="26"/>
        </w:rPr>
        <w:t xml:space="preserve">13.5 Tailles cibles tactiles</w:t>
      </w:r>
    </w:p>
    <w:p>
      <w:pPr>
        <w:spacing w:after="120" w:line="300"/>
      </w:pPr>
      <w:r>
        <w:t xml:space="preserve">Sur les interfaces tactiles (tablette, mobile), toute cible cliquable doit avoir une surface minimale de </w:t>
      </w:r>
      <w:r>
        <w:rPr>
          <w:b/>
          <w:bCs/>
        </w:rPr>
        <w:t xml:space="preserve">44 × 44 pixels</w:t>
      </w:r>
      <w:r>
        <w:t xml:space="preserve">, même si l'élément visuel apparaît plus petit. Cela s'applique aux boutons, icônes cliquables, cases à cocher.</w:t>
      </w:r>
    </w:p>
    <w:p>
      <w:r>
        <w:br w:type="page"/>
      </w:r>
    </w:p>
    <w:p>
      <w:pPr>
        <w:pStyle w:val="Heading1"/>
        <w:spacing w:after="200" w:before="360"/>
      </w:pPr>
      <w:r>
        <w:rPr>
          <w:b/>
          <w:bCs/>
          <w:color w:val="1E1B4B"/>
          <w:sz w:val="32"/>
          <w:szCs w:val="32"/>
        </w:rPr>
        <w:t xml:space="preserve">14. Ressources et livrables</w:t>
      </w:r>
    </w:p>
    <w:p>
      <w:pPr>
        <w:pStyle w:val="Heading2"/>
        <w:spacing w:after="160" w:before="280"/>
      </w:pPr>
      <w:r>
        <w:rPr>
          <w:b/>
          <w:bCs/>
          <w:color w:val="4F46E5"/>
          <w:sz w:val="26"/>
          <w:szCs w:val="26"/>
        </w:rPr>
        <w:t xml:space="preserve">14.1 Fichiers à produire</w:t>
      </w:r>
    </w:p>
    <w:p>
      <w:pPr>
        <w:pStyle w:val="ListParagraph"/>
        <w:numPr>
          <w:ilvl w:val="0"/>
          <w:numId w:val="2"/>
        </w:numPr>
        <w:spacing w:after="80"/>
      </w:pPr>
      <w:r>
        <w:t xml:space="preserve">daeko-tokens.css : fichier CSS contenant toutes les variables (couleurs, tailles, espacements)</w:t>
      </w:r>
    </w:p>
    <w:p>
      <w:pPr>
        <w:pStyle w:val="ListParagraph"/>
        <w:numPr>
          <w:ilvl w:val="0"/>
          <w:numId w:val="2"/>
        </w:numPr>
        <w:spacing w:after="80"/>
      </w:pPr>
      <w:r>
        <w:t xml:space="preserve">daeko-tokens.json : équivalent JSON pour usage en dehors du web (documents, ERP tiers)</w:t>
      </w:r>
    </w:p>
    <w:p>
      <w:pPr>
        <w:pStyle w:val="ListParagraph"/>
        <w:numPr>
          <w:ilvl w:val="0"/>
          <w:numId w:val="2"/>
        </w:numPr>
        <w:spacing w:after="80"/>
      </w:pPr>
      <w:r>
        <w:t xml:space="preserve">Logo SVG : monogramme + mot-symbole, en versions couleur, blanc, noir, monochrome</w:t>
      </w:r>
    </w:p>
    <w:p>
      <w:pPr>
        <w:pStyle w:val="ListParagraph"/>
        <w:numPr>
          <w:ilvl w:val="0"/>
          <w:numId w:val="2"/>
        </w:numPr>
        <w:spacing w:after="80"/>
      </w:pPr>
      <w:r>
        <w:t xml:space="preserve">Favicon : versions 16, 32, 64, 180 pixels + version SVG animée pour navigateurs modernes</w:t>
      </w:r>
    </w:p>
    <w:p>
      <w:pPr>
        <w:pStyle w:val="ListParagraph"/>
        <w:numPr>
          <w:ilvl w:val="0"/>
          <w:numId w:val="2"/>
        </w:numPr>
        <w:spacing w:after="80"/>
      </w:pPr>
      <w:r>
        <w:t xml:space="preserve">Bibliothèque de composants : Figma ou équivalent, contenant tous les composants de la section 8</w:t>
      </w:r>
    </w:p>
    <w:p>
      <w:pPr>
        <w:pStyle w:val="Heading2"/>
        <w:spacing w:after="160" w:before="280"/>
      </w:pPr>
      <w:r>
        <w:rPr>
          <w:b/>
          <w:bCs/>
          <w:color w:val="4F46E5"/>
          <w:sz w:val="26"/>
          <w:szCs w:val="26"/>
        </w:rPr>
        <w:t xml:space="preserve">14.2 Variables CSS de référence</w:t>
      </w:r>
    </w:p>
    <w:p>
      <w:pPr>
        <w:spacing w:after="120" w:line="300"/>
      </w:pPr>
      <w:r>
        <w:t xml:space="preserve">Voici l'ensemble des variables CSS à intégrer au fichier de tokens :</w:t>
      </w:r>
    </w:p>
    <w:p>
      <w:pPr>
        <w:shd w:fill="F5F3FF" w:color="auto" w:val="clear"/>
        <w:spacing w:after="0" w:line="260"/>
      </w:pPr>
      <w:r>
        <w:rPr>
          <w:rFonts w:ascii="Consolas" w:cs="Consolas" w:eastAsia="Consolas" w:hAnsi="Consolas"/>
          <w:color w:val="1E1B4B"/>
          <w:sz w:val="18"/>
          <w:szCs w:val="18"/>
        </w:rPr>
        <w:t xml:space="preserve">:root {</w:t>
      </w:r>
    </w:p>
    <w:p>
      <w:pPr>
        <w:shd w:fill="F5F3FF" w:color="auto" w:val="clear"/>
        <w:spacing w:after="0" w:line="260"/>
      </w:pPr>
      <w:r>
        <w:rPr>
          <w:rFonts w:ascii="Consolas" w:cs="Consolas" w:eastAsia="Consolas" w:hAnsi="Consolas"/>
          <w:color w:val="1E1B4B"/>
          <w:sz w:val="18"/>
          <w:szCs w:val="18"/>
        </w:rPr>
        <w:t xml:space="preserve">  /* Couleurs — Indigo */</w:t>
      </w:r>
    </w:p>
    <w:p>
      <w:pPr>
        <w:shd w:fill="F5F3FF" w:color="auto" w:val="clear"/>
        <w:spacing w:after="0" w:line="260"/>
      </w:pPr>
      <w:r>
        <w:rPr>
          <w:rFonts w:ascii="Consolas" w:cs="Consolas" w:eastAsia="Consolas" w:hAnsi="Consolas"/>
          <w:color w:val="1E1B4B"/>
          <w:sz w:val="18"/>
          <w:szCs w:val="18"/>
        </w:rPr>
        <w:t xml:space="preserve">  --color-indigo: #4F46E5;</w:t>
      </w:r>
    </w:p>
    <w:p>
      <w:pPr>
        <w:shd w:fill="F5F3FF" w:color="auto" w:val="clear"/>
        <w:spacing w:after="0" w:line="260"/>
      </w:pPr>
      <w:r>
        <w:rPr>
          <w:rFonts w:ascii="Consolas" w:cs="Consolas" w:eastAsia="Consolas" w:hAnsi="Consolas"/>
          <w:color w:val="1E1B4B"/>
          <w:sz w:val="18"/>
          <w:szCs w:val="18"/>
        </w:rPr>
        <w:t xml:space="preserve">  --color-indigo-light: #EEF2FF;</w:t>
      </w:r>
    </w:p>
    <w:p>
      <w:pPr>
        <w:shd w:fill="F5F3FF" w:color="auto" w:val="clear"/>
        <w:spacing w:after="0" w:line="260"/>
      </w:pPr>
      <w:r>
        <w:rPr>
          <w:rFonts w:ascii="Consolas" w:cs="Consolas" w:eastAsia="Consolas" w:hAnsi="Consolas"/>
          <w:color w:val="1E1B4B"/>
          <w:sz w:val="18"/>
          <w:szCs w:val="18"/>
        </w:rPr>
        <w:t xml:space="preserve">  --color-indigo-deep: #1E1B4B;</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Couleurs — Neutres clair */</w:t>
      </w:r>
    </w:p>
    <w:p>
      <w:pPr>
        <w:shd w:fill="F5F3FF" w:color="auto" w:val="clear"/>
        <w:spacing w:after="0" w:line="260"/>
      </w:pPr>
      <w:r>
        <w:rPr>
          <w:rFonts w:ascii="Consolas" w:cs="Consolas" w:eastAsia="Consolas" w:hAnsi="Consolas"/>
          <w:color w:val="1E1B4B"/>
          <w:sz w:val="18"/>
          <w:szCs w:val="18"/>
        </w:rPr>
        <w:t xml:space="preserve">  --color-bg-page: #FAFAF9;</w:t>
      </w:r>
    </w:p>
    <w:p>
      <w:pPr>
        <w:shd w:fill="F5F3FF" w:color="auto" w:val="clear"/>
        <w:spacing w:after="0" w:line="260"/>
      </w:pPr>
      <w:r>
        <w:rPr>
          <w:rFonts w:ascii="Consolas" w:cs="Consolas" w:eastAsia="Consolas" w:hAnsi="Consolas"/>
          <w:color w:val="1E1B4B"/>
          <w:sz w:val="18"/>
          <w:szCs w:val="18"/>
        </w:rPr>
        <w:t xml:space="preserve">  --color-bg-card: #FFFFFF;</w:t>
      </w:r>
    </w:p>
    <w:p>
      <w:pPr>
        <w:shd w:fill="F5F3FF" w:color="auto" w:val="clear"/>
        <w:spacing w:after="0" w:line="260"/>
      </w:pPr>
      <w:r>
        <w:rPr>
          <w:rFonts w:ascii="Consolas" w:cs="Consolas" w:eastAsia="Consolas" w:hAnsi="Consolas"/>
          <w:color w:val="1E1B4B"/>
          <w:sz w:val="18"/>
          <w:szCs w:val="18"/>
        </w:rPr>
        <w:t xml:space="preserve">  --color-border: #E7E5E4;</w:t>
      </w:r>
    </w:p>
    <w:p>
      <w:pPr>
        <w:shd w:fill="F5F3FF" w:color="auto" w:val="clear"/>
        <w:spacing w:after="0" w:line="260"/>
      </w:pPr>
      <w:r>
        <w:rPr>
          <w:rFonts w:ascii="Consolas" w:cs="Consolas" w:eastAsia="Consolas" w:hAnsi="Consolas"/>
          <w:color w:val="1E1B4B"/>
          <w:sz w:val="18"/>
          <w:szCs w:val="18"/>
        </w:rPr>
        <w:t xml:space="preserve">  --color-border-strong: #D6D3D1;</w:t>
      </w:r>
    </w:p>
    <w:p>
      <w:pPr>
        <w:shd w:fill="F5F3FF" w:color="auto" w:val="clear"/>
        <w:spacing w:after="0" w:line="260"/>
      </w:pPr>
      <w:r>
        <w:rPr>
          <w:rFonts w:ascii="Consolas" w:cs="Consolas" w:eastAsia="Consolas" w:hAnsi="Consolas"/>
          <w:color w:val="1E1B4B"/>
          <w:sz w:val="18"/>
          <w:szCs w:val="18"/>
        </w:rPr>
        <w:t xml:space="preserve">  --color-text-soft: #78716C;</w:t>
      </w:r>
    </w:p>
    <w:p>
      <w:pPr>
        <w:shd w:fill="F5F3FF" w:color="auto" w:val="clear"/>
        <w:spacing w:after="0" w:line="260"/>
      </w:pPr>
      <w:r>
        <w:rPr>
          <w:rFonts w:ascii="Consolas" w:cs="Consolas" w:eastAsia="Consolas" w:hAnsi="Consolas"/>
          <w:color w:val="1E1B4B"/>
          <w:sz w:val="18"/>
          <w:szCs w:val="18"/>
        </w:rPr>
        <w:t xml:space="preserve">  --color-text-strong: #1C1917;</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Couleurs fonctionnelles clair */</w:t>
      </w:r>
    </w:p>
    <w:p>
      <w:pPr>
        <w:shd w:fill="F5F3FF" w:color="auto" w:val="clear"/>
        <w:spacing w:after="0" w:line="260"/>
      </w:pPr>
      <w:r>
        <w:rPr>
          <w:rFonts w:ascii="Consolas" w:cs="Consolas" w:eastAsia="Consolas" w:hAnsi="Consolas"/>
          <w:color w:val="1E1B4B"/>
          <w:sz w:val="18"/>
          <w:szCs w:val="18"/>
        </w:rPr>
        <w:t xml:space="preserve">  --color-success-bg: #D1FAE5;</w:t>
      </w:r>
    </w:p>
    <w:p>
      <w:pPr>
        <w:shd w:fill="F5F3FF" w:color="auto" w:val="clear"/>
        <w:spacing w:after="0" w:line="260"/>
      </w:pPr>
      <w:r>
        <w:rPr>
          <w:rFonts w:ascii="Consolas" w:cs="Consolas" w:eastAsia="Consolas" w:hAnsi="Consolas"/>
          <w:color w:val="1E1B4B"/>
          <w:sz w:val="18"/>
          <w:szCs w:val="18"/>
        </w:rPr>
        <w:t xml:space="preserve">  --color-success-text: #065F46;</w:t>
      </w:r>
    </w:p>
    <w:p>
      <w:pPr>
        <w:shd w:fill="F5F3FF" w:color="auto" w:val="clear"/>
        <w:spacing w:after="0" w:line="260"/>
      </w:pPr>
      <w:r>
        <w:rPr>
          <w:rFonts w:ascii="Consolas" w:cs="Consolas" w:eastAsia="Consolas" w:hAnsi="Consolas"/>
          <w:color w:val="1E1B4B"/>
          <w:sz w:val="18"/>
          <w:szCs w:val="18"/>
        </w:rPr>
        <w:t xml:space="preserve">  --color-success-solid: #059669;</w:t>
      </w:r>
    </w:p>
    <w:p>
      <w:pPr>
        <w:shd w:fill="F5F3FF" w:color="auto" w:val="clear"/>
        <w:spacing w:after="0" w:line="260"/>
      </w:pPr>
      <w:r>
        <w:rPr>
          <w:rFonts w:ascii="Consolas" w:cs="Consolas" w:eastAsia="Consolas" w:hAnsi="Consolas"/>
          <w:color w:val="1E1B4B"/>
          <w:sz w:val="18"/>
          <w:szCs w:val="18"/>
        </w:rPr>
        <w:t xml:space="preserve">  --color-warning-bg: #FEF3C7;</w:t>
      </w:r>
    </w:p>
    <w:p>
      <w:pPr>
        <w:shd w:fill="F5F3FF" w:color="auto" w:val="clear"/>
        <w:spacing w:after="0" w:line="260"/>
      </w:pPr>
      <w:r>
        <w:rPr>
          <w:rFonts w:ascii="Consolas" w:cs="Consolas" w:eastAsia="Consolas" w:hAnsi="Consolas"/>
          <w:color w:val="1E1B4B"/>
          <w:sz w:val="18"/>
          <w:szCs w:val="18"/>
        </w:rPr>
        <w:t xml:space="preserve">  --color-warning-text: #92400E;</w:t>
      </w:r>
    </w:p>
    <w:p>
      <w:pPr>
        <w:shd w:fill="F5F3FF" w:color="auto" w:val="clear"/>
        <w:spacing w:after="0" w:line="260"/>
      </w:pPr>
      <w:r>
        <w:rPr>
          <w:rFonts w:ascii="Consolas" w:cs="Consolas" w:eastAsia="Consolas" w:hAnsi="Consolas"/>
          <w:color w:val="1E1B4B"/>
          <w:sz w:val="18"/>
          <w:szCs w:val="18"/>
        </w:rPr>
        <w:t xml:space="preserve">  --color-warning-solid: #D97706;</w:t>
      </w:r>
    </w:p>
    <w:p>
      <w:pPr>
        <w:shd w:fill="F5F3FF" w:color="auto" w:val="clear"/>
        <w:spacing w:after="0" w:line="260"/>
      </w:pPr>
      <w:r>
        <w:rPr>
          <w:rFonts w:ascii="Consolas" w:cs="Consolas" w:eastAsia="Consolas" w:hAnsi="Consolas"/>
          <w:color w:val="1E1B4B"/>
          <w:sz w:val="18"/>
          <w:szCs w:val="18"/>
        </w:rPr>
        <w:t xml:space="preserve">  --color-danger-bg: #FEE2E2;</w:t>
      </w:r>
    </w:p>
    <w:p>
      <w:pPr>
        <w:shd w:fill="F5F3FF" w:color="auto" w:val="clear"/>
        <w:spacing w:after="0" w:line="260"/>
      </w:pPr>
      <w:r>
        <w:rPr>
          <w:rFonts w:ascii="Consolas" w:cs="Consolas" w:eastAsia="Consolas" w:hAnsi="Consolas"/>
          <w:color w:val="1E1B4B"/>
          <w:sz w:val="18"/>
          <w:szCs w:val="18"/>
        </w:rPr>
        <w:t xml:space="preserve">  --color-danger-text: #991B1B;</w:t>
      </w:r>
    </w:p>
    <w:p>
      <w:pPr>
        <w:shd w:fill="F5F3FF" w:color="auto" w:val="clear"/>
        <w:spacing w:after="0" w:line="260"/>
      </w:pPr>
      <w:r>
        <w:rPr>
          <w:rFonts w:ascii="Consolas" w:cs="Consolas" w:eastAsia="Consolas" w:hAnsi="Consolas"/>
          <w:color w:val="1E1B4B"/>
          <w:sz w:val="18"/>
          <w:szCs w:val="18"/>
        </w:rPr>
        <w:t xml:space="preserve">  --color-danger-solid: #DC2626;</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Badges officiel/personnalisé clair */</w:t>
      </w:r>
    </w:p>
    <w:p>
      <w:pPr>
        <w:shd w:fill="F5F3FF" w:color="auto" w:val="clear"/>
        <w:spacing w:after="0" w:line="260"/>
      </w:pPr>
      <w:r>
        <w:rPr>
          <w:rFonts w:ascii="Consolas" w:cs="Consolas" w:eastAsia="Consolas" w:hAnsi="Consolas"/>
          <w:color w:val="1E1B4B"/>
          <w:sz w:val="18"/>
          <w:szCs w:val="18"/>
        </w:rPr>
        <w:t xml:space="preserve">  --color-official-bg: #EEF2FF;</w:t>
      </w:r>
    </w:p>
    <w:p>
      <w:pPr>
        <w:shd w:fill="F5F3FF" w:color="auto" w:val="clear"/>
        <w:spacing w:after="0" w:line="260"/>
      </w:pPr>
      <w:r>
        <w:rPr>
          <w:rFonts w:ascii="Consolas" w:cs="Consolas" w:eastAsia="Consolas" w:hAnsi="Consolas"/>
          <w:color w:val="1E1B4B"/>
          <w:sz w:val="18"/>
          <w:szCs w:val="18"/>
        </w:rPr>
        <w:t xml:space="preserve">  --color-official-text: #4338CA;</w:t>
      </w:r>
    </w:p>
    <w:p>
      <w:pPr>
        <w:shd w:fill="F5F3FF" w:color="auto" w:val="clear"/>
        <w:spacing w:after="0" w:line="260"/>
      </w:pPr>
      <w:r>
        <w:rPr>
          <w:rFonts w:ascii="Consolas" w:cs="Consolas" w:eastAsia="Consolas" w:hAnsi="Consolas"/>
          <w:color w:val="1E1B4B"/>
          <w:sz w:val="18"/>
          <w:szCs w:val="18"/>
        </w:rPr>
        <w:t xml:space="preserve">  --color-custom-bg: #F5F3FF;</w:t>
      </w:r>
    </w:p>
    <w:p>
      <w:pPr>
        <w:shd w:fill="F5F3FF" w:color="auto" w:val="clear"/>
        <w:spacing w:after="0" w:line="260"/>
      </w:pPr>
      <w:r>
        <w:rPr>
          <w:rFonts w:ascii="Consolas" w:cs="Consolas" w:eastAsia="Consolas" w:hAnsi="Consolas"/>
          <w:color w:val="1E1B4B"/>
          <w:sz w:val="18"/>
          <w:szCs w:val="18"/>
        </w:rPr>
        <w:t xml:space="preserve">  --color-custom-text: #6D28D9;</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Typographie */</w:t>
      </w:r>
    </w:p>
    <w:p>
      <w:pPr>
        <w:shd w:fill="F5F3FF" w:color="auto" w:val="clear"/>
        <w:spacing w:after="0" w:line="260"/>
      </w:pPr>
      <w:r>
        <w:rPr>
          <w:rFonts w:ascii="Consolas" w:cs="Consolas" w:eastAsia="Consolas" w:hAnsi="Consolas"/>
          <w:color w:val="1E1B4B"/>
          <w:sz w:val="18"/>
          <w:szCs w:val="18"/>
        </w:rPr>
        <w:t xml:space="preserve">  --font-family: 'Inter', system-ui, sans-serif;</w:t>
      </w:r>
    </w:p>
    <w:p>
      <w:pPr>
        <w:shd w:fill="F5F3FF" w:color="auto" w:val="clear"/>
        <w:spacing w:after="0" w:line="260"/>
      </w:pPr>
      <w:r>
        <w:rPr>
          <w:rFonts w:ascii="Consolas" w:cs="Consolas" w:eastAsia="Consolas" w:hAnsi="Consolas"/>
          <w:color w:val="1E1B4B"/>
          <w:sz w:val="18"/>
          <w:szCs w:val="18"/>
        </w:rPr>
        <w:t xml:space="preserve">  --font-size-h1: 32px;</w:t>
      </w:r>
    </w:p>
    <w:p>
      <w:pPr>
        <w:shd w:fill="F5F3FF" w:color="auto" w:val="clear"/>
        <w:spacing w:after="0" w:line="260"/>
      </w:pPr>
      <w:r>
        <w:rPr>
          <w:rFonts w:ascii="Consolas" w:cs="Consolas" w:eastAsia="Consolas" w:hAnsi="Consolas"/>
          <w:color w:val="1E1B4B"/>
          <w:sz w:val="18"/>
          <w:szCs w:val="18"/>
        </w:rPr>
        <w:t xml:space="preserve">  --font-size-h2: 24px;</w:t>
      </w:r>
    </w:p>
    <w:p>
      <w:pPr>
        <w:shd w:fill="F5F3FF" w:color="auto" w:val="clear"/>
        <w:spacing w:after="0" w:line="260"/>
      </w:pPr>
      <w:r>
        <w:rPr>
          <w:rFonts w:ascii="Consolas" w:cs="Consolas" w:eastAsia="Consolas" w:hAnsi="Consolas"/>
          <w:color w:val="1E1B4B"/>
          <w:sz w:val="18"/>
          <w:szCs w:val="18"/>
        </w:rPr>
        <w:t xml:space="preserve">  --font-size-h3: 20px;</w:t>
      </w:r>
    </w:p>
    <w:p>
      <w:pPr>
        <w:shd w:fill="F5F3FF" w:color="auto" w:val="clear"/>
        <w:spacing w:after="0" w:line="260"/>
      </w:pPr>
      <w:r>
        <w:rPr>
          <w:rFonts w:ascii="Consolas" w:cs="Consolas" w:eastAsia="Consolas" w:hAnsi="Consolas"/>
          <w:color w:val="1E1B4B"/>
          <w:sz w:val="18"/>
          <w:szCs w:val="18"/>
        </w:rPr>
        <w:t xml:space="preserve">  --font-size-h4: 17px;</w:t>
      </w:r>
    </w:p>
    <w:p>
      <w:pPr>
        <w:shd w:fill="F5F3FF" w:color="auto" w:val="clear"/>
        <w:spacing w:after="0" w:line="260"/>
      </w:pPr>
      <w:r>
        <w:rPr>
          <w:rFonts w:ascii="Consolas" w:cs="Consolas" w:eastAsia="Consolas" w:hAnsi="Consolas"/>
          <w:color w:val="1E1B4B"/>
          <w:sz w:val="18"/>
          <w:szCs w:val="18"/>
        </w:rPr>
        <w:t xml:space="preserve">  --font-size-body: 15px;</w:t>
      </w:r>
    </w:p>
    <w:p>
      <w:pPr>
        <w:shd w:fill="F5F3FF" w:color="auto" w:val="clear"/>
        <w:spacing w:after="0" w:line="260"/>
      </w:pPr>
      <w:r>
        <w:rPr>
          <w:rFonts w:ascii="Consolas" w:cs="Consolas" w:eastAsia="Consolas" w:hAnsi="Consolas"/>
          <w:color w:val="1E1B4B"/>
          <w:sz w:val="18"/>
          <w:szCs w:val="18"/>
        </w:rPr>
        <w:t xml:space="preserve">  --font-size-secondary: 13px;</w:t>
      </w:r>
    </w:p>
    <w:p>
      <w:pPr>
        <w:shd w:fill="F5F3FF" w:color="auto" w:val="clear"/>
        <w:spacing w:after="0" w:line="260"/>
      </w:pPr>
      <w:r>
        <w:rPr>
          <w:rFonts w:ascii="Consolas" w:cs="Consolas" w:eastAsia="Consolas" w:hAnsi="Consolas"/>
          <w:color w:val="1E1B4B"/>
          <w:sz w:val="18"/>
          <w:szCs w:val="18"/>
        </w:rPr>
        <w:t xml:space="preserve">  --font-size-small: 12px;</w:t>
      </w:r>
    </w:p>
    <w:p>
      <w:pPr>
        <w:shd w:fill="F5F3FF" w:color="auto" w:val="clear"/>
        <w:spacing w:after="0" w:line="260"/>
      </w:pPr>
      <w:r>
        <w:rPr>
          <w:rFonts w:ascii="Consolas" w:cs="Consolas" w:eastAsia="Consolas" w:hAnsi="Consolas"/>
          <w:color w:val="1E1B4B"/>
          <w:sz w:val="18"/>
          <w:szCs w:val="18"/>
        </w:rPr>
        <w:t xml:space="preserve">  --font-size-micro: 11px;</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Espacements */</w:t>
      </w:r>
    </w:p>
    <w:p>
      <w:pPr>
        <w:shd w:fill="F5F3FF" w:color="auto" w:val="clear"/>
        <w:spacing w:after="0" w:line="260"/>
      </w:pPr>
      <w:r>
        <w:rPr>
          <w:rFonts w:ascii="Consolas" w:cs="Consolas" w:eastAsia="Consolas" w:hAnsi="Consolas"/>
          <w:color w:val="1E1B4B"/>
          <w:sz w:val="18"/>
          <w:szCs w:val="18"/>
        </w:rPr>
        <w:t xml:space="preserve">  --space-xs: 4px;</w:t>
      </w:r>
    </w:p>
    <w:p>
      <w:pPr>
        <w:shd w:fill="F5F3FF" w:color="auto" w:val="clear"/>
        <w:spacing w:after="0" w:line="260"/>
      </w:pPr>
      <w:r>
        <w:rPr>
          <w:rFonts w:ascii="Consolas" w:cs="Consolas" w:eastAsia="Consolas" w:hAnsi="Consolas"/>
          <w:color w:val="1E1B4B"/>
          <w:sz w:val="18"/>
          <w:szCs w:val="18"/>
        </w:rPr>
        <w:t xml:space="preserve">  --space-sm: 8px;</w:t>
      </w:r>
    </w:p>
    <w:p>
      <w:pPr>
        <w:shd w:fill="F5F3FF" w:color="auto" w:val="clear"/>
        <w:spacing w:after="0" w:line="260"/>
      </w:pPr>
      <w:r>
        <w:rPr>
          <w:rFonts w:ascii="Consolas" w:cs="Consolas" w:eastAsia="Consolas" w:hAnsi="Consolas"/>
          <w:color w:val="1E1B4B"/>
          <w:sz w:val="18"/>
          <w:szCs w:val="18"/>
        </w:rPr>
        <w:t xml:space="preserve">  --space-md: 12px;</w:t>
      </w:r>
    </w:p>
    <w:p>
      <w:pPr>
        <w:shd w:fill="F5F3FF" w:color="auto" w:val="clear"/>
        <w:spacing w:after="0" w:line="260"/>
      </w:pPr>
      <w:r>
        <w:rPr>
          <w:rFonts w:ascii="Consolas" w:cs="Consolas" w:eastAsia="Consolas" w:hAnsi="Consolas"/>
          <w:color w:val="1E1B4B"/>
          <w:sz w:val="18"/>
          <w:szCs w:val="18"/>
        </w:rPr>
        <w:t xml:space="preserve">  --space-lg: 16px;</w:t>
      </w:r>
    </w:p>
    <w:p>
      <w:pPr>
        <w:shd w:fill="F5F3FF" w:color="auto" w:val="clear"/>
        <w:spacing w:after="0" w:line="260"/>
      </w:pPr>
      <w:r>
        <w:rPr>
          <w:rFonts w:ascii="Consolas" w:cs="Consolas" w:eastAsia="Consolas" w:hAnsi="Consolas"/>
          <w:color w:val="1E1B4B"/>
          <w:sz w:val="18"/>
          <w:szCs w:val="18"/>
        </w:rPr>
        <w:t xml:space="preserve">  --space-xl: 24px;</w:t>
      </w:r>
    </w:p>
    <w:p>
      <w:pPr>
        <w:shd w:fill="F5F3FF" w:color="auto" w:val="clear"/>
        <w:spacing w:after="0" w:line="260"/>
      </w:pPr>
      <w:r>
        <w:rPr>
          <w:rFonts w:ascii="Consolas" w:cs="Consolas" w:eastAsia="Consolas" w:hAnsi="Consolas"/>
          <w:color w:val="1E1B4B"/>
          <w:sz w:val="18"/>
          <w:szCs w:val="18"/>
        </w:rPr>
        <w:t xml:space="preserve">  --space-2xl: 32px;</w:t>
      </w:r>
    </w:p>
    <w:p>
      <w:pPr>
        <w:shd w:fill="F5F3FF" w:color="auto" w:val="clear"/>
        <w:spacing w:after="0" w:line="260"/>
      </w:pPr>
      <w:r>
        <w:rPr>
          <w:rFonts w:ascii="Consolas" w:cs="Consolas" w:eastAsia="Consolas" w:hAnsi="Consolas"/>
          <w:color w:val="1E1B4B"/>
          <w:sz w:val="18"/>
          <w:szCs w:val="18"/>
        </w:rPr>
        <w:t xml:space="preserve">  --space-3xl: 48px;</w:t>
      </w:r>
    </w:p>
    <w:p>
      <w:pPr>
        <w:shd w:fill="F5F3FF" w:color="auto" w:val="clear"/>
        <w:spacing w:after="0" w:line="260"/>
      </w:pPr>
      <w:r>
        <w:rPr>
          <w:rFonts w:ascii="Consolas" w:cs="Consolas" w:eastAsia="Consolas" w:hAnsi="Consolas"/>
          <w:color w:val="1E1B4B"/>
          <w:sz w:val="18"/>
          <w:szCs w:val="18"/>
        </w:rPr>
        <w:t xml:space="preserve">  --space-4xl: 64px;</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Bordures et rayons */</w:t>
      </w:r>
    </w:p>
    <w:p>
      <w:pPr>
        <w:shd w:fill="F5F3FF" w:color="auto" w:val="clear"/>
        <w:spacing w:after="0" w:line="260"/>
      </w:pPr>
      <w:r>
        <w:rPr>
          <w:rFonts w:ascii="Consolas" w:cs="Consolas" w:eastAsia="Consolas" w:hAnsi="Consolas"/>
          <w:color w:val="1E1B4B"/>
          <w:sz w:val="18"/>
          <w:szCs w:val="18"/>
        </w:rPr>
        <w:t xml:space="preserve">  --border-width: 0.5px;</w:t>
      </w:r>
    </w:p>
    <w:p>
      <w:pPr>
        <w:shd w:fill="F5F3FF" w:color="auto" w:val="clear"/>
        <w:spacing w:after="0" w:line="260"/>
      </w:pPr>
      <w:r>
        <w:rPr>
          <w:rFonts w:ascii="Consolas" w:cs="Consolas" w:eastAsia="Consolas" w:hAnsi="Consolas"/>
          <w:color w:val="1E1B4B"/>
          <w:sz w:val="18"/>
          <w:szCs w:val="18"/>
        </w:rPr>
        <w:t xml:space="preserve">  --border-width-strong: 1px;</w:t>
      </w:r>
    </w:p>
    <w:p>
      <w:pPr>
        <w:shd w:fill="F5F3FF" w:color="auto" w:val="clear"/>
        <w:spacing w:after="0" w:line="260"/>
      </w:pPr>
      <w:r>
        <w:rPr>
          <w:rFonts w:ascii="Consolas" w:cs="Consolas" w:eastAsia="Consolas" w:hAnsi="Consolas"/>
          <w:color w:val="1E1B4B"/>
          <w:sz w:val="18"/>
          <w:szCs w:val="18"/>
        </w:rPr>
        <w:t xml:space="preserve">  --border-width-accent: 2px;</w:t>
      </w:r>
    </w:p>
    <w:p>
      <w:pPr>
        <w:shd w:fill="F5F3FF" w:color="auto" w:val="clear"/>
        <w:spacing w:after="0" w:line="260"/>
      </w:pPr>
      <w:r>
        <w:rPr>
          <w:rFonts w:ascii="Consolas" w:cs="Consolas" w:eastAsia="Consolas" w:hAnsi="Consolas"/>
          <w:color w:val="1E1B4B"/>
          <w:sz w:val="18"/>
          <w:szCs w:val="18"/>
        </w:rPr>
        <w:t xml:space="preserve">  --radius-sm: 6px;</w:t>
      </w:r>
    </w:p>
    <w:p>
      <w:pPr>
        <w:shd w:fill="F5F3FF" w:color="auto" w:val="clear"/>
        <w:spacing w:after="0" w:line="260"/>
      </w:pPr>
      <w:r>
        <w:rPr>
          <w:rFonts w:ascii="Consolas" w:cs="Consolas" w:eastAsia="Consolas" w:hAnsi="Consolas"/>
          <w:color w:val="1E1B4B"/>
          <w:sz w:val="18"/>
          <w:szCs w:val="18"/>
        </w:rPr>
        <w:t xml:space="preserve">  --radius-md: 8px;</w:t>
      </w:r>
    </w:p>
    <w:p>
      <w:pPr>
        <w:shd w:fill="F5F3FF" w:color="auto" w:val="clear"/>
        <w:spacing w:after="0" w:line="260"/>
      </w:pPr>
      <w:r>
        <w:rPr>
          <w:rFonts w:ascii="Consolas" w:cs="Consolas" w:eastAsia="Consolas" w:hAnsi="Consolas"/>
          <w:color w:val="1E1B4B"/>
          <w:sz w:val="18"/>
          <w:szCs w:val="18"/>
        </w:rPr>
        <w:t xml:space="preserve">  --radius-lg: 12px;</w:t>
      </w:r>
    </w:p>
    <w:p>
      <w:pPr>
        <w:shd w:fill="F5F3FF" w:color="auto" w:val="clear"/>
        <w:spacing w:after="0" w:line="260"/>
      </w:pPr>
      <w:r>
        <w:rPr>
          <w:rFonts w:ascii="Consolas" w:cs="Consolas" w:eastAsia="Consolas" w:hAnsi="Consolas"/>
          <w:color w:val="1E1B4B"/>
          <w:sz w:val="18"/>
          <w:szCs w:val="18"/>
        </w:rPr>
        <w:t xml:space="preserve">  --radius-pill: 999px;</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 Transitions */</w:t>
      </w:r>
    </w:p>
    <w:p>
      <w:pPr>
        <w:shd w:fill="F5F3FF" w:color="auto" w:val="clear"/>
        <w:spacing w:after="0" w:line="260"/>
      </w:pPr>
      <w:r>
        <w:rPr>
          <w:rFonts w:ascii="Consolas" w:cs="Consolas" w:eastAsia="Consolas" w:hAnsi="Consolas"/>
          <w:color w:val="1E1B4B"/>
          <w:sz w:val="18"/>
          <w:szCs w:val="18"/>
        </w:rPr>
        <w:t xml:space="preserve">  --transition-fast: 150ms ease-out;</w:t>
      </w:r>
    </w:p>
    <w:p>
      <w:pPr>
        <w:shd w:fill="F5F3FF" w:color="auto" w:val="clear"/>
        <w:spacing w:after="0" w:line="260"/>
      </w:pPr>
      <w:r>
        <w:rPr>
          <w:rFonts w:ascii="Consolas" w:cs="Consolas" w:eastAsia="Consolas" w:hAnsi="Consolas"/>
          <w:color w:val="1E1B4B"/>
          <w:sz w:val="18"/>
          <w:szCs w:val="18"/>
        </w:rPr>
        <w:t xml:space="preserve">}</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[data-mode="dark"] {</w:t>
      </w:r>
    </w:p>
    <w:p>
      <w:pPr>
        <w:shd w:fill="F5F3FF" w:color="auto" w:val="clear"/>
        <w:spacing w:after="0" w:line="260"/>
      </w:pPr>
      <w:r>
        <w:rPr>
          <w:rFonts w:ascii="Consolas" w:cs="Consolas" w:eastAsia="Consolas" w:hAnsi="Consolas"/>
          <w:color w:val="1E1B4B"/>
          <w:sz w:val="18"/>
          <w:szCs w:val="18"/>
        </w:rPr>
        <w:t xml:space="preserve">  --color-indigo: #818CF8;</w:t>
      </w:r>
    </w:p>
    <w:p>
      <w:pPr>
        <w:shd w:fill="F5F3FF" w:color="auto" w:val="clear"/>
        <w:spacing w:after="0" w:line="260"/>
      </w:pPr>
      <w:r>
        <w:rPr>
          <w:rFonts w:ascii="Consolas" w:cs="Consolas" w:eastAsia="Consolas" w:hAnsi="Consolas"/>
          <w:color w:val="1E1B4B"/>
          <w:sz w:val="18"/>
          <w:szCs w:val="18"/>
        </w:rPr>
        <w:t xml:space="preserve">  --color-indigo-light: #312E81;</w:t>
      </w:r>
    </w:p>
    <w:p>
      <w:pPr>
        <w:shd w:fill="F5F3FF" w:color="auto" w:val="clear"/>
        <w:spacing w:after="0" w:line="260"/>
      </w:pPr>
      <w:r>
        <w:rPr>
          <w:rFonts w:ascii="Consolas" w:cs="Consolas" w:eastAsia="Consolas" w:hAnsi="Consolas"/>
          <w:color w:val="1E1B4B"/>
          <w:sz w:val="18"/>
          <w:szCs w:val="18"/>
        </w:rPr>
        <w:t xml:space="preserve">  --color-indigo-deep: #C7D2FE;</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--color-bg-page: #1C1917;</w:t>
      </w:r>
    </w:p>
    <w:p>
      <w:pPr>
        <w:shd w:fill="F5F3FF" w:color="auto" w:val="clear"/>
        <w:spacing w:after="0" w:line="260"/>
      </w:pPr>
      <w:r>
        <w:rPr>
          <w:rFonts w:ascii="Consolas" w:cs="Consolas" w:eastAsia="Consolas" w:hAnsi="Consolas"/>
          <w:color w:val="1E1B4B"/>
          <w:sz w:val="18"/>
          <w:szCs w:val="18"/>
        </w:rPr>
        <w:t xml:space="preserve">  --color-bg-card: #292524;</w:t>
      </w:r>
    </w:p>
    <w:p>
      <w:pPr>
        <w:shd w:fill="F5F3FF" w:color="auto" w:val="clear"/>
        <w:spacing w:after="0" w:line="260"/>
      </w:pPr>
      <w:r>
        <w:rPr>
          <w:rFonts w:ascii="Consolas" w:cs="Consolas" w:eastAsia="Consolas" w:hAnsi="Consolas"/>
          <w:color w:val="1E1B4B"/>
          <w:sz w:val="18"/>
          <w:szCs w:val="18"/>
        </w:rPr>
        <w:t xml:space="preserve">  --color-border: #44403C;</w:t>
      </w:r>
    </w:p>
    <w:p>
      <w:pPr>
        <w:shd w:fill="F5F3FF" w:color="auto" w:val="clear"/>
        <w:spacing w:after="0" w:line="260"/>
      </w:pPr>
      <w:r>
        <w:rPr>
          <w:rFonts w:ascii="Consolas" w:cs="Consolas" w:eastAsia="Consolas" w:hAnsi="Consolas"/>
          <w:color w:val="1E1B4B"/>
          <w:sz w:val="18"/>
          <w:szCs w:val="18"/>
        </w:rPr>
        <w:t xml:space="preserve">  --color-border-strong: #57534E;</w:t>
      </w:r>
    </w:p>
    <w:p>
      <w:pPr>
        <w:shd w:fill="F5F3FF" w:color="auto" w:val="clear"/>
        <w:spacing w:after="0" w:line="260"/>
      </w:pPr>
      <w:r>
        <w:rPr>
          <w:rFonts w:ascii="Consolas" w:cs="Consolas" w:eastAsia="Consolas" w:hAnsi="Consolas"/>
          <w:color w:val="1E1B4B"/>
          <w:sz w:val="18"/>
          <w:szCs w:val="18"/>
        </w:rPr>
        <w:t xml:space="preserve">  --color-text-soft: #A8A29E;</w:t>
      </w:r>
    </w:p>
    <w:p>
      <w:pPr>
        <w:shd w:fill="F5F3FF" w:color="auto" w:val="clear"/>
        <w:spacing w:after="0" w:line="260"/>
      </w:pPr>
      <w:r>
        <w:rPr>
          <w:rFonts w:ascii="Consolas" w:cs="Consolas" w:eastAsia="Consolas" w:hAnsi="Consolas"/>
          <w:color w:val="1E1B4B"/>
          <w:sz w:val="18"/>
          <w:szCs w:val="18"/>
        </w:rPr>
        <w:t xml:space="preserve">  --color-text-strong: #FAFAF9;</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--color-success-bg: #064E3B;</w:t>
      </w:r>
    </w:p>
    <w:p>
      <w:pPr>
        <w:shd w:fill="F5F3FF" w:color="auto" w:val="clear"/>
        <w:spacing w:after="0" w:line="260"/>
      </w:pPr>
      <w:r>
        <w:rPr>
          <w:rFonts w:ascii="Consolas" w:cs="Consolas" w:eastAsia="Consolas" w:hAnsi="Consolas"/>
          <w:color w:val="1E1B4B"/>
          <w:sz w:val="18"/>
          <w:szCs w:val="18"/>
        </w:rPr>
        <w:t xml:space="preserve">  --color-success-text: #A7F3D0;</w:t>
      </w:r>
    </w:p>
    <w:p>
      <w:pPr>
        <w:shd w:fill="F5F3FF" w:color="auto" w:val="clear"/>
        <w:spacing w:after="0" w:line="260"/>
      </w:pPr>
      <w:r>
        <w:rPr>
          <w:rFonts w:ascii="Consolas" w:cs="Consolas" w:eastAsia="Consolas" w:hAnsi="Consolas"/>
          <w:color w:val="1E1B4B"/>
          <w:sz w:val="18"/>
          <w:szCs w:val="18"/>
        </w:rPr>
        <w:t xml:space="preserve">  --color-success-solid: #34D399;</w:t>
      </w:r>
    </w:p>
    <w:p>
      <w:pPr>
        <w:shd w:fill="F5F3FF" w:color="auto" w:val="clear"/>
        <w:spacing w:after="0" w:line="260"/>
      </w:pPr>
      <w:r>
        <w:rPr>
          <w:rFonts w:ascii="Consolas" w:cs="Consolas" w:eastAsia="Consolas" w:hAnsi="Consolas"/>
          <w:color w:val="1E1B4B"/>
          <w:sz w:val="18"/>
          <w:szCs w:val="18"/>
        </w:rPr>
        <w:t xml:space="preserve">  --color-warning-bg: #78350F;</w:t>
      </w:r>
    </w:p>
    <w:p>
      <w:pPr>
        <w:shd w:fill="F5F3FF" w:color="auto" w:val="clear"/>
        <w:spacing w:after="0" w:line="260"/>
      </w:pPr>
      <w:r>
        <w:rPr>
          <w:rFonts w:ascii="Consolas" w:cs="Consolas" w:eastAsia="Consolas" w:hAnsi="Consolas"/>
          <w:color w:val="1E1B4B"/>
          <w:sz w:val="18"/>
          <w:szCs w:val="18"/>
        </w:rPr>
        <w:t xml:space="preserve">  --color-warning-text: #FDE68A;</w:t>
      </w:r>
    </w:p>
    <w:p>
      <w:pPr>
        <w:shd w:fill="F5F3FF" w:color="auto" w:val="clear"/>
        <w:spacing w:after="0" w:line="260"/>
      </w:pPr>
      <w:r>
        <w:rPr>
          <w:rFonts w:ascii="Consolas" w:cs="Consolas" w:eastAsia="Consolas" w:hAnsi="Consolas"/>
          <w:color w:val="1E1B4B"/>
          <w:sz w:val="18"/>
          <w:szCs w:val="18"/>
        </w:rPr>
        <w:t xml:space="preserve">  --color-warning-solid: #FBBF24;</w:t>
      </w:r>
    </w:p>
    <w:p>
      <w:pPr>
        <w:shd w:fill="F5F3FF" w:color="auto" w:val="clear"/>
        <w:spacing w:after="0" w:line="260"/>
      </w:pPr>
      <w:r>
        <w:rPr>
          <w:rFonts w:ascii="Consolas" w:cs="Consolas" w:eastAsia="Consolas" w:hAnsi="Consolas"/>
          <w:color w:val="1E1B4B"/>
          <w:sz w:val="18"/>
          <w:szCs w:val="18"/>
        </w:rPr>
        <w:t xml:space="preserve">  --color-danger-bg: #7F1D1D;</w:t>
      </w:r>
    </w:p>
    <w:p>
      <w:pPr>
        <w:shd w:fill="F5F3FF" w:color="auto" w:val="clear"/>
        <w:spacing w:after="0" w:line="260"/>
      </w:pPr>
      <w:r>
        <w:rPr>
          <w:rFonts w:ascii="Consolas" w:cs="Consolas" w:eastAsia="Consolas" w:hAnsi="Consolas"/>
          <w:color w:val="1E1B4B"/>
          <w:sz w:val="18"/>
          <w:szCs w:val="18"/>
        </w:rPr>
        <w:t xml:space="preserve">  --color-danger-text: #FECACA;</w:t>
      </w:r>
    </w:p>
    <w:p>
      <w:pPr>
        <w:shd w:fill="F5F3FF" w:color="auto" w:val="clear"/>
        <w:spacing w:after="0" w:line="260"/>
      </w:pPr>
      <w:r>
        <w:rPr>
          <w:rFonts w:ascii="Consolas" w:cs="Consolas" w:eastAsia="Consolas" w:hAnsi="Consolas"/>
          <w:color w:val="1E1B4B"/>
          <w:sz w:val="18"/>
          <w:szCs w:val="18"/>
        </w:rPr>
        <w:t xml:space="preserve">  --color-danger-solid: #F87171;</w:t>
      </w:r>
    </w:p>
    <w:p>
      <w:pPr>
        <w:shd w:fill="F5F3FF" w:color="auto" w:val="clear"/>
        <w:spacing w:after="0" w:line="260"/>
      </w:pPr>
      <w:r>
        <w:rPr>
          <w:rFonts w:ascii="Consolas" w:cs="Consolas" w:eastAsia="Consolas" w:hAnsi="Consolas"/>
          <w:color w:val="1E1B4B"/>
          <w:sz w:val="18"/>
          <w:szCs w:val="18"/>
        </w:rPr>
        <w:t xml:space="preserve"> </w:t>
      </w:r>
    </w:p>
    <w:p>
      <w:pPr>
        <w:shd w:fill="F5F3FF" w:color="auto" w:val="clear"/>
        <w:spacing w:after="0" w:line="260"/>
      </w:pPr>
      <w:r>
        <w:rPr>
          <w:rFonts w:ascii="Consolas" w:cs="Consolas" w:eastAsia="Consolas" w:hAnsi="Consolas"/>
          <w:color w:val="1E1B4B"/>
          <w:sz w:val="18"/>
          <w:szCs w:val="18"/>
        </w:rPr>
        <w:t xml:space="preserve">  --color-official-bg: #312E81;</w:t>
      </w:r>
    </w:p>
    <w:p>
      <w:pPr>
        <w:shd w:fill="F5F3FF" w:color="auto" w:val="clear"/>
        <w:spacing w:after="0" w:line="260"/>
      </w:pPr>
      <w:r>
        <w:rPr>
          <w:rFonts w:ascii="Consolas" w:cs="Consolas" w:eastAsia="Consolas" w:hAnsi="Consolas"/>
          <w:color w:val="1E1B4B"/>
          <w:sz w:val="18"/>
          <w:szCs w:val="18"/>
        </w:rPr>
        <w:t xml:space="preserve">  --color-official-text: #C7D2FE;</w:t>
      </w:r>
    </w:p>
    <w:p>
      <w:pPr>
        <w:shd w:fill="F5F3FF" w:color="auto" w:val="clear"/>
        <w:spacing w:after="0" w:line="260"/>
      </w:pPr>
      <w:r>
        <w:rPr>
          <w:rFonts w:ascii="Consolas" w:cs="Consolas" w:eastAsia="Consolas" w:hAnsi="Consolas"/>
          <w:color w:val="1E1B4B"/>
          <w:sz w:val="18"/>
          <w:szCs w:val="18"/>
        </w:rPr>
        <w:t xml:space="preserve">  --color-custom-bg: #4C1D95;</w:t>
      </w:r>
    </w:p>
    <w:p>
      <w:pPr>
        <w:shd w:fill="F5F3FF" w:color="auto" w:val="clear"/>
        <w:spacing w:after="0" w:line="260"/>
      </w:pPr>
      <w:r>
        <w:rPr>
          <w:rFonts w:ascii="Consolas" w:cs="Consolas" w:eastAsia="Consolas" w:hAnsi="Consolas"/>
          <w:color w:val="1E1B4B"/>
          <w:sz w:val="18"/>
          <w:szCs w:val="18"/>
        </w:rPr>
        <w:t xml:space="preserve">  --color-custom-text: #DDD6FE;</w:t>
      </w:r>
    </w:p>
    <w:p>
      <w:pPr>
        <w:shd w:fill="F5F3FF" w:color="auto" w:val="clear"/>
        <w:spacing w:after="0" w:line="260"/>
      </w:pPr>
      <w:r>
        <w:rPr>
          <w:rFonts w:ascii="Consolas" w:cs="Consolas" w:eastAsia="Consolas" w:hAnsi="Consolas"/>
          <w:color w:val="1E1B4B"/>
          <w:sz w:val="18"/>
          <w:szCs w:val="18"/>
        </w:rPr>
        <w:t xml:space="preserve">}</w:t>
      </w:r>
    </w:p>
    <w:p>
      <w:pPr>
        <w:pStyle w:val="Heading2"/>
        <w:spacing w:after="160" w:before="280"/>
      </w:pPr>
      <w:r>
        <w:rPr>
          <w:b/>
          <w:bCs/>
          <w:color w:val="4F46E5"/>
          <w:sz w:val="26"/>
          <w:szCs w:val="26"/>
        </w:rPr>
        <w:t xml:space="preserve">14.3 Gouvernance de la charte</w:t>
      </w:r>
    </w:p>
    <w:p>
      <w:pPr>
        <w:spacing w:after="120" w:line="300"/>
      </w:pPr>
      <w:r>
        <w:t xml:space="preserve">Cette charte est un document vivant qui évoluera avec le produit. Toute modification doit :</w:t>
      </w:r>
    </w:p>
    <w:p>
      <w:pPr>
        <w:pStyle w:val="ListParagraph"/>
        <w:numPr>
          <w:ilvl w:val="0"/>
          <w:numId w:val="2"/>
        </w:numPr>
        <w:spacing w:after="80"/>
      </w:pPr>
      <w:r>
        <w:t xml:space="preserve">Être justifiée par un besoin utilisateur réel, pas par une préférence esthétique</w:t>
      </w:r>
    </w:p>
    <w:p>
      <w:pPr>
        <w:pStyle w:val="ListParagraph"/>
        <w:numPr>
          <w:ilvl w:val="0"/>
          <w:numId w:val="2"/>
        </w:numPr>
        <w:spacing w:after="80"/>
      </w:pPr>
      <w:r>
        <w:t xml:space="preserve">Être documentée dans un journal de version en tête de ce document</w:t>
      </w:r>
    </w:p>
    <w:p>
      <w:pPr>
        <w:pStyle w:val="ListParagraph"/>
        <w:numPr>
          <w:ilvl w:val="0"/>
          <w:numId w:val="2"/>
        </w:numPr>
        <w:spacing w:after="80"/>
      </w:pPr>
      <w:r>
        <w:t xml:space="preserve">Respecter les trois principes fondateurs (lisibilité, modernité sans effet gratuit, neutralité culturelle)</w:t>
      </w:r>
    </w:p>
    <w:p>
      <w:pPr>
        <w:pStyle w:val="ListParagraph"/>
        <w:numPr>
          <w:ilvl w:val="0"/>
          <w:numId w:val="2"/>
        </w:numPr>
        <w:spacing w:after="80"/>
      </w:pPr>
      <w:r>
        <w:t xml:space="preserve">Être validée collégialement avant d'être appliquée</w:t>
      </w:r>
    </w:p>
    <w:p>
      <w:pPr>
        <w:spacing w:after="120" w:line="300"/>
      </w:pPr>
      <w:r>
        <w:t xml:space="preserve">Toute équipe intervenant sur l'interface (design, développement, contenu) doit se référer à cette charte comme source unique de vérité. En cas de conflit entre cette charte et une décision technique locale, cette charte prévaut, sauf décision explicite de l'équipe produit.</w:t>
      </w:r>
    </w:p>
    <w:p>
      <w:pPr>
        <w:spacing w:before="400"/>
        <w:jc w:val="center"/>
      </w:pPr>
      <w:r>
        <w:rPr>
          <w:i/>
          <w:iCs/>
          <w:color w:val="78716C"/>
          <w:sz w:val="20"/>
          <w:szCs w:val="20"/>
        </w:rPr>
        <w:t xml:space="preserve">Document de référence — équipe produit Daeko</w:t>
      </w:r>
    </w:p>
    <w:p>
      <w:pPr>
        <w:jc w:val="center"/>
      </w:pPr>
      <w:r>
        <w:rPr>
          <w:i/>
          <w:iCs/>
          <w:color w:val="78716C"/>
          <w:sz w:val="20"/>
          <w:szCs w:val="20"/>
        </w:rPr>
        <w:t xml:space="preserve">Version 1.0 · Référence DAEKO-CG-1.0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8"/>
        <w:szCs w:val="18"/>
      </w:rPr>
      <w:t xml:space="preserve">DAEKO-CG-1.0 — page </w:t>
    </w:r>
    <w:r>
      <w:rPr>
        <w:color w:val="78716C"/>
        <w:sz w:val="18"/>
        <w:szCs w:val="18"/>
      </w:rPr>
      <w:fldChar w:fldCharType="begin"/>
      <w:instrText xml:space="preserve">PAGE</w:instrText>
      <w:fldChar w:fldCharType="separate"/>
      <w:fldChar w:fldCharType="end"/>
    </w:r>
    <w:r>
      <w:rPr>
        <w:color w:val="78716C"/>
        <w:sz w:val="18"/>
        <w:szCs w:val="18"/>
      </w:rPr>
      <w:t xml:space="preserve"> / </w:t>
    </w:r>
    <w:r>
      <w:rPr>
        <w:color w:val="78716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E1B4B"/>
      <w:sz w:val="32"/>
      <w:szCs w:val="32"/>
    </w:rPr>
  </w:style>
  <w:style w:type="paragraph" w:styleId="Heading2">
    <w:name w:val="Heading 2"/>
    <w:basedOn w:val="Normal"/>
    <w:next w:val="Normal"/>
    <w:qFormat/>
    <w:pPr>
      <w:spacing w:after="160" w:before="280"/>
    </w:pPr>
    <w:rPr>
      <w:rFonts w:ascii="Calibri" w:cs="Calibri" w:eastAsia="Calibri" w:hAnsi="Calibri"/>
      <w:b/>
      <w:bCs/>
      <w:color w:val="4F46E5"/>
      <w:sz w:val="26"/>
      <w:szCs w:val="26"/>
    </w:rPr>
  </w:style>
  <w:style w:type="paragraph" w:styleId="Heading3">
    <w:name w:val="Heading 3"/>
    <w:basedOn w:val="Normal"/>
    <w:next w:val="Normal"/>
    <w:qFormat/>
    <w:pPr>
      <w:spacing w:after="120" w:before="220"/>
    </w:pPr>
    <w:rPr>
      <w:rFonts w:ascii="Calibri" w:cs="Calibri" w:eastAsia="Calibri" w:hAnsi="Calibri"/>
      <w:b/>
      <w:bCs/>
      <w:color w:val="4F46E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graphique Daeko</dc:title>
  <dc:creator>Équipe produit Daeko</dc:creator>
  <cp:lastModifiedBy>Un-named</cp:lastModifiedBy>
  <cp:revision>1</cp:revision>
  <dcterms:created xsi:type="dcterms:W3CDTF">2026-07-21T23:53:39.191Z</dcterms:created>
  <dcterms:modified xsi:type="dcterms:W3CDTF">2026-07-21T23:53:39.205Z</dcterms:modified>
</cp:coreProperties>
</file>

<file path=docProps/custom.xml><?xml version="1.0" encoding="utf-8"?>
<Properties xmlns="http://schemas.openxmlformats.org/officeDocument/2006/custom-properties" xmlns:vt="http://schemas.openxmlformats.org/officeDocument/2006/docPropsVTypes"/>
</file>