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B3A5E"/>
          <w:sz w:val="44"/>
        </w:rPr>
        <w:t>A0 AND Gate</w:t>
      </w:r>
    </w:p>
    <w:p>
      <w:pPr>
        <w:spacing w:after="160"/>
      </w:pPr>
      <w:r>
        <w:rPr>
          <w:color w:val="495057"/>
          <w:sz w:val="24"/>
        </w:rPr>
        <w:t>Architecture brief — parts, rules, measurements, decisions</w:t>
      </w:r>
    </w:p>
    <w:p>
      <w:pPr>
        <w:spacing w:after="120"/>
      </w:pPr>
      <w:r>
        <w:rPr>
          <w:b w:val="0"/>
          <w:i w:val="0"/>
          <w:sz w:val="19"/>
        </w:rPr>
        <w:t xml:space="preserve">One mRNA that produces GFP only when two RNA inputs are present together. A main hairpin sequesters the ribosome binding site and the start codon; an inhibitory hairpin immediately upstream of it sequesters the site where the main trigger would land. </w:t>
      </w:r>
      <w:r>
        <w:rPr>
          <w:b/>
          <w:i w:val="0"/>
          <w:sz w:val="19"/>
        </w:rPr>
        <w:t>Trigger B</w:t>
      </w:r>
      <w:r>
        <w:rPr>
          <w:b w:val="0"/>
          <w:i w:val="0"/>
          <w:sz w:val="19"/>
        </w:rPr>
        <w:t xml:space="preserve"> opens the inhibitory hairpin and exposes that site; </w:t>
      </w:r>
      <w:r>
        <w:rPr>
          <w:b/>
          <w:i w:val="0"/>
          <w:sz w:val="19"/>
        </w:rPr>
        <w:t>trigger A</w:t>
      </w:r>
      <w:r>
        <w:rPr>
          <w:b w:val="0"/>
          <w:i w:val="0"/>
          <w:sz w:val="19"/>
        </w:rPr>
        <w:t xml:space="preserve"> then opens the main hairpin. The variant is named A0 because the spacer between the two hairpins, a, is </w:t>
      </w:r>
      <w:r>
        <w:rPr>
          <w:b/>
          <w:i w:val="0"/>
          <w:sz w:val="19"/>
        </w:rPr>
        <w:t>0</w:t>
      </w:r>
      <w:r>
        <w:rPr>
          <w:b w:val="0"/>
          <w:i w:val="0"/>
          <w:sz w:val="19"/>
        </w:rPr>
        <w:t xml:space="preserve"> — so trigger A has no exposed nucleotide anywhere on the switch until trigger B has acted.</w:t>
      </w:r>
    </w:p>
    <w:p>
      <w:pPr>
        <w:spacing w:after="160"/>
      </w:pPr>
      <w:r>
        <w:rPr>
          <w:b w:val="0"/>
          <w:i/>
          <w:color w:val="495057"/>
          <w:sz w:val="18"/>
        </w:rPr>
        <w:t>This brief states what the construct is. The companion specification carries the measurements behind each number.</w:t>
      </w:r>
    </w:p>
    <w:p>
      <w:pPr>
        <w:keepNext/>
        <w:spacing w:before="360" w:after="120"/>
        <w:pBdr>
          <w:bottom w:val="single" w:sz="6" w:space="3" w:color="1B3A5E"/>
        </w:pBdr>
      </w:pPr>
      <w:r>
        <w:rPr>
          <w:b/>
          <w:color w:val="1B3A5E"/>
          <w:sz w:val="28"/>
        </w:rPr>
        <w:t>1.  The construct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129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29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 w:val="0"/>
          <w:color w:val="495057"/>
          <w:sz w:val="17"/>
        </w:rPr>
        <w:t>Figure 1.</w:t>
      </w:r>
      <w:r>
        <w:rPr>
          <w:b w:val="0"/>
          <w:i/>
          <w:color w:val="495057"/>
          <w:sz w:val="17"/>
        </w:rPr>
        <w:t xml:space="preserve"> The switch in the OFF state, and the two triggers. Domains that pair share a colour. </w:t>
      </w:r>
      <w:r>
        <w:rPr>
          <w:b/>
          <w:i w:val="0"/>
          <w:color w:val="495057"/>
          <w:sz w:val="17"/>
        </w:rPr>
        <w:t>|x| = 9 is drawn only as an example</w:t>
      </w:r>
      <w:r>
        <w:rPr>
          <w:b w:val="0"/>
          <w:i/>
          <w:color w:val="495057"/>
          <w:sz w:val="17"/>
        </w:rPr>
        <w:t xml:space="preserve"> — len_x is the one free design parameter, and len_k2 = 18 − len_x follows from it, so both change together (R10).</w:t>
      </w:r>
    </w:p>
    <w:p>
      <w:pPr>
        <w:keepNext/>
        <w:pageBreakBefore/>
        <w:spacing w:before="240" w:after="60"/>
      </w:pPr>
      <w:r>
        <w:rPr>
          <w:b/>
          <w:color w:val="1B3A5E"/>
          <w:sz w:val="22"/>
        </w:rPr>
        <w:t>1.1  Every element, 5' → 3'</w:t>
      </w:r>
    </w:p>
    <w:p>
      <w:pPr>
        <w:spacing w:after="120"/>
      </w:pPr>
      <w:r>
        <w:rPr>
          <w:b w:val="0"/>
          <w:i w:val="0"/>
          <w:sz w:val="18"/>
        </w:rPr>
        <w:t xml:space="preserve">“Pairs with” describes the OFF state. Only </w:t>
      </w:r>
      <w:r>
        <w:rPr>
          <w:b/>
          <w:i w:val="0"/>
          <w:sz w:val="18"/>
        </w:rPr>
        <w:t>len_x</w:t>
      </w:r>
      <w:r>
        <w:rPr>
          <w:b w:val="0"/>
          <w:i w:val="0"/>
          <w:sz w:val="18"/>
        </w:rPr>
        <w:t xml:space="preserve"> and </w:t>
      </w:r>
      <w:r>
        <w:rPr>
          <w:b/>
          <w:i w:val="0"/>
          <w:sz w:val="18"/>
        </w:rPr>
        <w:t>len_r2</w:t>
      </w:r>
      <w:r>
        <w:rPr>
          <w:b w:val="0"/>
          <w:i w:val="0"/>
          <w:sz w:val="18"/>
        </w:rPr>
        <w:t xml:space="preserve"> are free; everything else is fixed or derived.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397"/>
            <w:shd w:val="clear" w:color="auto" w:fill="1B3A5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#</w:t>
            </w:r>
          </w:p>
        </w:tc>
        <w:tc>
          <w:tcPr>
            <w:tcW w:type="dxa" w:w="1757"/>
            <w:shd w:val="clear" w:color="auto" w:fill="1B3A5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element</w:t>
            </w:r>
          </w:p>
        </w:tc>
        <w:tc>
          <w:tcPr>
            <w:tcW w:type="dxa" w:w="2438"/>
            <w:shd w:val="clear" w:color="auto" w:fill="1B3A5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pairs with</w:t>
            </w:r>
          </w:p>
        </w:tc>
        <w:tc>
          <w:tcPr>
            <w:tcW w:type="dxa" w:w="1417"/>
            <w:shd w:val="clear" w:color="auto" w:fill="1B3A5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length (nt)</w:t>
            </w:r>
          </w:p>
        </w:tc>
        <w:tc>
          <w:tcPr>
            <w:tcW w:type="dxa" w:w="3628"/>
            <w:shd w:val="clear" w:color="auto" w:fill="1B3A5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sequence determined by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cap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— free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fixed: GGG</w:t>
            </w:r>
          </w:p>
        </w:tc>
      </w:tr>
      <w:tr>
        <w:tc>
          <w:tcPr>
            <w:tcW w:type="dxa" w:w="39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175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r2*</w:t>
            </w:r>
          </w:p>
        </w:tc>
        <w:tc>
          <w:tcPr>
            <w:tcW w:type="dxa" w:w="2438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— free (trigger-B toehold)</w:t>
            </w:r>
          </w:p>
        </w:tc>
        <w:tc>
          <w:tcPr>
            <w:tcW w:type="dxa" w:w="141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len_r2 = 32</w:t>
            </w:r>
          </w:p>
        </w:tc>
        <w:tc>
          <w:tcPr>
            <w:tcW w:type="dxa" w:w="3628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revcomp(r2); gene B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Secondary_pre*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x*  (#9)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len_x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= x; gene A</w:t>
            </w:r>
          </w:p>
        </w:tc>
      </w:tr>
      <w:tr>
        <w:tc>
          <w:tcPr>
            <w:tcW w:type="dxa" w:w="39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4</w:t>
            </w:r>
          </w:p>
        </w:tc>
        <w:tc>
          <w:tcPr>
            <w:tcW w:type="dxa" w:w="175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k2*</w:t>
            </w:r>
          </w:p>
        </w:tc>
        <w:tc>
          <w:tcPr>
            <w:tcW w:type="dxa" w:w="2438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SecondaryZ  (#8)</w:t>
            </w:r>
          </w:p>
        </w:tc>
        <w:tc>
          <w:tcPr>
            <w:tcW w:type="dxa" w:w="141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18 − len_x</w:t>
            </w:r>
          </w:p>
        </w:tc>
        <w:tc>
          <w:tcPr>
            <w:tcW w:type="dxa" w:w="3628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revcomp(k2); gene B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5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SUSA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SUSD  (#7)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placeholder</w:t>
            </w:r>
          </w:p>
        </w:tc>
      </w:tr>
      <w:tr>
        <w:tc>
          <w:tcPr>
            <w:tcW w:type="dxa" w:w="39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6</w:t>
            </w:r>
          </w:p>
        </w:tc>
        <w:tc>
          <w:tcPr>
            <w:tcW w:type="dxa" w:w="175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Secondary loop</w:t>
            </w:r>
          </w:p>
        </w:tc>
        <w:tc>
          <w:tcPr>
            <w:tcW w:type="dxa" w:w="2438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— free</w:t>
            </w:r>
          </w:p>
        </w:tc>
        <w:tc>
          <w:tcPr>
            <w:tcW w:type="dxa" w:w="141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15</w:t>
            </w:r>
          </w:p>
        </w:tc>
        <w:tc>
          <w:tcPr>
            <w:tcW w:type="dxa" w:w="3628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fixed; must carry no RBS-like motif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7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SUSD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SUSA  (#5)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placeholder</w:t>
            </w:r>
          </w:p>
        </w:tc>
      </w:tr>
      <w:tr>
        <w:tc>
          <w:tcPr>
            <w:tcW w:type="dxa" w:w="39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8</w:t>
            </w:r>
          </w:p>
        </w:tc>
        <w:tc>
          <w:tcPr>
            <w:tcW w:type="dxa" w:w="175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SecondaryZ</w:t>
            </w:r>
          </w:p>
        </w:tc>
        <w:tc>
          <w:tcPr>
            <w:tcW w:type="dxa" w:w="2438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k2*  (#4)</w:t>
            </w:r>
          </w:p>
        </w:tc>
        <w:tc>
          <w:tcPr>
            <w:tcW w:type="dxa" w:w="141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18 − len_x</w:t>
            </w:r>
          </w:p>
        </w:tc>
        <w:tc>
          <w:tcPr>
            <w:tcW w:type="dxa" w:w="3628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≈ k2, weakened by ddG_pref (R6)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9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x*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Secondary_pre*  (#3)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len_x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revcomp(x); gene A</w:t>
            </w:r>
          </w:p>
        </w:tc>
      </w:tr>
      <w:tr>
        <w:tc>
          <w:tcPr>
            <w:tcW w:type="dxa" w:w="39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10</w:t>
            </w:r>
          </w:p>
        </w:tc>
        <w:tc>
          <w:tcPr>
            <w:tcW w:type="dxa" w:w="175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a</w:t>
            </w:r>
          </w:p>
        </w:tc>
        <w:tc>
          <w:tcPr>
            <w:tcW w:type="dxa" w:w="2438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— free</w:t>
            </w:r>
          </w:p>
        </w:tc>
        <w:tc>
          <w:tcPr>
            <w:tcW w:type="dxa" w:w="141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5"/>
              </w:rPr>
              <w:t>0</w:t>
            </w:r>
          </w:p>
        </w:tc>
        <w:tc>
          <w:tcPr>
            <w:tcW w:type="dxa" w:w="3628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the defining parameter of A0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11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Main_pre*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Main_pre  (#19)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5"/>
              </w:rPr>
              <w:t>9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revcomp(Main_pre); gene A</w:t>
            </w:r>
          </w:p>
        </w:tc>
      </w:tr>
      <w:tr>
        <w:tc>
          <w:tcPr>
            <w:tcW w:type="dxa" w:w="39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12</w:t>
            </w:r>
          </w:p>
        </w:tc>
        <w:tc>
          <w:tcPr>
            <w:tcW w:type="dxa" w:w="175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opposing_bulge</w:t>
            </w:r>
          </w:p>
        </w:tc>
        <w:tc>
          <w:tcPr>
            <w:tcW w:type="dxa" w:w="2438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— free in OFF;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sz w:val="15"/>
              </w:rPr>
              <w:t>paired by trigger A in ON</w:t>
            </w:r>
          </w:p>
        </w:tc>
        <w:tc>
          <w:tcPr>
            <w:tcW w:type="dxa" w:w="141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  <w:tc>
          <w:tcPr>
            <w:tcW w:type="dxa" w:w="3628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revcomp of trigger A's 3 nt (R7)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13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k1*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MainZ  (#17)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5"/>
              </w:rPr>
              <w:t>6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revcomp(k1); gene A</w:t>
            </w:r>
          </w:p>
        </w:tc>
      </w:tr>
      <w:tr>
        <w:tc>
          <w:tcPr>
            <w:tcW w:type="dxa" w:w="39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14</w:t>
            </w:r>
          </w:p>
        </w:tc>
        <w:tc>
          <w:tcPr>
            <w:tcW w:type="dxa" w:w="175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MUSA</w:t>
            </w:r>
          </w:p>
        </w:tc>
        <w:tc>
          <w:tcPr>
            <w:tcW w:type="dxa" w:w="2438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MUSD  (#16)</w:t>
            </w:r>
          </w:p>
        </w:tc>
        <w:tc>
          <w:tcPr>
            <w:tcW w:type="dxa" w:w="141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  <w:tc>
          <w:tcPr>
            <w:tcW w:type="dxa" w:w="3628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placeholder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15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RBS loop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— free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18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fixed; RBS flush at its 3' end</w:t>
            </w:r>
          </w:p>
        </w:tc>
      </w:tr>
      <w:tr>
        <w:tc>
          <w:tcPr>
            <w:tcW w:type="dxa" w:w="39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16</w:t>
            </w:r>
          </w:p>
        </w:tc>
        <w:tc>
          <w:tcPr>
            <w:tcW w:type="dxa" w:w="175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MUSD</w:t>
            </w:r>
          </w:p>
        </w:tc>
        <w:tc>
          <w:tcPr>
            <w:tcW w:type="dxa" w:w="2438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MUSA  (#14)</w:t>
            </w:r>
          </w:p>
        </w:tc>
        <w:tc>
          <w:tcPr>
            <w:tcW w:type="dxa" w:w="141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  <w:tc>
          <w:tcPr>
            <w:tcW w:type="dxa" w:w="3628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placeholder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17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MainZ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k1*  (#13)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5"/>
              </w:rPr>
              <w:t>6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≈ k1, weakened by ddG_pref (R6)</w:t>
            </w:r>
          </w:p>
        </w:tc>
      </w:tr>
      <w:tr>
        <w:tc>
          <w:tcPr>
            <w:tcW w:type="dxa" w:w="39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18</w:t>
            </w:r>
          </w:p>
        </w:tc>
        <w:tc>
          <w:tcPr>
            <w:tcW w:type="dxa" w:w="175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AUG</w:t>
            </w:r>
          </w:p>
        </w:tc>
        <w:tc>
          <w:tcPr>
            <w:tcW w:type="dxa" w:w="2438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— free</w:t>
            </w:r>
          </w:p>
        </w:tc>
        <w:tc>
          <w:tcPr>
            <w:tcW w:type="dxa" w:w="141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  <w:tc>
          <w:tcPr>
            <w:tcW w:type="dxa" w:w="3628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fixed: start codon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19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Main_pre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Main_pre*  (#11)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5"/>
              </w:rPr>
              <w:t>9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gene A</w:t>
            </w:r>
          </w:p>
        </w:tc>
      </w:tr>
      <w:tr>
        <w:tc>
          <w:tcPr>
            <w:tcW w:type="dxa" w:w="39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20</w:t>
            </w:r>
          </w:p>
        </w:tc>
        <w:tc>
          <w:tcPr>
            <w:tcW w:type="dxa" w:w="175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LINKER</w:t>
            </w:r>
          </w:p>
        </w:tc>
        <w:tc>
          <w:tcPr>
            <w:tcW w:type="dxa" w:w="2438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— free</w:t>
            </w:r>
          </w:p>
        </w:tc>
        <w:tc>
          <w:tcPr>
            <w:tcW w:type="dxa" w:w="1417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21</w:t>
            </w:r>
          </w:p>
        </w:tc>
        <w:tc>
          <w:tcPr>
            <w:tcW w:type="dxa" w:w="3628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fixed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21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GFP CDS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— free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759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5"/>
              </w:rPr>
              <w:t>fixed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/>
          <w:color w:val="495057"/>
          <w:sz w:val="16"/>
        </w:rPr>
        <w:t>len_x is the only free parameter</w:t>
      </w:r>
      <w:r>
        <w:rPr>
          <w:b w:val="0"/>
          <w:i/>
          <w:color w:val="495057"/>
          <w:sz w:val="16"/>
        </w:rPr>
        <w:t xml:space="preserve">; len_k2 = 18 − len_x follows from it. Elements 5, 7, 10, 14 and 16 are zero-length </w:t>
      </w:r>
      <w:r>
        <w:rPr>
          <w:b/>
          <w:i/>
          <w:color w:val="495057"/>
          <w:sz w:val="16"/>
        </w:rPr>
        <w:t>placeholders</w:t>
      </w:r>
      <w:r>
        <w:rPr>
          <w:b w:val="0"/>
          <w:i/>
          <w:color w:val="495057"/>
          <w:sz w:val="16"/>
        </w:rPr>
        <w:t>, kept in the layout so a future version can add an upper stem to either hairpin, or re-open the inter-hairpin spacer, without renumbering anything.</w:t>
      </w:r>
    </w:p>
    <w:p>
      <w:pPr>
        <w:keepNext/>
        <w:spacing w:before="240" w:after="60"/>
      </w:pPr>
      <w:r>
        <w:rPr>
          <w:b/>
          <w:color w:val="1B3A5E"/>
          <w:sz w:val="22"/>
        </w:rPr>
        <w:t>1.2  The two triggers</w:t>
      </w:r>
    </w:p>
    <w:p>
      <w:pPr>
        <w:spacing w:after="40"/>
        <w:ind w:left="283"/>
      </w:pPr>
      <w:r>
        <w:rPr>
          <w:rFonts w:ascii="Consolas" w:hAnsi="Consolas"/>
          <w:sz w:val="17"/>
        </w:rPr>
        <w:t>Trigger A  (main, gene A)       5'-  k1 - opposing_bulge - Main_pre - a - x  -3'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Trigger B  (secondary, gene B)  5'-  k2 - Secondary_pre - r2               -3'</w:t>
      </w:r>
    </w:p>
    <w:p>
      <w:pPr>
        <w:spacing w:after="120"/>
      </w:pPr>
      <w:r>
        <w:rPr>
          <w:b/>
          <w:i w:val="0"/>
          <w:sz w:val="18"/>
        </w:rPr>
        <w:t>Reading rule.</w:t>
      </w:r>
      <w:r>
        <w:rPr>
          <w:b w:val="0"/>
          <w:i w:val="0"/>
          <w:sz w:val="18"/>
        </w:rPr>
        <w:t xml:space="preserve"> A trigger binds antiparallel, so its 5' end pairs with the </w:t>
      </w:r>
      <w:r>
        <w:rPr>
          <w:b/>
          <w:i w:val="0"/>
          <w:sz w:val="18"/>
        </w:rPr>
        <w:t>3'-most</w:t>
      </w:r>
      <w:r>
        <w:rPr>
          <w:b w:val="0"/>
          <w:i w:val="0"/>
          <w:sz w:val="18"/>
        </w:rPr>
        <w:t xml:space="preserve"> element of its footprint on the switch. Listing a trigger's domains in switch order gives the reverse of the correct sequence.</w:t>
      </w:r>
    </w:p>
    <w:p>
      <w:pPr>
        <w:spacing w:after="120"/>
      </w:pPr>
      <w:r>
        <w:rPr>
          <w:b/>
          <w:i w:val="0"/>
          <w:sz w:val="18"/>
        </w:rPr>
        <w:t>The shared domain.</w:t>
      </w:r>
      <w:r>
        <w:rPr>
          <w:b w:val="0"/>
          <w:i w:val="0"/>
          <w:sz w:val="18"/>
        </w:rPr>
        <w:t xml:space="preserve"> Secondary_pre = x*, so trigger A carries x and trigger B carries x*. That overlap is what couples the two halves of the gate — and it is also what lets the two triggers bind each other instead of the switch (R10).</w:t>
      </w:r>
    </w:p>
    <w:p>
      <w:pPr>
        <w:keepNext/>
        <w:spacing w:before="240" w:after="60"/>
      </w:pPr>
      <w:r>
        <w:rPr>
          <w:b/>
          <w:color w:val="1B3A5E"/>
          <w:sz w:val="22"/>
        </w:rPr>
        <w:t>1.3  The four states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794"/>
            <w:shd w:val="clear" w:color="auto" w:fill="1B3A5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1474"/>
            <w:shd w:val="clear" w:color="auto" w:fill="1B3A5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6236"/>
            <w:shd w:val="clear" w:color="auto" w:fill="1B3A5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what happens</w:t>
            </w:r>
          </w:p>
        </w:tc>
        <w:tc>
          <w:tcPr>
            <w:tcW w:type="dxa" w:w="1134"/>
            <w:shd w:val="clear" w:color="auto" w:fill="1B3A5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00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neither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both hairpins closed; x* is paired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OFF</w:t>
            </w:r>
          </w:p>
        </w:tc>
      </w:tr>
      <w:tr>
        <w:tc>
          <w:tcPr>
            <w:tcW w:type="dxa" w:w="794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474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trigger A only</w:t>
            </w:r>
          </w:p>
        </w:tc>
        <w:tc>
          <w:tcPr>
            <w:tcW w:type="dxa" w:w="6236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x* still paired — A has nothing to nucleate on</w:t>
            </w:r>
          </w:p>
        </w:tc>
        <w:tc>
          <w:tcPr>
            <w:tcW w:type="dxa" w:w="1134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OFF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01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trigger B only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secondary hairpin opens and frees x*; the AUG stays locked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OFF</w:t>
            </w:r>
          </w:p>
        </w:tc>
      </w:tr>
      <w:tr>
        <w:tc>
          <w:tcPr>
            <w:tcW w:type="dxa" w:w="794"/>
            <w:shd w:val="clear" w:color="auto" w:fill="EAF3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1474"/>
            <w:shd w:val="clear" w:color="auto" w:fill="EAF3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A + B</w:t>
            </w:r>
          </w:p>
        </w:tc>
        <w:tc>
          <w:tcPr>
            <w:tcW w:type="dxa" w:w="6236"/>
            <w:shd w:val="clear" w:color="auto" w:fill="EAF3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A nucleates on the freed x*, then branch-migrates through Main_pre* and k1*, displacing MainZ and Main_pre and freeing the start codon</w:t>
            </w:r>
          </w:p>
        </w:tc>
        <w:tc>
          <w:tcPr>
            <w:tcW w:type="dxa" w:w="1134"/>
            <w:shd w:val="clear" w:color="auto" w:fill="EAF3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ON</w:t>
            </w:r>
          </w:p>
        </w:tc>
      </w:tr>
    </w:tbl>
    <w:p>
      <w:pPr>
        <w:spacing w:after="80"/>
      </w:pPr>
    </w:p>
    <w:p>
      <w:pPr>
        <w:keepNext/>
        <w:pageBreakBefore/>
        <w:spacing w:before="360" w:after="120"/>
        <w:pBdr>
          <w:bottom w:val="single" w:sz="6" w:space="3" w:color="1B3A5E"/>
        </w:pBdr>
      </w:pPr>
      <w:r>
        <w:rPr>
          <w:b/>
          <w:color w:val="1B3A5E"/>
          <w:sz w:val="28"/>
        </w:rPr>
        <w:t>2.  Design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624"/>
            <w:shd w:val="clear" w:color="auto" w:fill="1B3A5E"/>
          </w:tcPr>
          <w:p>
            <w:pPr>
              <w:spacing w:before="40" w:after="40"/>
            </w:pPr>
            <w:r/>
          </w:p>
        </w:tc>
        <w:tc>
          <w:tcPr>
            <w:tcW w:type="dxa" w:w="3685"/>
            <w:shd w:val="clear" w:color="auto" w:fill="1B3A5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5329"/>
            <w:shd w:val="clear" w:color="auto" w:fill="1B3A5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R1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Both hairpin arms span 18 nt</w:t>
            </w:r>
            <w:r>
              <w:rPr>
                <w:rFonts w:ascii="Calibri" w:hAnsi="Calibri"/>
                <w:b w:val="0"/>
                <w:sz w:val="16"/>
              </w:rPr>
              <w:t xml:space="preserve">, counting the bulge. Main hairpin: len_main_pre (9) + bulge (3) + len_k1 (6) = 18, so </w:t>
            </w:r>
            <w:r>
              <w:rPr>
                <w:rFonts w:ascii="Calibri" w:hAnsi="Calibri"/>
                <w:b/>
                <w:sz w:val="16"/>
              </w:rPr>
              <w:t>15 bp are paired</w:t>
            </w:r>
            <w:r>
              <w:rPr>
                <w:rFonts w:ascii="Calibri" w:hAnsi="Calibri"/>
                <w:b w:val="0"/>
                <w:sz w:val="16"/>
              </w:rPr>
              <w:t>. Secondary hairpin: len_x + len_k2 = 18, no bulge, so 18 bp are paired.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 xml:space="preserve">Measured from the published sequences: Green's main arm is 9 + 3 + 6 and Kim's is 11 + 1 + 6 — </w:t>
            </w:r>
            <w:r>
              <w:rPr>
                <w:rFonts w:ascii="Calibri" w:hAnsi="Calibri"/>
                <w:b/>
                <w:sz w:val="16"/>
              </w:rPr>
              <w:t>both span exactly 18 nt</w:t>
            </w:r>
            <w:r>
              <w:rPr>
                <w:rFonts w:ascii="Calibri" w:hAnsi="Calibri"/>
                <w:b w:val="0"/>
                <w:sz w:val="16"/>
              </w:rPr>
              <w:t>. Counting 18 base pairs instead would give a 21-nt arm, deeper than anything either group or we have built.</w:t>
            </w:r>
          </w:p>
        </w:tc>
      </w:tr>
      <w:tr>
        <w:tc>
          <w:tcPr>
            <w:tcW w:type="dxa" w:w="624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R2</w:t>
            </w:r>
          </w:p>
        </w:tc>
        <w:tc>
          <w:tcPr>
            <w:tcW w:type="dxa" w:w="3685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len_k1 = 6</w:t>
            </w:r>
            <w:r>
              <w:rPr>
                <w:rFonts w:ascii="Calibri" w:hAnsi="Calibri"/>
                <w:b w:val="0"/>
                <w:sz w:val="16"/>
              </w:rPr>
              <w:t xml:space="preserve">, which with R1 gives </w:t>
            </w:r>
            <w:r>
              <w:rPr>
                <w:rFonts w:ascii="Calibri" w:hAnsi="Calibri"/>
                <w:b/>
                <w:sz w:val="16"/>
              </w:rPr>
              <w:t>len_main_pre = 9</w:t>
            </w:r>
            <w:r>
              <w:rPr>
                <w:rFonts w:ascii="Calibri" w:hAnsi="Calibri"/>
                <w:b w:val="0"/>
                <w:sz w:val="16"/>
              </w:rPr>
              <w:t>.</w:t>
            </w:r>
          </w:p>
        </w:tc>
        <w:tc>
          <w:tcPr>
            <w:tcW w:type="dxa" w:w="5329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 xml:space="preserve">The RBS sits flush against the 3' end of its loop, so len_k1 </w:t>
            </w:r>
            <w:r>
              <w:rPr>
                <w:rFonts w:ascii="Calibri" w:hAnsi="Calibri"/>
                <w:b/>
                <w:sz w:val="16"/>
              </w:rPr>
              <w:t>is</w:t>
            </w:r>
            <w:r>
              <w:rPr>
                <w:rFonts w:ascii="Calibri" w:hAnsi="Calibri"/>
                <w:b w:val="0"/>
                <w:sz w:val="16"/>
              </w:rPr>
              <w:t xml:space="preserve"> the Shine–Dalgarno-to-start-codon spacing. That spacing is 6 nt in Green, in Kim, and in all five of our own tested switches. 9 + 3 + 6 then reproduces Green's Series A main hairpin exactly, and equals our own deepest tested candidate.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R3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a = 0.</w:t>
            </w:r>
            <w:r>
              <w:rPr>
                <w:rFonts w:ascii="Calibri" w:hAnsi="Calibri"/>
                <w:b w:val="0"/>
                <w:sz w:val="16"/>
              </w:rPr>
              <w:t xml:space="preserve"> The two hairpins are directly adjacent.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The defining parameter. Kim's series shows the gate becomes more AND-like as a shrinks; A0 takes it to the limit, so the dependency is structural rather than a matter of degree.</w:t>
            </w:r>
          </w:p>
        </w:tc>
      </w:tr>
      <w:tr>
        <w:tc>
          <w:tcPr>
            <w:tcW w:type="dxa" w:w="624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R4</w:t>
            </w:r>
          </w:p>
        </w:tc>
        <w:tc>
          <w:tcPr>
            <w:tcW w:type="dxa" w:w="3685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Everything between the start codon and the GFP CDS must sum to a multiple of 3.</w:t>
            </w:r>
            <w:r>
              <w:rPr>
                <w:rFonts w:ascii="Calibri" w:hAnsi="Calibri"/>
                <w:b w:val="0"/>
                <w:sz w:val="16"/>
              </w:rPr>
              <w:t xml:space="preserve"> Today that is Main_pre (9) + LINKER (21).</w:t>
            </w:r>
          </w:p>
        </w:tc>
        <w:tc>
          <w:tcPr>
            <w:tcW w:type="dxa" w:w="5329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Reading frame. Stated in the general form so it still holds if an element is inserted there later.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R5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No in-frame stop codon in Main_pre.</w:t>
            </w:r>
            <w:r>
              <w:rPr>
                <w:rFonts w:ascii="Calibri" w:hAnsi="Calibri"/>
                <w:b w:val="0"/>
                <w:sz w:val="16"/>
              </w:rPr>
              <w:t xml:space="preserve"> A hard filter inside the search, not a check afterwards.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Main_pre is a literal stretch of gene A translated as an N-terminal extension of GFP. At len_main_pre = 9 this costs 7–10 % of candidate windows on our real transcripts.</w:t>
            </w:r>
          </w:p>
        </w:tc>
      </w:tr>
      <w:tr>
        <w:tc>
          <w:tcPr>
            <w:tcW w:type="dxa" w:w="624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R6</w:t>
            </w:r>
          </w:p>
        </w:tc>
        <w:tc>
          <w:tcPr>
            <w:tcW w:type="dxa" w:w="3685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MainZ and SecondaryZ never bind their partner more tightly than the real trigger does.</w:t>
            </w:r>
            <w:r>
              <w:rPr>
                <w:rFonts w:ascii="Calibri" w:hAnsi="Calibri"/>
                <w:b w:val="0"/>
                <w:sz w:val="16"/>
              </w:rPr>
              <w:t xml:space="preserve"> A margin ddG_pref weakens them further; it is swept, and </w:t>
            </w:r>
            <w:r>
              <w:rPr>
                <w:rFonts w:ascii="Calibri" w:hAnsi="Calibri"/>
                <w:b/>
                <w:sz w:val="16"/>
              </w:rPr>
              <w:t>ddG_pref = 0 (isoenergetic) is one of the levels</w:t>
            </w:r>
            <w:r>
              <w:rPr>
                <w:rFonts w:ascii="Calibri" w:hAnsi="Calibri"/>
                <w:b w:val="0"/>
                <w:sz w:val="16"/>
              </w:rPr>
              <w:t>, not excluded.</w:t>
            </w:r>
          </w:p>
        </w:tc>
        <w:tc>
          <w:tcPr>
            <w:tcW w:type="dxa" w:w="5329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Each Z is a copy of the trigger's own domain. A perfect Watson–Crick copy would bind harder than the real trigger, which carries wobbles — the trigger would be climbing uphill to displace the clamp meant to release it.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R7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A 3-nt opposing_bulge faces the AUG across the main stem</w:t>
            </w:r>
            <w:r>
              <w:rPr>
                <w:rFonts w:ascii="Calibri" w:hAnsi="Calibri"/>
                <w:b w:val="0"/>
                <w:sz w:val="16"/>
              </w:rPr>
              <w:t>, forming a 3 × 3 internal loop.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In ON, trigger A pairs straight through it: 18 contiguous base pairs where the hairpin managed 15 plus an internal loop. Measured advantage to trigger A: 9.6 kcal/mol, against 1.9 with no bulge and 6.5 with Kim's 1-nt bulge. It also breaks the stem into two shorter helices, reducing RNase III exposure.</w:t>
            </w:r>
          </w:p>
        </w:tc>
      </w:tr>
      <w:tr>
        <w:tc>
          <w:tcPr>
            <w:tcW w:type="dxa" w:w="624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R8</w:t>
            </w:r>
          </w:p>
        </w:tc>
        <w:tc>
          <w:tcPr>
            <w:tcW w:type="dxa" w:w="3685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The RBS loop is 18 nt: a designed 7-nt flank followed by the fixed 11-nt RBS</w:t>
            </w:r>
            <w:r>
              <w:rPr>
                <w:rFonts w:ascii="Calibri" w:hAnsi="Calibri"/>
                <w:b w:val="0"/>
                <w:sz w:val="16"/>
              </w:rPr>
              <w:t>, which stays flush at the loop's 3' end.</w:t>
            </w:r>
          </w:p>
        </w:tc>
        <w:tc>
          <w:tcPr>
            <w:tcW w:type="dxa" w:w="5329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Both reference designs are built the same way and differ only in flank length (Green 0 nt, Kim 4 nt). The 3'-flush RBS is what makes R2 true.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R9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The secondary loop carries no SD-like motif.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It must not create a second ribosome entry point. A bare AUG there is harmless — it sits in the 5'UTR and bacterial initiation needs a Shine–Dalgarno sequence — so no constraint is placed on start codons in this loop. Kim's 15-nt inhibitory loop satisfies the SD condition and is our starting sequence.</w:t>
            </w:r>
          </w:p>
        </w:tc>
      </w:tr>
      <w:tr>
        <w:tc>
          <w:tcPr>
            <w:tcW w:type="dxa" w:w="624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R10</w:t>
            </w:r>
          </w:p>
        </w:tc>
        <w:tc>
          <w:tcPr>
            <w:tcW w:type="dxa" w:w="3685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Overlap: |x| = 4 to 14, every value designed and scored</w:t>
            </w:r>
            <w:r>
              <w:rPr>
                <w:rFonts w:ascii="Calibri" w:hAnsi="Calibri"/>
                <w:b w:val="0"/>
                <w:sz w:val="16"/>
              </w:rPr>
              <w:t xml:space="preserve"> — not only the longest available. </w:t>
            </w:r>
            <w:r>
              <w:rPr>
                <w:rFonts w:ascii="Calibri" w:hAnsi="Calibri"/>
                <w:b/>
                <w:sz w:val="16"/>
              </w:rPr>
              <w:t>Mismatches are allowed at every length, in any number and any placement.</w:t>
            </w:r>
            <w:r>
              <w:rPr>
                <w:rFonts w:ascii="Calibri" w:hAnsi="Calibri"/>
                <w:b w:val="0"/>
                <w:sz w:val="16"/>
              </w:rPr>
              <w:t xml:space="preserve"> No design is rejected on a mismatch ratio or a run-length cap; instead the trigger-trigger duplex energy is computed from the real sequences for every design and used to rank (§3.4).</w:t>
            </w:r>
          </w:p>
        </w:tc>
        <w:tc>
          <w:tcPr>
            <w:tcW w:type="dxa" w:w="5329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|x| ≥ 4 because the overlap is the mechanism; |x| ≤ 14 so that k2 = 18 − |x| stays at least 4 bp. We deliberately impose nothing else here: neither a 1:4 mismatch ratio nor a run cap actually bounds sequestration (a 1:4 ratio with uncontrolled placement is already 74 % sequestered at |x| = 14), and a hard filter would throw away workable designs — Kim's own working trigger pair sits at 73 %.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R11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Trigger lengths follow: A = 18 + len_x, B = 18 + len_r2.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A is 30 nt at |x| = 12, the length both reference designs used. B is 50 nt at len_r2 = 32.</w:t>
            </w:r>
          </w:p>
        </w:tc>
      </w:tr>
      <w:tr>
        <w:tc>
          <w:tcPr>
            <w:tcW w:type="dxa" w:w="624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R12</w:t>
            </w:r>
          </w:p>
        </w:tc>
        <w:tc>
          <w:tcPr>
            <w:tcW w:type="dxa" w:w="3685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Any pattern-prevention list given to a sequence designer is scoped to designed positions only.</w:t>
            </w:r>
          </w:p>
        </w:tc>
        <w:tc>
          <w:tcPr>
            <w:tcW w:type="dxa" w:w="5329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The standard list forbids rrrrrr — six purines — and the RBS ends in AGGAGA. Applied to the whole strand it would reject the ribosome binding site itself.</w:t>
            </w:r>
          </w:p>
        </w:tc>
      </w:tr>
    </w:tbl>
    <w:p>
      <w:pPr>
        <w:spacing w:after="80"/>
      </w:pPr>
    </w:p>
    <w:p>
      <w:pPr>
        <w:keepNext/>
        <w:pageBreakBefore/>
        <w:spacing w:before="360" w:after="120"/>
        <w:pBdr>
          <w:bottom w:val="single" w:sz="6" w:space="3" w:color="1B3A5E"/>
        </w:pBdr>
      </w:pPr>
      <w:r>
        <w:rPr>
          <w:b/>
          <w:color w:val="1B3A5E"/>
          <w:sz w:val="28"/>
        </w:rPr>
        <w:t>3.  How designs are measured</w:t>
      </w:r>
    </w:p>
    <w:p>
      <w:pPr>
        <w:keepNext/>
        <w:spacing w:before="240" w:after="60"/>
      </w:pPr>
      <w:r>
        <w:rPr>
          <w:b/>
          <w:color w:val="1B3A5E"/>
          <w:sz w:val="22"/>
        </w:rPr>
        <w:t>3.1  The four states</w:t>
      </w:r>
    </w:p>
    <w:p>
      <w:pPr>
        <w:spacing w:after="120"/>
      </w:pPr>
      <w:r>
        <w:rPr>
          <w:b w:val="0"/>
          <w:i w:val="0"/>
          <w:sz w:val="19"/>
        </w:rPr>
        <w:t xml:space="preserve">Each state is evaluated as a multi-strand equilibrium. Per state we record the ensemble free energy, the MFE structure </w:t>
      </w:r>
      <w:r>
        <w:rPr>
          <w:b/>
          <w:i w:val="0"/>
          <w:sz w:val="19"/>
        </w:rPr>
        <w:t>and its probability</w:t>
      </w:r>
      <w:r>
        <w:rPr>
          <w:b w:val="0"/>
          <w:i w:val="0"/>
          <w:sz w:val="19"/>
        </w:rPr>
        <w:t>, the centroid structure with its distance from the MFE, the base-pairing probability matrix, and the accessibility series of §3.2.</w:t>
      </w:r>
    </w:p>
    <w:p>
      <w:pPr>
        <w:keepNext/>
        <w:spacing w:before="240" w:after="60"/>
      </w:pPr>
      <w:r>
        <w:rPr>
          <w:b/>
          <w:color w:val="1B3A5E"/>
          <w:sz w:val="22"/>
        </w:rPr>
        <w:t>3.2  Accessibility around the start codon</w:t>
      </w:r>
    </w:p>
    <w:p>
      <w:pPr>
        <w:spacing w:after="120"/>
      </w:pPr>
      <w:r>
        <w:rPr>
          <w:b w:val="0"/>
          <w:i w:val="0"/>
          <w:sz w:val="19"/>
        </w:rPr>
        <w:t xml:space="preserve">The reported quantity is the probability that a defined window is </w:t>
      </w:r>
      <w:r>
        <w:rPr>
          <w:b/>
          <w:i w:val="0"/>
          <w:sz w:val="19"/>
        </w:rPr>
        <w:t>entirely unpaired at once</w:t>
      </w:r>
      <w:r>
        <w:rPr>
          <w:b w:val="0"/>
          <w:i w:val="0"/>
          <w:sz w:val="19"/>
        </w:rPr>
        <w:t>, not the average over its bases: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P_open(W)   =  Z( all of W unpaired ) / Z          dG_open(W)  =  - RT · ln P_open(W)</w:t>
      </w:r>
    </w:p>
    <w:p>
      <w:pPr>
        <w:spacing w:after="120"/>
      </w:pPr>
      <w:r>
        <w:rPr>
          <w:b w:val="0"/>
          <w:i w:val="0"/>
          <w:sz w:val="19"/>
        </w:rPr>
        <w:t>A ribosome does not sample bases independently — it needs its whole footprint free at the same moment. For a window whose bases are each 90 % unpaired, the averaged metric always reads 0.90 while the joint probability lies anywhere between 0.90 and far less. ViennaRNA computes the joint form directly: one hard-constrained partition function per window.</w:t>
      </w:r>
    </w:p>
    <w:p>
      <w:pPr>
        <w:spacing w:after="120"/>
      </w:pPr>
      <w:r>
        <w:rPr>
          <w:b w:val="0"/>
          <w:i w:val="0"/>
          <w:sz w:val="19"/>
        </w:rPr>
        <w:t>Windows are nested and all anchored on the start codon: the AUG alone; the RBS through the AUG; AUG through AUG + 3n for n = 1…10 codons; and the 30-nt ribosome footprint. The series shows how far the opening extends — which separates a switch that merely exposes the AUG from one that clears the ribosome's path.</w:t>
      </w:r>
    </w:p>
    <w:p>
      <w:pPr>
        <w:keepNext/>
        <w:spacing w:before="240" w:after="60"/>
      </w:pPr>
      <w:r>
        <w:rPr>
          <w:b/>
          <w:color w:val="1B3A5E"/>
          <w:sz w:val="22"/>
        </w:rPr>
        <w:t>3.3  Discrimination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ddG_AND  =  [ dG_open(11) - dG_open(01) ]  -  [ dG_open(10) - dG_open(00) ]</w:t>
      </w:r>
    </w:p>
    <w:p>
      <w:pPr>
        <w:spacing w:after="120"/>
      </w:pPr>
      <w:r>
        <w:rPr>
          <w:b w:val="0"/>
          <w:i w:val="0"/>
          <w:sz w:val="19"/>
        </w:rPr>
        <w:t>How much more trigger A opens the switch when trigger B is present than when it is absent. Length cancels in the difference, so this needs no normalisation. Separation is reported threshold-free: state 11 against the worst of 00, 01, 10.</w:t>
      </w:r>
    </w:p>
    <w:p>
      <w:pPr>
        <w:keepNext/>
        <w:spacing w:before="240" w:after="60"/>
      </w:pPr>
      <w:r>
        <w:rPr>
          <w:b/>
          <w:color w:val="1B3A5E"/>
          <w:sz w:val="22"/>
        </w:rPr>
        <w:t>3.4  Trigger–trigger sequestration</w:t>
      </w:r>
    </w:p>
    <w:p>
      <w:pPr>
        <w:spacing w:after="120"/>
      </w:pPr>
      <w:r>
        <w:rPr>
          <w:b w:val="0"/>
          <w:i w:val="0"/>
          <w:sz w:val="19"/>
        </w:rPr>
        <w:t xml:space="preserve">Reported at a stated concentration (10 nM per transcript) as the duplex free energy, the resulting bound fraction, and the longest complementary run. This is a </w:t>
      </w:r>
      <w:r>
        <w:rPr>
          <w:b/>
          <w:i w:val="0"/>
          <w:sz w:val="19"/>
        </w:rPr>
        <w:t>ranking input, not a veto</w:t>
      </w:r>
      <w:r>
        <w:rPr>
          <w:b w:val="0"/>
          <w:i w:val="0"/>
          <w:sz w:val="19"/>
        </w:rPr>
        <w:t>: Kim's own published trigger pair, in the construct they describe as a working two-input AND gate, sits at 73 % sequestration by this calculation.</w:t>
      </w:r>
    </w:p>
    <w:p>
      <w:pPr>
        <w:spacing w:after="120"/>
      </w:pPr>
      <w:r>
        <w:rPr>
          <w:b/>
          <w:i w:val="0"/>
          <w:sz w:val="19"/>
        </w:rPr>
        <w:t>The same check runs against the two fixed loops</w:t>
      </w:r>
      <w:r>
        <w:rPr>
          <w:b w:val="0"/>
          <w:i w:val="0"/>
          <w:sz w:val="19"/>
        </w:rPr>
        <w:t>, which are permanently single-stranded and so are the one part of the switch always free to pair with a trigger. Against every 30-nt window of our real transcripts the secondary loop stays above −9.2 kcal/mol; the RBS loop reaches −13.8, with 36 of 730 GFP windows below −10. Both are far from the −30 to −45 of a productive trigger duplex, so this is reported per design, not filtered on (D12).</w:t>
      </w:r>
    </w:p>
    <w:p>
      <w:pPr>
        <w:keepNext/>
        <w:spacing w:before="240" w:after="60"/>
      </w:pPr>
      <w:r>
        <w:rPr>
          <w:b/>
          <w:color w:val="1B3A5E"/>
          <w:sz w:val="22"/>
        </w:rPr>
        <w:t>3.5  Which structure the ranking reads</w:t>
      </w:r>
    </w:p>
    <w:p>
      <w:pPr>
        <w:spacing w:after="120"/>
      </w:pPr>
      <w:r>
        <w:rPr>
          <w:b w:val="0"/>
          <w:i w:val="0"/>
          <w:sz w:val="19"/>
        </w:rPr>
        <w:t xml:space="preserve">P(MFE) collapses with length. On our own switches it is 0.02–0.08 for the switch alone and about 3 × 10⁻¹⁵ for the full construct with GFP — and at that length the MFE and the centroid </w:t>
      </w:r>
      <w:r>
        <w:rPr>
          <w:b/>
          <w:i w:val="0"/>
          <w:sz w:val="19"/>
        </w:rPr>
        <w:t>disagree about whether the start codon is paired in 2 of 5 constructs</w:t>
      </w:r>
      <w:r>
        <w:rPr>
          <w:b w:val="0"/>
          <w:i w:val="0"/>
          <w:sz w:val="19"/>
        </w:rPr>
        <w:t>. The ranking therefore reads the centroid and the pairing probability matrix; the MFE is reported but trusted only over the isolated hairpin region. Disagreements are flagged, not silently ranked. (Decision D11.)</w:t>
      </w:r>
    </w:p>
    <w:p>
      <w:pPr>
        <w:keepNext/>
        <w:spacing w:before="240" w:after="60"/>
      </w:pPr>
      <w:r>
        <w:rPr>
          <w:b/>
          <w:color w:val="1B3A5E"/>
          <w:sz w:val="22"/>
        </w:rPr>
        <w:t>3.6  Assertions that halt the run</w:t>
      </w:r>
    </w:p>
    <w:p>
      <w:pPr>
        <w:spacing w:after="120"/>
      </w:pPr>
      <w:r>
        <w:rPr>
          <w:b w:val="0"/>
          <w:i w:val="0"/>
          <w:sz w:val="18"/>
        </w:rPr>
        <w:t xml:space="preserve">Each of these stops the run rather than appearing as a line in a report. </w:t>
      </w:r>
      <w:r>
        <w:rPr>
          <w:b/>
          <w:i w:val="0"/>
          <w:sz w:val="18"/>
        </w:rPr>
        <w:t>(1)</w:t>
      </w:r>
      <w:r>
        <w:rPr>
          <w:b w:val="0"/>
          <w:i w:val="0"/>
          <w:sz w:val="18"/>
        </w:rPr>
        <w:t xml:space="preserve"> every declared helix pairs antiparallel with zero mismatches, wobbles only where declared — this is what catches domain-order errors; </w:t>
      </w:r>
      <w:r>
        <w:rPr>
          <w:b/>
          <w:i w:val="0"/>
          <w:sz w:val="18"/>
        </w:rPr>
        <w:t>(2)</w:t>
      </w:r>
      <w:r>
        <w:rPr>
          <w:b w:val="0"/>
          <w:i w:val="0"/>
          <w:sz w:val="18"/>
        </w:rPr>
        <w:t xml:space="preserve"> the intended OFF dot-bracket, written from the element spans of §1.1 and independent of any folding, is diffed against both the MFE and the centroid; </w:t>
      </w:r>
      <w:r>
        <w:rPr>
          <w:b/>
          <w:i w:val="0"/>
          <w:sz w:val="18"/>
        </w:rPr>
        <w:t>(3)</w:t>
      </w:r>
      <w:r>
        <w:rPr>
          <w:b w:val="0"/>
          <w:i w:val="0"/>
          <w:sz w:val="18"/>
        </w:rPr>
        <w:t xml:space="preserve"> (len_main_pre + len_LINKER) mod 3 = 0, and no in-frame stop from the AUG through the end of the GFP CDS; </w:t>
      </w:r>
      <w:r>
        <w:rPr>
          <w:b/>
          <w:i w:val="0"/>
          <w:sz w:val="18"/>
        </w:rPr>
        <w:t>(4)</w:t>
      </w:r>
      <w:r>
        <w:rPr>
          <w:b w:val="0"/>
          <w:i w:val="0"/>
          <w:sz w:val="18"/>
        </w:rPr>
        <w:t xml:space="preserve"> the RBS appears exactly once, flush at the loop's 3' end, and the SD→AUG spacing equals len_k1 and is reported; </w:t>
      </w:r>
      <w:r>
        <w:rPr>
          <w:b/>
          <w:i w:val="0"/>
          <w:sz w:val="18"/>
        </w:rPr>
        <w:t>(5)</w:t>
      </w:r>
      <w:r>
        <w:rPr>
          <w:b w:val="0"/>
          <w:i w:val="0"/>
          <w:sz w:val="18"/>
        </w:rPr>
        <w:t xml:space="preserve"> no AUG between the RBS loop and the intended start codon that could initiate out of frame; </w:t>
      </w:r>
      <w:r>
        <w:rPr>
          <w:b/>
          <w:i w:val="0"/>
          <w:sz w:val="18"/>
        </w:rPr>
        <w:t>(6)</w:t>
      </w:r>
      <w:r>
        <w:rPr>
          <w:b w:val="0"/>
          <w:i w:val="0"/>
          <w:sz w:val="18"/>
        </w:rPr>
        <w:t xml:space="preserve"> MainZ never binds k1* more tightly than trigger A's k1 does, and SecondaryZ likewise against k2; </w:t>
      </w:r>
      <w:r>
        <w:rPr>
          <w:b/>
          <w:i w:val="0"/>
          <w:sz w:val="18"/>
        </w:rPr>
        <w:t>(7)</w:t>
      </w:r>
      <w:r>
        <w:rPr>
          <w:b w:val="0"/>
          <w:i w:val="0"/>
          <w:sz w:val="18"/>
        </w:rPr>
        <w:t xml:space="preserve"> 4 ≤ len_x ≤ 14; len_x + len_k2 = 18; len_main_pre + 3 + len_k1 = 18; </w:t>
      </w:r>
      <w:r>
        <w:rPr>
          <w:b/>
          <w:i w:val="0"/>
          <w:sz w:val="18"/>
        </w:rPr>
        <w:t>(8)</w:t>
      </w:r>
      <w:r>
        <w:rPr>
          <w:b w:val="0"/>
          <w:i w:val="0"/>
          <w:sz w:val="18"/>
        </w:rPr>
        <w:t xml:space="preserve"> trigger A's x and trigger B's Secondary_pre are reverse complements over the matched positions; </w:t>
      </w:r>
      <w:r>
        <w:rPr>
          <w:b/>
          <w:i w:val="0"/>
          <w:sz w:val="18"/>
        </w:rPr>
        <w:t>(9)</w:t>
      </w:r>
      <w:r>
        <w:rPr>
          <w:b w:val="0"/>
          <w:i w:val="0"/>
          <w:sz w:val="18"/>
        </w:rPr>
        <w:t xml:space="preserve"> the cap sits at the 5' end of the finished construct, not stranded internally; </w:t>
      </w:r>
      <w:r>
        <w:rPr>
          <w:b/>
          <w:i w:val="0"/>
          <w:sz w:val="18"/>
        </w:rPr>
        <w:t>(10)</w:t>
      </w:r>
      <w:r>
        <w:rPr>
          <w:b w:val="0"/>
          <w:i w:val="0"/>
          <w:sz w:val="18"/>
        </w:rPr>
        <w:t xml:space="preserve"> any design carried between stages is matched on its full identity — len_x, len_main_pre, len_k1, len_k2, ddG_pref, mismatch pattern — never a partial key.</w:t>
      </w:r>
    </w:p>
    <w:p>
      <w:pPr>
        <w:keepNext/>
        <w:pageBreakBefore/>
        <w:spacing w:before="360" w:after="120"/>
        <w:pBdr>
          <w:bottom w:val="single" w:sz="6" w:space="3" w:color="1B3A5E"/>
        </w:pBdr>
      </w:pPr>
      <w:r>
        <w:rPr>
          <w:b/>
          <w:color w:val="1B3A5E"/>
          <w:sz w:val="28"/>
        </w:rPr>
        <w:t>4.  Decisions we need</w:t>
      </w:r>
    </w:p>
    <w:p>
      <w:pPr>
        <w:spacing w:after="120"/>
      </w:pPr>
      <w:r>
        <w:rPr>
          <w:b w:val="0"/>
          <w:i w:val="0"/>
          <w:sz w:val="19"/>
        </w:rPr>
        <w:t xml:space="preserve">Six carry a recommendation we are ready to act on unless you disagree. The six shaded rows are genuine choices where we do not think the evidence settles it. </w:t>
      </w:r>
      <w:r>
        <w:rPr>
          <w:b/>
          <w:i w:val="0"/>
          <w:sz w:val="19"/>
        </w:rPr>
        <w:t>D1 is the one that changed most recently</w:t>
      </w:r>
      <w:r>
        <w:rPr>
          <w:b w:val="0"/>
          <w:i w:val="0"/>
          <w:sz w:val="19"/>
        </w:rPr>
        <w:t xml:space="preserve"> — it was previously written as 18 base pairs, which the published sequences do not support.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510"/>
            <w:shd w:val="clear" w:color="auto" w:fill="1B3A5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268"/>
            <w:shd w:val="clear" w:color="auto" w:fill="1B3A5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6860"/>
            <w:shd w:val="clear" w:color="auto" w:fill="1B3A5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our position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D1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What does "18" count?</w:t>
            </w:r>
          </w:p>
        </w:tc>
        <w:tc>
          <w:tcPr>
            <w:tcW w:type="dxa" w:w="68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18 nt of arm span, bulge included</w:t>
            </w:r>
            <w:r>
              <w:rPr>
                <w:rFonts w:ascii="Calibri" w:hAnsi="Calibri"/>
                <w:b w:val="0"/>
                <w:sz w:val="16"/>
              </w:rPr>
              <w:t xml:space="preserve"> — so the main hairpin is 9 + 3 + 6 and only </w:t>
            </w:r>
            <w:r>
              <w:rPr>
                <w:rFonts w:ascii="Calibri" w:hAnsi="Calibri"/>
                <w:b/>
                <w:sz w:val="16"/>
              </w:rPr>
              <w:t>15 bp are paired</w:t>
            </w:r>
            <w:r>
              <w:rPr>
                <w:rFonts w:ascii="Calibri" w:hAnsi="Calibri"/>
                <w:b w:val="0"/>
                <w:sz w:val="16"/>
              </w:rPr>
              <w:t>. Measured: Green's main arm is 9 + 3 + 6 and Kim's is 11 + 1 + 6, both spanning 18 nt. Reading it as 18 base pairs would give a 21-nt arm, deeper than anything published or tested.</w:t>
            </w:r>
          </w:p>
        </w:tc>
      </w:tr>
      <w:tr>
        <w:tc>
          <w:tcPr>
            <w:tcW w:type="dxa" w:w="510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D2</w:t>
            </w:r>
          </w:p>
        </w:tc>
        <w:tc>
          <w:tcPr>
            <w:tcW w:type="dxa" w:w="2268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Split of the main arm</w:t>
            </w:r>
          </w:p>
        </w:tc>
        <w:tc>
          <w:tcPr>
            <w:tcW w:type="dxa" w:w="6860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len_k1 = 6, len_main_pre = 9.</w:t>
            </w:r>
            <w:r>
              <w:rPr>
                <w:rFonts w:ascii="Calibri" w:hAnsi="Calibri"/>
                <w:b w:val="0"/>
                <w:sz w:val="16"/>
              </w:rPr>
              <w:t xml:space="preserve"> len_k1 is the SD→AUG spacing and every reference design puts it at 6; R1 then fixes len_main_pre. The split itself is thermodynamically inert: −9.61 kcal/mol of drive at 9 + 3 + 6 against −9.57 at 12 + 3 + 6.</w:t>
            </w:r>
          </w:p>
        </w:tc>
      </w:tr>
      <w:tr>
        <w:tc>
          <w:tcPr>
            <w:tcW w:type="dxa" w:w="510"/>
            <w:shd w:val="clear" w:color="auto" w:fill="FFF6E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D3</w:t>
            </w:r>
          </w:p>
        </w:tc>
        <w:tc>
          <w:tcPr>
            <w:tcW w:type="dxa" w:w="2268"/>
            <w:shd w:val="clear" w:color="auto" w:fill="FFF6E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Trigger B total length</w:t>
            </w:r>
          </w:p>
        </w:tc>
        <w:tc>
          <w:tcPr>
            <w:tcW w:type="dxa" w:w="6860"/>
            <w:shd w:val="clear" w:color="auto" w:fill="FFF6E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Open.</w:t>
            </w:r>
            <w:r>
              <w:rPr>
                <w:rFonts w:ascii="Calibri" w:hAnsi="Calibri"/>
                <w:b w:val="0"/>
                <w:sz w:val="16"/>
              </w:rPr>
              <w:t xml:space="preserve"> 50 nt as instructed gives a 32-nt toehold where Kim used 13. Longer buys specificity but makes B bind far harder than A, which may unbalance the gate. 30–35 nt is the precedent.</w:t>
            </w:r>
          </w:p>
        </w:tc>
      </w:tr>
      <w:tr>
        <w:tc>
          <w:tcPr>
            <w:tcW w:type="dxa" w:w="510"/>
            <w:shd w:val="clear" w:color="auto" w:fill="FFF6E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D4</w:t>
            </w:r>
          </w:p>
        </w:tc>
        <w:tc>
          <w:tcPr>
            <w:tcW w:type="dxa" w:w="2268"/>
            <w:shd w:val="clear" w:color="auto" w:fill="FFF6E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GFP's own leading ATG</w:t>
            </w:r>
          </w:p>
        </w:tc>
        <w:tc>
          <w:tcPr>
            <w:tcW w:type="dxa" w:w="6860"/>
            <w:shd w:val="clear" w:color="auto" w:fill="FFF6E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Open, we lean to deleting it.</w:t>
            </w:r>
            <w:r>
              <w:rPr>
                <w:rFonts w:ascii="Calibri" w:hAnsi="Calibri"/>
                <w:b w:val="0"/>
                <w:sz w:val="16"/>
              </w:rPr>
              <w:t xml:space="preserve"> Green and Kim keep it; our own switch generator deletes it. Measured: no thermodynamic difference and no second start site either way. A preference, not a result.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D5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Overlap range and mismatch rule</w:t>
            </w:r>
          </w:p>
        </w:tc>
        <w:tc>
          <w:tcPr>
            <w:tcW w:type="dxa" w:w="68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|x| = 4–14; mismatches unrestricted; rank on the measured trigger-trigger duplex, reject nothing.</w:t>
            </w:r>
            <w:r>
              <w:rPr>
                <w:rFonts w:ascii="Calibri" w:hAnsi="Calibri"/>
                <w:b w:val="0"/>
                <w:sz w:val="16"/>
              </w:rPr>
              <w:t xml:space="preserve"> Neither a 1:4 ratio nor a run cap actually bounds sequestration, and a hard filter would discard workable designs.</w:t>
            </w:r>
          </w:p>
        </w:tc>
      </w:tr>
      <w:tr>
        <w:tc>
          <w:tcPr>
            <w:tcW w:type="dxa" w:w="510"/>
            <w:shd w:val="clear" w:color="auto" w:fill="FFF6E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D6</w:t>
            </w:r>
          </w:p>
        </w:tc>
        <w:tc>
          <w:tcPr>
            <w:tcW w:type="dxa" w:w="2268"/>
            <w:shd w:val="clear" w:color="auto" w:fill="FFF6E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Size and composition of the lab panel</w:t>
            </w:r>
          </w:p>
        </w:tc>
        <w:tc>
          <w:tcPr>
            <w:tcW w:type="dxa" w:w="6860"/>
            <w:shd w:val="clear" w:color="auto" w:fill="FFF6E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Open.</w:t>
            </w:r>
            <w:r>
              <w:rPr>
                <w:rFonts w:ascii="Calibri" w:hAnsi="Calibri"/>
                <w:b w:val="0"/>
                <w:sz w:val="16"/>
              </w:rPr>
              <w:t xml:space="preserve"> 12 constructs proposed: 8 gate designs (4 levels of |x| × 2 of ddG_pref), 1 benchmark at a = 4, 3 controls.</w:t>
            </w:r>
          </w:p>
        </w:tc>
      </w:tr>
      <w:tr>
        <w:tc>
          <w:tcPr>
            <w:tcW w:type="dxa" w:w="510"/>
            <w:shd w:val="clear" w:color="auto" w:fill="FFF6E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D7</w:t>
            </w:r>
          </w:p>
        </w:tc>
        <w:tc>
          <w:tcPr>
            <w:tcW w:type="dxa" w:w="2268"/>
            <w:shd w:val="clear" w:color="auto" w:fill="FFF6E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Inhibitory loop — fixed or designed?</w:t>
            </w:r>
          </w:p>
        </w:tc>
        <w:tc>
          <w:tcPr>
            <w:tcW w:type="dxa" w:w="6860"/>
            <w:shd w:val="clear" w:color="auto" w:fill="FFF6E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Open.</w:t>
            </w:r>
            <w:r>
              <w:rPr>
                <w:rFonts w:ascii="Calibri" w:hAnsi="Calibri"/>
                <w:b w:val="0"/>
                <w:sz w:val="16"/>
              </w:rPr>
              <w:t xml:space="preserve"> Start from Kim's fixed 15-nt loop and design de novo where it fails the fold check. Loops are not portable: substituting one into our five tested switches refolded all five.</w:t>
            </w:r>
          </w:p>
        </w:tc>
      </w:tr>
      <w:tr>
        <w:tc>
          <w:tcPr>
            <w:tcW w:type="dxa" w:w="510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D8</w:t>
            </w:r>
          </w:p>
        </w:tc>
        <w:tc>
          <w:tcPr>
            <w:tcW w:type="dxa" w:w="2268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Include an a = 4 benchmark construct</w:t>
            </w:r>
          </w:p>
        </w:tc>
        <w:tc>
          <w:tcPr>
            <w:tcW w:type="dxa" w:w="6860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Yes.</w:t>
            </w:r>
            <w:r>
              <w:rPr>
                <w:rFonts w:ascii="Calibri" w:hAnsi="Calibri"/>
                <w:b w:val="0"/>
                <w:sz w:val="16"/>
              </w:rPr>
              <w:t xml:space="preserve"> a = 0 is one step beyond Kim's shortest tested spacing; one a = 4 construct puts a known-working point in the panel.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D9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Accessibility metric</w:t>
            </w:r>
          </w:p>
        </w:tc>
        <w:tc>
          <w:tcPr>
            <w:tcW w:type="dxa" w:w="68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Joint whole-window unpaired probability</w:t>
            </w:r>
            <w:r>
              <w:rPr>
                <w:rFonts w:ascii="Calibri" w:hAnsi="Calibri"/>
                <w:b w:val="0"/>
                <w:sz w:val="16"/>
              </w:rPr>
              <w:t xml:space="preserve"> (§3.2). The averaged per-base metric does not correspond to what a ribosome requires.</w:t>
            </w:r>
          </w:p>
        </w:tc>
      </w:tr>
      <w:tr>
        <w:tc>
          <w:tcPr>
            <w:tcW w:type="dxa" w:w="510"/>
            <w:shd w:val="clear" w:color="auto" w:fill="FFF6E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D10</w:t>
            </w:r>
          </w:p>
        </w:tc>
        <w:tc>
          <w:tcPr>
            <w:tcW w:type="dxa" w:w="2268"/>
            <w:shd w:val="clear" w:color="auto" w:fill="FFF6E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MFE or centroid when they disagree?</w:t>
            </w:r>
          </w:p>
        </w:tc>
        <w:tc>
          <w:tcPr>
            <w:tcW w:type="dxa" w:w="6860"/>
            <w:shd w:val="clear" w:color="auto" w:fill="FFF6E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Open, we lean to the centroid</w:t>
            </w:r>
            <w:r>
              <w:rPr>
                <w:rFonts w:ascii="Calibri" w:hAnsi="Calibri"/>
                <w:b w:val="0"/>
                <w:sz w:val="16"/>
              </w:rPr>
              <w:t xml:space="preserve"> plus the pairing-probability matrix (§3.5). The counter-argument is comparability: published tables report the MFE.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D11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RBS loop sequence</w:t>
            </w:r>
          </w:p>
        </w:tc>
        <w:tc>
          <w:tcPr>
            <w:tcW w:type="dxa" w:w="68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Keep the 18-nt loop AGACAAGAACAGAGGAGA.</w:t>
            </w:r>
            <w:r>
              <w:rPr>
                <w:rFonts w:ascii="Calibri" w:hAnsi="Calibri"/>
                <w:b w:val="0"/>
                <w:sz w:val="16"/>
              </w:rPr>
              <w:t xml:space="preserve"> It holds the intended fold in all five tested switches. Noted for the record: Green's shorter 11-nt loop measures marginally better on RBS accessibility, 0.77 to 0.68.</w:t>
            </w:r>
          </w:p>
        </w:tc>
      </w:tr>
      <w:tr>
        <w:tc>
          <w:tcPr>
            <w:tcW w:type="dxa" w:w="510"/>
            <w:shd w:val="clear" w:color="auto" w:fill="FFF6E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D12</w:t>
            </w:r>
          </w:p>
        </w:tc>
        <w:tc>
          <w:tcPr>
            <w:tcW w:type="dxa" w:w="2268"/>
            <w:shd w:val="clear" w:color="auto" w:fill="FFF6E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Screen the loops as accidental trigger sites?</w:t>
            </w:r>
          </w:p>
        </w:tc>
        <w:tc>
          <w:tcPr>
            <w:tcW w:type="dxa" w:w="6860"/>
            <w:shd w:val="clear" w:color="auto" w:fill="FFF6E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Open, we recommend reporting it and not filtering on it.</w:t>
            </w:r>
            <w:r>
              <w:rPr>
                <w:rFonts w:ascii="Calibri" w:hAnsi="Calibri"/>
                <w:b w:val="0"/>
                <w:sz w:val="16"/>
              </w:rPr>
              <w:t xml:space="preserve"> The RBS loop reaches −13.8 kcal/mol against real 30-nt windows (36 of 730 GFP windows below −10); the secondary loop stays above −9.2. Both are far from the −30 to −45 a trigger gets on its intended footprint, so this is a diagnostic, not an expected failure.</w:t>
            </w:r>
          </w:p>
        </w:tc>
      </w:tr>
    </w:tbl>
    <w:p>
      <w:pPr>
        <w:spacing w:after="80"/>
      </w:pPr>
    </w:p>
    <w:p>
      <w:pPr>
        <w:keepNext/>
        <w:spacing w:before="360" w:after="120"/>
        <w:pBdr>
          <w:bottom w:val="single" w:sz="6" w:space="3" w:color="1B3A5E"/>
        </w:pBdr>
      </w:pPr>
      <w:r>
        <w:rPr>
          <w:b/>
          <w:color w:val="1B3A5E"/>
          <w:sz w:val="28"/>
        </w:rPr>
        <w:t>Appendix.  Fixed sequences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74"/>
            <w:shd w:val="clear" w:color="auto" w:fill="1B3A5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3515"/>
            <w:shd w:val="clear" w:color="auto" w:fill="1B3A5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sequence</w:t>
            </w:r>
          </w:p>
        </w:tc>
        <w:tc>
          <w:tcPr>
            <w:tcW w:type="dxa" w:w="4649"/>
            <w:shd w:val="clear" w:color="auto" w:fill="1B3A5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cap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6"/>
              </w:rPr>
              <w:t>GGG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3 nt; transcription start, 5' end of the construct</w:t>
            </w:r>
          </w:p>
        </w:tc>
      </w:tr>
      <w:tr>
        <w:tc>
          <w:tcPr>
            <w:tcW w:type="dxa" w:w="1474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RBS</w:t>
            </w:r>
          </w:p>
        </w:tc>
        <w:tc>
          <w:tcPr>
            <w:tcW w:type="dxa" w:w="3515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6"/>
              </w:rPr>
              <w:t>AACAGAGGAGA</w:t>
            </w:r>
          </w:p>
        </w:tc>
        <w:tc>
          <w:tcPr>
            <w:tcW w:type="dxa" w:w="4649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11 nt, fixed. Identical in Green, in Kim and in our own generator.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RBS loop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6"/>
              </w:rPr>
              <w:t>AGACAAGAACAGAGGAGA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18 nt = designed flank AGACAAG + the fixed RBS, which stays flush at the 3' end. See D12.</w:t>
            </w:r>
          </w:p>
        </w:tc>
      </w:tr>
      <w:tr>
        <w:tc>
          <w:tcPr>
            <w:tcW w:type="dxa" w:w="1474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Secondary loop</w:t>
            </w:r>
          </w:p>
        </w:tc>
        <w:tc>
          <w:tcPr>
            <w:tcW w:type="dxa" w:w="3515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6"/>
              </w:rPr>
              <w:t>CAAGAACUUAGACAA</w:t>
            </w:r>
          </w:p>
        </w:tc>
        <w:tc>
          <w:tcPr>
            <w:tcW w:type="dxa" w:w="4649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15 nt; the inhibitory-hairpin loop of Kim's Sw-G5-G3n* series. Verified to carry no SD-like motif. See D7.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LINKER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6"/>
              </w:rPr>
              <w:t>AACCUGGCGGCAGCGCAAAAG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21 nt = N L A A A Q K. No in-frame stop, and no SD-like motif, so it creates no second start site.</w:t>
            </w:r>
          </w:p>
        </w:tc>
      </w:tr>
      <w:tr>
        <w:tc>
          <w:tcPr>
            <w:tcW w:type="dxa" w:w="1474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GFP CDS</w:t>
            </w:r>
          </w:p>
        </w:tc>
        <w:tc>
          <w:tcPr>
            <w:tcW w:type="dxa" w:w="3515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6"/>
              </w:rPr>
              <w:t>ATGCGTAAAGGAGAAGAACTT… (759 nt)</w:t>
            </w:r>
          </w:p>
        </w:tc>
        <w:tc>
          <w:tcPr>
            <w:tcW w:type="dxa" w:w="4649"/>
            <w:shd w:val="clear" w:color="auto" w:fill="F1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253 codons, divisible by 3; the only in-frame stops are the terminal TAA TAA. Begins with its own ATG — see D4.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prevent list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6"/>
              </w:rPr>
              <w:t>aaaa, cccc, gggg, uuuu, kkkkkk, mmmmmm, rrrrrr, ssssss, wwwwww, yyyyyy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6"/>
              </w:rPr>
              <w:t>Kim's pattern-prevention list, identical to the one in our own generator. Applies to designed positions only (R12).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495057"/>
          <w:sz w:val="17"/>
        </w:rPr>
        <w:t>Sources: Kim et al. 2019, Modulating responses of toehold switches by an inhibitory hairpin — the two-hairpin architecture and the a trade-off. Robson &amp; Green 2026, Toehold-VISTA (NAR) — the switch scaffold, the 21-nt linker and the in-frame-stop filter. All geometry and every energy quoted here was measured with ViennaRNA 2.7.2 at 37 °C, default model; see the full specification for method detail.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