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4EBD" w14:textId="77777777" w:rsidR="003B0422" w:rsidRDefault="00000000">
      <w:pPr>
        <w:spacing w:after="20"/>
      </w:pPr>
      <w:r>
        <w:rPr>
          <w:b/>
          <w:color w:val="1B3A5E"/>
          <w:sz w:val="44"/>
        </w:rPr>
        <w:t>A0 AND Gate</w:t>
      </w:r>
    </w:p>
    <w:p w14:paraId="271F837A" w14:textId="77777777" w:rsidR="003B0422" w:rsidRDefault="00000000">
      <w:pPr>
        <w:spacing w:after="160"/>
      </w:pPr>
      <w:r>
        <w:rPr>
          <w:color w:val="495057"/>
          <w:sz w:val="24"/>
        </w:rPr>
        <w:t>Architecture brief — parts, rules, measurements, decisions</w:t>
      </w:r>
    </w:p>
    <w:p w14:paraId="7F03987D" w14:textId="77777777" w:rsidR="003B0422" w:rsidRDefault="00000000">
      <w:r>
        <w:rPr>
          <w:sz w:val="19"/>
        </w:rPr>
        <w:t xml:space="preserve">One mRNA that produces GFP only when two RNA inputs are present together. A main hairpin sequesters the ribosome binding site and the start codon; an inhibitory hairpin immediately upstream of it sequesters the site where the main trigger would land. </w:t>
      </w:r>
      <w:r>
        <w:rPr>
          <w:b/>
          <w:sz w:val="19"/>
        </w:rPr>
        <w:t>Trigger B</w:t>
      </w:r>
      <w:r>
        <w:rPr>
          <w:sz w:val="19"/>
        </w:rPr>
        <w:t xml:space="preserve"> opens the inhibitory hairpin and exposes that site; </w:t>
      </w:r>
      <w:r>
        <w:rPr>
          <w:b/>
          <w:sz w:val="19"/>
        </w:rPr>
        <w:t>trigger A</w:t>
      </w:r>
      <w:r>
        <w:rPr>
          <w:sz w:val="19"/>
        </w:rPr>
        <w:t xml:space="preserve"> then opens the main hairpin. The variant is named A0 because the spacer between the two hairpins, a, is </w:t>
      </w:r>
      <w:r>
        <w:rPr>
          <w:b/>
          <w:sz w:val="19"/>
        </w:rPr>
        <w:t>0</w:t>
      </w:r>
      <w:r>
        <w:rPr>
          <w:sz w:val="19"/>
        </w:rPr>
        <w:t xml:space="preserve"> — so trigger A has no exposed nucleotide anywhere on the switch until trigger B has acted.</w:t>
      </w:r>
    </w:p>
    <w:p w14:paraId="721EDAE2" w14:textId="77777777" w:rsidR="003B0422" w:rsidRDefault="00000000">
      <w:pPr>
        <w:keepNext/>
        <w:pBdr>
          <w:bottom w:val="single" w:sz="6" w:space="3" w:color="1B3A5E"/>
        </w:pBdr>
        <w:spacing w:before="360"/>
      </w:pPr>
      <w:r>
        <w:rPr>
          <w:b/>
          <w:color w:val="1B3A5E"/>
          <w:sz w:val="28"/>
        </w:rPr>
        <w:t>1.  The construct</w:t>
      </w:r>
    </w:p>
    <w:p w14:paraId="24C008BD" w14:textId="77777777" w:rsidR="003B0422" w:rsidRDefault="00000000">
      <w:pPr>
        <w:jc w:val="center"/>
      </w:pPr>
      <w:r>
        <w:rPr>
          <w:noProof/>
        </w:rPr>
        <w:drawing>
          <wp:inline distT="0" distB="0" distL="0" distR="0" wp14:anchorId="3384A6F6" wp14:editId="0305EA03">
            <wp:extent cx="6120000" cy="5129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2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FF37" w14:textId="77777777" w:rsidR="003B0422" w:rsidRDefault="00000000">
      <w:pPr>
        <w:spacing w:after="200"/>
        <w:jc w:val="center"/>
      </w:pPr>
      <w:r>
        <w:rPr>
          <w:b/>
          <w:color w:val="495057"/>
          <w:sz w:val="17"/>
        </w:rPr>
        <w:t>Figure 1.</w:t>
      </w:r>
      <w:r>
        <w:rPr>
          <w:i/>
          <w:color w:val="495057"/>
          <w:sz w:val="17"/>
        </w:rPr>
        <w:t xml:space="preserve"> The switch in the OFF state, and the two triggers. Domains that pair share a colour. Lengths are the reference design: both stems 18 bp, main stem split 12 + 6, |x| = 9.</w:t>
      </w:r>
    </w:p>
    <w:p w14:paraId="2B1AE8E7" w14:textId="77777777" w:rsidR="003B0422" w:rsidRDefault="00000000">
      <w:pPr>
        <w:keepNext/>
        <w:pageBreakBefore/>
        <w:spacing w:before="240" w:after="60"/>
      </w:pPr>
      <w:r>
        <w:rPr>
          <w:b/>
          <w:color w:val="1B3A5E"/>
          <w:sz w:val="22"/>
        </w:rPr>
        <w:lastRenderedPageBreak/>
        <w:t>1.1  Every element, 5' → 3'</w:t>
      </w:r>
    </w:p>
    <w:p w14:paraId="4265AC93" w14:textId="77777777" w:rsidR="003B0422" w:rsidRDefault="00000000">
      <w:r>
        <w:rPr>
          <w:sz w:val="18"/>
        </w:rPr>
        <w:t xml:space="preserve">“Pairs with” describes the OFF state. Only </w:t>
      </w:r>
      <w:r>
        <w:rPr>
          <w:b/>
          <w:sz w:val="18"/>
        </w:rPr>
        <w:t>len_x</w:t>
      </w:r>
      <w:r>
        <w:rPr>
          <w:sz w:val="18"/>
        </w:rPr>
        <w:t xml:space="preserve"> and </w:t>
      </w:r>
      <w:r>
        <w:rPr>
          <w:b/>
          <w:sz w:val="18"/>
        </w:rPr>
        <w:t>len_r2</w:t>
      </w:r>
      <w:r>
        <w:rPr>
          <w:sz w:val="18"/>
        </w:rPr>
        <w:t xml:space="preserve"> are free; everything else is fixed or derived.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1757"/>
        <w:gridCol w:w="2438"/>
        <w:gridCol w:w="1417"/>
        <w:gridCol w:w="3628"/>
      </w:tblGrid>
      <w:tr w:rsidR="003B0422" w14:paraId="769D1A84" w14:textId="77777777">
        <w:trPr>
          <w:tblHeader/>
          <w:jc w:val="center"/>
        </w:trPr>
        <w:tc>
          <w:tcPr>
            <w:tcW w:w="397" w:type="dxa"/>
            <w:shd w:val="clear" w:color="auto" w:fill="1B3A5E"/>
          </w:tcPr>
          <w:p w14:paraId="519A6841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1757" w:type="dxa"/>
            <w:shd w:val="clear" w:color="auto" w:fill="1B3A5E"/>
          </w:tcPr>
          <w:p w14:paraId="2B9E7230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5"/>
              </w:rPr>
              <w:t>element</w:t>
            </w:r>
          </w:p>
        </w:tc>
        <w:tc>
          <w:tcPr>
            <w:tcW w:w="2438" w:type="dxa"/>
            <w:shd w:val="clear" w:color="auto" w:fill="1B3A5E"/>
          </w:tcPr>
          <w:p w14:paraId="788F567A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5"/>
              </w:rPr>
              <w:t>pairs with</w:t>
            </w:r>
          </w:p>
        </w:tc>
        <w:tc>
          <w:tcPr>
            <w:tcW w:w="1417" w:type="dxa"/>
            <w:shd w:val="clear" w:color="auto" w:fill="1B3A5E"/>
          </w:tcPr>
          <w:p w14:paraId="2DF58B9F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5"/>
              </w:rPr>
              <w:t>length (nt)</w:t>
            </w:r>
          </w:p>
        </w:tc>
        <w:tc>
          <w:tcPr>
            <w:tcW w:w="3628" w:type="dxa"/>
            <w:shd w:val="clear" w:color="auto" w:fill="1B3A5E"/>
          </w:tcPr>
          <w:p w14:paraId="3FFA0BA2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5"/>
              </w:rPr>
              <w:t>sequence determined by</w:t>
            </w:r>
          </w:p>
        </w:tc>
      </w:tr>
      <w:tr w:rsidR="003B0422" w14:paraId="47EBDD1D" w14:textId="77777777">
        <w:trPr>
          <w:jc w:val="center"/>
        </w:trPr>
        <w:tc>
          <w:tcPr>
            <w:tcW w:w="397" w:type="dxa"/>
          </w:tcPr>
          <w:p w14:paraId="040F43E6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</w:t>
            </w:r>
          </w:p>
        </w:tc>
        <w:tc>
          <w:tcPr>
            <w:tcW w:w="1757" w:type="dxa"/>
          </w:tcPr>
          <w:p w14:paraId="58AC9177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cap</w:t>
            </w:r>
          </w:p>
        </w:tc>
        <w:tc>
          <w:tcPr>
            <w:tcW w:w="2438" w:type="dxa"/>
          </w:tcPr>
          <w:p w14:paraId="6F5563EF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— free</w:t>
            </w:r>
          </w:p>
        </w:tc>
        <w:tc>
          <w:tcPr>
            <w:tcW w:w="1417" w:type="dxa"/>
          </w:tcPr>
          <w:p w14:paraId="39E7C2A2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3</w:t>
            </w:r>
          </w:p>
        </w:tc>
        <w:tc>
          <w:tcPr>
            <w:tcW w:w="3628" w:type="dxa"/>
          </w:tcPr>
          <w:p w14:paraId="0B228F9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fixed: GGG</w:t>
            </w:r>
          </w:p>
        </w:tc>
      </w:tr>
      <w:tr w:rsidR="003B0422" w14:paraId="2C39EE33" w14:textId="77777777">
        <w:trPr>
          <w:jc w:val="center"/>
        </w:trPr>
        <w:tc>
          <w:tcPr>
            <w:tcW w:w="397" w:type="dxa"/>
            <w:shd w:val="clear" w:color="auto" w:fill="F1F4F8"/>
          </w:tcPr>
          <w:p w14:paraId="3E8E7707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2</w:t>
            </w:r>
          </w:p>
        </w:tc>
        <w:tc>
          <w:tcPr>
            <w:tcW w:w="1757" w:type="dxa"/>
            <w:shd w:val="clear" w:color="auto" w:fill="F1F4F8"/>
          </w:tcPr>
          <w:p w14:paraId="7A792B0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r2*</w:t>
            </w:r>
          </w:p>
        </w:tc>
        <w:tc>
          <w:tcPr>
            <w:tcW w:w="2438" w:type="dxa"/>
            <w:shd w:val="clear" w:color="auto" w:fill="F1F4F8"/>
          </w:tcPr>
          <w:p w14:paraId="15754D98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— free (trigger-B toehold)</w:t>
            </w:r>
          </w:p>
        </w:tc>
        <w:tc>
          <w:tcPr>
            <w:tcW w:w="1417" w:type="dxa"/>
            <w:shd w:val="clear" w:color="auto" w:fill="F1F4F8"/>
          </w:tcPr>
          <w:p w14:paraId="502E78CA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len_r2 = 32</w:t>
            </w:r>
          </w:p>
        </w:tc>
        <w:tc>
          <w:tcPr>
            <w:tcW w:w="3628" w:type="dxa"/>
            <w:shd w:val="clear" w:color="auto" w:fill="F1F4F8"/>
          </w:tcPr>
          <w:p w14:paraId="21DCBC8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revcomp(r2); gene B</w:t>
            </w:r>
          </w:p>
        </w:tc>
      </w:tr>
      <w:tr w:rsidR="003B0422" w14:paraId="4C6EC19F" w14:textId="77777777">
        <w:trPr>
          <w:jc w:val="center"/>
        </w:trPr>
        <w:tc>
          <w:tcPr>
            <w:tcW w:w="397" w:type="dxa"/>
          </w:tcPr>
          <w:p w14:paraId="4573DBDD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3</w:t>
            </w:r>
          </w:p>
        </w:tc>
        <w:tc>
          <w:tcPr>
            <w:tcW w:w="1757" w:type="dxa"/>
          </w:tcPr>
          <w:p w14:paraId="08C6961D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Secondary_pre*</w:t>
            </w:r>
          </w:p>
        </w:tc>
        <w:tc>
          <w:tcPr>
            <w:tcW w:w="2438" w:type="dxa"/>
          </w:tcPr>
          <w:p w14:paraId="45798E6F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x*  (#9)</w:t>
            </w:r>
          </w:p>
        </w:tc>
        <w:tc>
          <w:tcPr>
            <w:tcW w:w="1417" w:type="dxa"/>
          </w:tcPr>
          <w:p w14:paraId="6359FF21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len_x</w:t>
            </w:r>
          </w:p>
        </w:tc>
        <w:tc>
          <w:tcPr>
            <w:tcW w:w="3628" w:type="dxa"/>
          </w:tcPr>
          <w:p w14:paraId="0E9D87C8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= x; gene A</w:t>
            </w:r>
          </w:p>
        </w:tc>
      </w:tr>
      <w:tr w:rsidR="003B0422" w14:paraId="2371A031" w14:textId="77777777">
        <w:trPr>
          <w:jc w:val="center"/>
        </w:trPr>
        <w:tc>
          <w:tcPr>
            <w:tcW w:w="397" w:type="dxa"/>
            <w:shd w:val="clear" w:color="auto" w:fill="F1F4F8"/>
          </w:tcPr>
          <w:p w14:paraId="5006D2E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4</w:t>
            </w:r>
          </w:p>
        </w:tc>
        <w:tc>
          <w:tcPr>
            <w:tcW w:w="1757" w:type="dxa"/>
            <w:shd w:val="clear" w:color="auto" w:fill="F1F4F8"/>
          </w:tcPr>
          <w:p w14:paraId="30D65943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k2*</w:t>
            </w:r>
          </w:p>
        </w:tc>
        <w:tc>
          <w:tcPr>
            <w:tcW w:w="2438" w:type="dxa"/>
            <w:shd w:val="clear" w:color="auto" w:fill="F1F4F8"/>
          </w:tcPr>
          <w:p w14:paraId="2A2B3BA7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SecondaryZ  (#8)</w:t>
            </w:r>
          </w:p>
        </w:tc>
        <w:tc>
          <w:tcPr>
            <w:tcW w:w="1417" w:type="dxa"/>
            <w:shd w:val="clear" w:color="auto" w:fill="F1F4F8"/>
          </w:tcPr>
          <w:p w14:paraId="579C471D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18 − len_x</w:t>
            </w:r>
          </w:p>
        </w:tc>
        <w:tc>
          <w:tcPr>
            <w:tcW w:w="3628" w:type="dxa"/>
            <w:shd w:val="clear" w:color="auto" w:fill="F1F4F8"/>
          </w:tcPr>
          <w:p w14:paraId="21610E63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revcomp(k2); gene B</w:t>
            </w:r>
          </w:p>
        </w:tc>
      </w:tr>
      <w:tr w:rsidR="003B0422" w14:paraId="23FBEBD4" w14:textId="77777777">
        <w:trPr>
          <w:jc w:val="center"/>
        </w:trPr>
        <w:tc>
          <w:tcPr>
            <w:tcW w:w="397" w:type="dxa"/>
          </w:tcPr>
          <w:p w14:paraId="591B426E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5</w:t>
            </w:r>
          </w:p>
        </w:tc>
        <w:tc>
          <w:tcPr>
            <w:tcW w:w="1757" w:type="dxa"/>
          </w:tcPr>
          <w:p w14:paraId="05D04C82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SUSA</w:t>
            </w:r>
          </w:p>
        </w:tc>
        <w:tc>
          <w:tcPr>
            <w:tcW w:w="2438" w:type="dxa"/>
          </w:tcPr>
          <w:p w14:paraId="2313C2D6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SUSD  (#7)</w:t>
            </w:r>
          </w:p>
        </w:tc>
        <w:tc>
          <w:tcPr>
            <w:tcW w:w="1417" w:type="dxa"/>
          </w:tcPr>
          <w:p w14:paraId="48265AA4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0</w:t>
            </w:r>
          </w:p>
        </w:tc>
        <w:tc>
          <w:tcPr>
            <w:tcW w:w="3628" w:type="dxa"/>
          </w:tcPr>
          <w:p w14:paraId="027029B0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placeholder</w:t>
            </w:r>
          </w:p>
        </w:tc>
      </w:tr>
      <w:tr w:rsidR="003B0422" w14:paraId="1DA056C0" w14:textId="77777777">
        <w:trPr>
          <w:jc w:val="center"/>
        </w:trPr>
        <w:tc>
          <w:tcPr>
            <w:tcW w:w="397" w:type="dxa"/>
            <w:shd w:val="clear" w:color="auto" w:fill="F1F4F8"/>
          </w:tcPr>
          <w:p w14:paraId="1292E1E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6</w:t>
            </w:r>
          </w:p>
        </w:tc>
        <w:tc>
          <w:tcPr>
            <w:tcW w:w="1757" w:type="dxa"/>
            <w:shd w:val="clear" w:color="auto" w:fill="F1F4F8"/>
          </w:tcPr>
          <w:p w14:paraId="27F1737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Secondary loop</w:t>
            </w:r>
          </w:p>
        </w:tc>
        <w:tc>
          <w:tcPr>
            <w:tcW w:w="2438" w:type="dxa"/>
            <w:shd w:val="clear" w:color="auto" w:fill="F1F4F8"/>
          </w:tcPr>
          <w:p w14:paraId="74E7BBE6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— free</w:t>
            </w:r>
          </w:p>
        </w:tc>
        <w:tc>
          <w:tcPr>
            <w:tcW w:w="1417" w:type="dxa"/>
            <w:shd w:val="clear" w:color="auto" w:fill="F1F4F8"/>
          </w:tcPr>
          <w:p w14:paraId="792069AD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15</w:t>
            </w:r>
          </w:p>
        </w:tc>
        <w:tc>
          <w:tcPr>
            <w:tcW w:w="3628" w:type="dxa"/>
            <w:shd w:val="clear" w:color="auto" w:fill="F1F4F8"/>
          </w:tcPr>
          <w:p w14:paraId="6B830D41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fixed; no RBS-like motif, no AUG</w:t>
            </w:r>
          </w:p>
        </w:tc>
      </w:tr>
      <w:tr w:rsidR="003B0422" w14:paraId="279BBD38" w14:textId="77777777">
        <w:trPr>
          <w:jc w:val="center"/>
        </w:trPr>
        <w:tc>
          <w:tcPr>
            <w:tcW w:w="397" w:type="dxa"/>
          </w:tcPr>
          <w:p w14:paraId="2B2CB907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7</w:t>
            </w:r>
          </w:p>
        </w:tc>
        <w:tc>
          <w:tcPr>
            <w:tcW w:w="1757" w:type="dxa"/>
          </w:tcPr>
          <w:p w14:paraId="6DC2FAA3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SUSD</w:t>
            </w:r>
          </w:p>
        </w:tc>
        <w:tc>
          <w:tcPr>
            <w:tcW w:w="2438" w:type="dxa"/>
          </w:tcPr>
          <w:p w14:paraId="6C1628C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SUSA  (#5)</w:t>
            </w:r>
          </w:p>
        </w:tc>
        <w:tc>
          <w:tcPr>
            <w:tcW w:w="1417" w:type="dxa"/>
          </w:tcPr>
          <w:p w14:paraId="2927A4AD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0</w:t>
            </w:r>
          </w:p>
        </w:tc>
        <w:tc>
          <w:tcPr>
            <w:tcW w:w="3628" w:type="dxa"/>
          </w:tcPr>
          <w:p w14:paraId="70E54BD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placeholder</w:t>
            </w:r>
          </w:p>
        </w:tc>
      </w:tr>
      <w:tr w:rsidR="003B0422" w14:paraId="5D9D2F11" w14:textId="77777777">
        <w:trPr>
          <w:jc w:val="center"/>
        </w:trPr>
        <w:tc>
          <w:tcPr>
            <w:tcW w:w="397" w:type="dxa"/>
            <w:shd w:val="clear" w:color="auto" w:fill="F1F4F8"/>
          </w:tcPr>
          <w:p w14:paraId="1CB6CAB6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8</w:t>
            </w:r>
          </w:p>
        </w:tc>
        <w:tc>
          <w:tcPr>
            <w:tcW w:w="1757" w:type="dxa"/>
            <w:shd w:val="clear" w:color="auto" w:fill="F1F4F8"/>
          </w:tcPr>
          <w:p w14:paraId="2B8B78E4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SecondaryZ</w:t>
            </w:r>
          </w:p>
        </w:tc>
        <w:tc>
          <w:tcPr>
            <w:tcW w:w="2438" w:type="dxa"/>
            <w:shd w:val="clear" w:color="auto" w:fill="F1F4F8"/>
          </w:tcPr>
          <w:p w14:paraId="20A99554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k2*  (#4)</w:t>
            </w:r>
          </w:p>
        </w:tc>
        <w:tc>
          <w:tcPr>
            <w:tcW w:w="1417" w:type="dxa"/>
            <w:shd w:val="clear" w:color="auto" w:fill="F1F4F8"/>
          </w:tcPr>
          <w:p w14:paraId="24D26A78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18 − len_x</w:t>
            </w:r>
          </w:p>
        </w:tc>
        <w:tc>
          <w:tcPr>
            <w:tcW w:w="3628" w:type="dxa"/>
            <w:shd w:val="clear" w:color="auto" w:fill="F1F4F8"/>
          </w:tcPr>
          <w:p w14:paraId="374B44DA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≈ k2, weakened by ddG_pref (R6)</w:t>
            </w:r>
          </w:p>
        </w:tc>
      </w:tr>
      <w:tr w:rsidR="003B0422" w14:paraId="6A6A1594" w14:textId="77777777">
        <w:trPr>
          <w:jc w:val="center"/>
        </w:trPr>
        <w:tc>
          <w:tcPr>
            <w:tcW w:w="397" w:type="dxa"/>
          </w:tcPr>
          <w:p w14:paraId="72239124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9</w:t>
            </w:r>
          </w:p>
        </w:tc>
        <w:tc>
          <w:tcPr>
            <w:tcW w:w="1757" w:type="dxa"/>
          </w:tcPr>
          <w:p w14:paraId="5983F67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x*</w:t>
            </w:r>
          </w:p>
        </w:tc>
        <w:tc>
          <w:tcPr>
            <w:tcW w:w="2438" w:type="dxa"/>
          </w:tcPr>
          <w:p w14:paraId="3693B5CF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Secondary_pre*  (#3)</w:t>
            </w:r>
          </w:p>
        </w:tc>
        <w:tc>
          <w:tcPr>
            <w:tcW w:w="1417" w:type="dxa"/>
          </w:tcPr>
          <w:p w14:paraId="5BB299F8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len_x</w:t>
            </w:r>
          </w:p>
        </w:tc>
        <w:tc>
          <w:tcPr>
            <w:tcW w:w="3628" w:type="dxa"/>
          </w:tcPr>
          <w:p w14:paraId="6DC99BC7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revcomp(x); gene A</w:t>
            </w:r>
          </w:p>
        </w:tc>
      </w:tr>
      <w:tr w:rsidR="003B0422" w14:paraId="32F021AC" w14:textId="77777777">
        <w:trPr>
          <w:jc w:val="center"/>
        </w:trPr>
        <w:tc>
          <w:tcPr>
            <w:tcW w:w="397" w:type="dxa"/>
            <w:shd w:val="clear" w:color="auto" w:fill="F1F4F8"/>
          </w:tcPr>
          <w:p w14:paraId="02CACB60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10</w:t>
            </w:r>
          </w:p>
        </w:tc>
        <w:tc>
          <w:tcPr>
            <w:tcW w:w="1757" w:type="dxa"/>
            <w:shd w:val="clear" w:color="auto" w:fill="F1F4F8"/>
          </w:tcPr>
          <w:p w14:paraId="38E8D7F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a</w:t>
            </w:r>
          </w:p>
        </w:tc>
        <w:tc>
          <w:tcPr>
            <w:tcW w:w="2438" w:type="dxa"/>
            <w:shd w:val="clear" w:color="auto" w:fill="F1F4F8"/>
          </w:tcPr>
          <w:p w14:paraId="57B24AD8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— free</w:t>
            </w:r>
          </w:p>
        </w:tc>
        <w:tc>
          <w:tcPr>
            <w:tcW w:w="1417" w:type="dxa"/>
            <w:shd w:val="clear" w:color="auto" w:fill="F1F4F8"/>
          </w:tcPr>
          <w:p w14:paraId="6DEE13B6" w14:textId="77777777" w:rsidR="003B0422" w:rsidRDefault="00000000">
            <w:pPr>
              <w:spacing w:before="40" w:after="40"/>
            </w:pPr>
            <w:r>
              <w:rPr>
                <w:b/>
                <w:sz w:val="15"/>
              </w:rPr>
              <w:t>0</w:t>
            </w:r>
          </w:p>
        </w:tc>
        <w:tc>
          <w:tcPr>
            <w:tcW w:w="3628" w:type="dxa"/>
            <w:shd w:val="clear" w:color="auto" w:fill="F1F4F8"/>
          </w:tcPr>
          <w:p w14:paraId="617725C0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the defining parameter of A0</w:t>
            </w:r>
          </w:p>
        </w:tc>
      </w:tr>
      <w:tr w:rsidR="003B0422" w14:paraId="43AD7A35" w14:textId="77777777">
        <w:trPr>
          <w:jc w:val="center"/>
        </w:trPr>
        <w:tc>
          <w:tcPr>
            <w:tcW w:w="397" w:type="dxa"/>
          </w:tcPr>
          <w:p w14:paraId="4148A50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11</w:t>
            </w:r>
          </w:p>
        </w:tc>
        <w:tc>
          <w:tcPr>
            <w:tcW w:w="1757" w:type="dxa"/>
          </w:tcPr>
          <w:p w14:paraId="1AF05D82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Main_pre*</w:t>
            </w:r>
          </w:p>
        </w:tc>
        <w:tc>
          <w:tcPr>
            <w:tcW w:w="2438" w:type="dxa"/>
          </w:tcPr>
          <w:p w14:paraId="123FF4C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Main_pre  (#19)</w:t>
            </w:r>
          </w:p>
        </w:tc>
        <w:tc>
          <w:tcPr>
            <w:tcW w:w="1417" w:type="dxa"/>
          </w:tcPr>
          <w:p w14:paraId="3A9E6B1B" w14:textId="77777777" w:rsidR="003B0422" w:rsidRDefault="00000000">
            <w:pPr>
              <w:spacing w:before="40" w:after="40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w="3628" w:type="dxa"/>
          </w:tcPr>
          <w:p w14:paraId="6A7FCB77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revcomp(Main_pre); gene A</w:t>
            </w:r>
          </w:p>
        </w:tc>
      </w:tr>
      <w:tr w:rsidR="003B0422" w14:paraId="5DAE07CC" w14:textId="77777777">
        <w:trPr>
          <w:jc w:val="center"/>
        </w:trPr>
        <w:tc>
          <w:tcPr>
            <w:tcW w:w="397" w:type="dxa"/>
            <w:shd w:val="clear" w:color="auto" w:fill="F1F4F8"/>
          </w:tcPr>
          <w:p w14:paraId="71362542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12</w:t>
            </w:r>
          </w:p>
        </w:tc>
        <w:tc>
          <w:tcPr>
            <w:tcW w:w="1757" w:type="dxa"/>
            <w:shd w:val="clear" w:color="auto" w:fill="F1F4F8"/>
          </w:tcPr>
          <w:p w14:paraId="4540454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opposing_bulge</w:t>
            </w:r>
          </w:p>
        </w:tc>
        <w:tc>
          <w:tcPr>
            <w:tcW w:w="2438" w:type="dxa"/>
            <w:shd w:val="clear" w:color="auto" w:fill="F1F4F8"/>
          </w:tcPr>
          <w:p w14:paraId="4DAF32E0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— free in OFF;</w:t>
            </w:r>
          </w:p>
          <w:p w14:paraId="553F930A" w14:textId="77777777" w:rsidR="003B0422" w:rsidRDefault="00000000">
            <w:pPr>
              <w:spacing w:after="40"/>
            </w:pPr>
            <w:r>
              <w:rPr>
                <w:sz w:val="15"/>
              </w:rPr>
              <w:t>paired by trigger A in ON</w:t>
            </w:r>
          </w:p>
        </w:tc>
        <w:tc>
          <w:tcPr>
            <w:tcW w:w="1417" w:type="dxa"/>
            <w:shd w:val="clear" w:color="auto" w:fill="F1F4F8"/>
          </w:tcPr>
          <w:p w14:paraId="02F8D468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3</w:t>
            </w:r>
          </w:p>
        </w:tc>
        <w:tc>
          <w:tcPr>
            <w:tcW w:w="3628" w:type="dxa"/>
            <w:shd w:val="clear" w:color="auto" w:fill="F1F4F8"/>
          </w:tcPr>
          <w:p w14:paraId="1EF9513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revcomp of trigger A's 3 nt (R7)</w:t>
            </w:r>
          </w:p>
        </w:tc>
      </w:tr>
      <w:tr w:rsidR="003B0422" w14:paraId="631BEB05" w14:textId="77777777">
        <w:trPr>
          <w:jc w:val="center"/>
        </w:trPr>
        <w:tc>
          <w:tcPr>
            <w:tcW w:w="397" w:type="dxa"/>
          </w:tcPr>
          <w:p w14:paraId="786DF2E6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13</w:t>
            </w:r>
          </w:p>
        </w:tc>
        <w:tc>
          <w:tcPr>
            <w:tcW w:w="1757" w:type="dxa"/>
          </w:tcPr>
          <w:p w14:paraId="2D0C60EF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k1*</w:t>
            </w:r>
          </w:p>
        </w:tc>
        <w:tc>
          <w:tcPr>
            <w:tcW w:w="2438" w:type="dxa"/>
          </w:tcPr>
          <w:p w14:paraId="4EEF8292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MainZ  (#17)</w:t>
            </w:r>
          </w:p>
        </w:tc>
        <w:tc>
          <w:tcPr>
            <w:tcW w:w="1417" w:type="dxa"/>
          </w:tcPr>
          <w:p w14:paraId="5570FB65" w14:textId="77777777" w:rsidR="003B0422" w:rsidRDefault="00000000">
            <w:pPr>
              <w:spacing w:before="40" w:after="40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3628" w:type="dxa"/>
          </w:tcPr>
          <w:p w14:paraId="6A694228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revcomp(k1); gene A</w:t>
            </w:r>
          </w:p>
        </w:tc>
      </w:tr>
      <w:tr w:rsidR="003B0422" w14:paraId="217DB657" w14:textId="77777777">
        <w:trPr>
          <w:jc w:val="center"/>
        </w:trPr>
        <w:tc>
          <w:tcPr>
            <w:tcW w:w="397" w:type="dxa"/>
            <w:shd w:val="clear" w:color="auto" w:fill="F1F4F8"/>
          </w:tcPr>
          <w:p w14:paraId="41140DA3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14</w:t>
            </w:r>
          </w:p>
        </w:tc>
        <w:tc>
          <w:tcPr>
            <w:tcW w:w="1757" w:type="dxa"/>
            <w:shd w:val="clear" w:color="auto" w:fill="F1F4F8"/>
          </w:tcPr>
          <w:p w14:paraId="395BF27E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MUSA</w:t>
            </w:r>
          </w:p>
        </w:tc>
        <w:tc>
          <w:tcPr>
            <w:tcW w:w="2438" w:type="dxa"/>
            <w:shd w:val="clear" w:color="auto" w:fill="F1F4F8"/>
          </w:tcPr>
          <w:p w14:paraId="1772A22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MUSD  (#16)</w:t>
            </w:r>
          </w:p>
        </w:tc>
        <w:tc>
          <w:tcPr>
            <w:tcW w:w="1417" w:type="dxa"/>
            <w:shd w:val="clear" w:color="auto" w:fill="F1F4F8"/>
          </w:tcPr>
          <w:p w14:paraId="23C40FA8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0</w:t>
            </w:r>
          </w:p>
        </w:tc>
        <w:tc>
          <w:tcPr>
            <w:tcW w:w="3628" w:type="dxa"/>
            <w:shd w:val="clear" w:color="auto" w:fill="F1F4F8"/>
          </w:tcPr>
          <w:p w14:paraId="3399772D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placeholder</w:t>
            </w:r>
          </w:p>
        </w:tc>
      </w:tr>
      <w:tr w:rsidR="003B0422" w14:paraId="0A6EAC78" w14:textId="77777777">
        <w:trPr>
          <w:jc w:val="center"/>
        </w:trPr>
        <w:tc>
          <w:tcPr>
            <w:tcW w:w="397" w:type="dxa"/>
          </w:tcPr>
          <w:p w14:paraId="6EC8FBE6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15</w:t>
            </w:r>
          </w:p>
        </w:tc>
        <w:tc>
          <w:tcPr>
            <w:tcW w:w="1757" w:type="dxa"/>
          </w:tcPr>
          <w:p w14:paraId="2F748DA8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RBS loop</w:t>
            </w:r>
          </w:p>
        </w:tc>
        <w:tc>
          <w:tcPr>
            <w:tcW w:w="2438" w:type="dxa"/>
          </w:tcPr>
          <w:p w14:paraId="256B3D7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— free</w:t>
            </w:r>
          </w:p>
        </w:tc>
        <w:tc>
          <w:tcPr>
            <w:tcW w:w="1417" w:type="dxa"/>
          </w:tcPr>
          <w:p w14:paraId="1E2223D3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18</w:t>
            </w:r>
          </w:p>
        </w:tc>
        <w:tc>
          <w:tcPr>
            <w:tcW w:w="3628" w:type="dxa"/>
          </w:tcPr>
          <w:p w14:paraId="1EC51977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fixed; RBS flush at its 3' end</w:t>
            </w:r>
          </w:p>
        </w:tc>
      </w:tr>
      <w:tr w:rsidR="003B0422" w14:paraId="72C45D59" w14:textId="77777777">
        <w:trPr>
          <w:jc w:val="center"/>
        </w:trPr>
        <w:tc>
          <w:tcPr>
            <w:tcW w:w="397" w:type="dxa"/>
            <w:shd w:val="clear" w:color="auto" w:fill="F1F4F8"/>
          </w:tcPr>
          <w:p w14:paraId="52DB40F3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16</w:t>
            </w:r>
          </w:p>
        </w:tc>
        <w:tc>
          <w:tcPr>
            <w:tcW w:w="1757" w:type="dxa"/>
            <w:shd w:val="clear" w:color="auto" w:fill="F1F4F8"/>
          </w:tcPr>
          <w:p w14:paraId="40577D73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MUSD</w:t>
            </w:r>
          </w:p>
        </w:tc>
        <w:tc>
          <w:tcPr>
            <w:tcW w:w="2438" w:type="dxa"/>
            <w:shd w:val="clear" w:color="auto" w:fill="F1F4F8"/>
          </w:tcPr>
          <w:p w14:paraId="77747014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MUSA  (#14)</w:t>
            </w:r>
          </w:p>
        </w:tc>
        <w:tc>
          <w:tcPr>
            <w:tcW w:w="1417" w:type="dxa"/>
            <w:shd w:val="clear" w:color="auto" w:fill="F1F4F8"/>
          </w:tcPr>
          <w:p w14:paraId="48FC9E2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0</w:t>
            </w:r>
          </w:p>
        </w:tc>
        <w:tc>
          <w:tcPr>
            <w:tcW w:w="3628" w:type="dxa"/>
            <w:shd w:val="clear" w:color="auto" w:fill="F1F4F8"/>
          </w:tcPr>
          <w:p w14:paraId="1E4C5E24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placeholder</w:t>
            </w:r>
          </w:p>
        </w:tc>
      </w:tr>
      <w:tr w:rsidR="003B0422" w14:paraId="1FD42B2B" w14:textId="77777777">
        <w:trPr>
          <w:jc w:val="center"/>
        </w:trPr>
        <w:tc>
          <w:tcPr>
            <w:tcW w:w="397" w:type="dxa"/>
          </w:tcPr>
          <w:p w14:paraId="723E0A1A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17</w:t>
            </w:r>
          </w:p>
        </w:tc>
        <w:tc>
          <w:tcPr>
            <w:tcW w:w="1757" w:type="dxa"/>
          </w:tcPr>
          <w:p w14:paraId="51168181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MainZ</w:t>
            </w:r>
          </w:p>
        </w:tc>
        <w:tc>
          <w:tcPr>
            <w:tcW w:w="2438" w:type="dxa"/>
          </w:tcPr>
          <w:p w14:paraId="677307A7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k1*  (#13)</w:t>
            </w:r>
          </w:p>
        </w:tc>
        <w:tc>
          <w:tcPr>
            <w:tcW w:w="1417" w:type="dxa"/>
          </w:tcPr>
          <w:p w14:paraId="42F9910C" w14:textId="77777777" w:rsidR="003B0422" w:rsidRDefault="00000000">
            <w:pPr>
              <w:spacing w:before="40" w:after="40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3628" w:type="dxa"/>
          </w:tcPr>
          <w:p w14:paraId="7B3E4B1A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≈ k1, weakened by ddG_pref (R6)</w:t>
            </w:r>
          </w:p>
        </w:tc>
      </w:tr>
      <w:tr w:rsidR="003B0422" w14:paraId="5FDBC801" w14:textId="77777777">
        <w:trPr>
          <w:jc w:val="center"/>
        </w:trPr>
        <w:tc>
          <w:tcPr>
            <w:tcW w:w="397" w:type="dxa"/>
            <w:shd w:val="clear" w:color="auto" w:fill="F1F4F8"/>
          </w:tcPr>
          <w:p w14:paraId="2988DAE0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18</w:t>
            </w:r>
          </w:p>
        </w:tc>
        <w:tc>
          <w:tcPr>
            <w:tcW w:w="1757" w:type="dxa"/>
            <w:shd w:val="clear" w:color="auto" w:fill="F1F4F8"/>
          </w:tcPr>
          <w:p w14:paraId="02419D71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AUG</w:t>
            </w:r>
          </w:p>
        </w:tc>
        <w:tc>
          <w:tcPr>
            <w:tcW w:w="2438" w:type="dxa"/>
            <w:shd w:val="clear" w:color="auto" w:fill="F1F4F8"/>
          </w:tcPr>
          <w:p w14:paraId="2A41B844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— free</w:t>
            </w:r>
          </w:p>
        </w:tc>
        <w:tc>
          <w:tcPr>
            <w:tcW w:w="1417" w:type="dxa"/>
            <w:shd w:val="clear" w:color="auto" w:fill="F1F4F8"/>
          </w:tcPr>
          <w:p w14:paraId="3646D5BC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3</w:t>
            </w:r>
          </w:p>
        </w:tc>
        <w:tc>
          <w:tcPr>
            <w:tcW w:w="3628" w:type="dxa"/>
            <w:shd w:val="clear" w:color="auto" w:fill="F1F4F8"/>
          </w:tcPr>
          <w:p w14:paraId="56824D4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fixed: start codon</w:t>
            </w:r>
          </w:p>
        </w:tc>
      </w:tr>
      <w:tr w:rsidR="003B0422" w14:paraId="34D665CF" w14:textId="77777777">
        <w:trPr>
          <w:jc w:val="center"/>
        </w:trPr>
        <w:tc>
          <w:tcPr>
            <w:tcW w:w="397" w:type="dxa"/>
          </w:tcPr>
          <w:p w14:paraId="0D94AA14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19</w:t>
            </w:r>
          </w:p>
        </w:tc>
        <w:tc>
          <w:tcPr>
            <w:tcW w:w="1757" w:type="dxa"/>
          </w:tcPr>
          <w:p w14:paraId="1B4D8155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Main_pre</w:t>
            </w:r>
          </w:p>
        </w:tc>
        <w:tc>
          <w:tcPr>
            <w:tcW w:w="2438" w:type="dxa"/>
          </w:tcPr>
          <w:p w14:paraId="076758F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Main_pre*  (#11)</w:t>
            </w:r>
          </w:p>
        </w:tc>
        <w:tc>
          <w:tcPr>
            <w:tcW w:w="1417" w:type="dxa"/>
          </w:tcPr>
          <w:p w14:paraId="22CCF9B0" w14:textId="77777777" w:rsidR="003B0422" w:rsidRDefault="00000000">
            <w:pPr>
              <w:spacing w:before="40" w:after="40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w="3628" w:type="dxa"/>
          </w:tcPr>
          <w:p w14:paraId="2C939561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gene A</w:t>
            </w:r>
          </w:p>
        </w:tc>
      </w:tr>
      <w:tr w:rsidR="003B0422" w14:paraId="71BAEFCC" w14:textId="77777777">
        <w:trPr>
          <w:jc w:val="center"/>
        </w:trPr>
        <w:tc>
          <w:tcPr>
            <w:tcW w:w="397" w:type="dxa"/>
            <w:shd w:val="clear" w:color="auto" w:fill="F1F4F8"/>
          </w:tcPr>
          <w:p w14:paraId="200C7930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20</w:t>
            </w:r>
          </w:p>
        </w:tc>
        <w:tc>
          <w:tcPr>
            <w:tcW w:w="1757" w:type="dxa"/>
            <w:shd w:val="clear" w:color="auto" w:fill="F1F4F8"/>
          </w:tcPr>
          <w:p w14:paraId="1991E8C0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LINKER</w:t>
            </w:r>
          </w:p>
        </w:tc>
        <w:tc>
          <w:tcPr>
            <w:tcW w:w="2438" w:type="dxa"/>
            <w:shd w:val="clear" w:color="auto" w:fill="F1F4F8"/>
          </w:tcPr>
          <w:p w14:paraId="0D9ADE14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— free</w:t>
            </w:r>
          </w:p>
        </w:tc>
        <w:tc>
          <w:tcPr>
            <w:tcW w:w="1417" w:type="dxa"/>
            <w:shd w:val="clear" w:color="auto" w:fill="F1F4F8"/>
          </w:tcPr>
          <w:p w14:paraId="09464DF5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21</w:t>
            </w:r>
          </w:p>
        </w:tc>
        <w:tc>
          <w:tcPr>
            <w:tcW w:w="3628" w:type="dxa"/>
            <w:shd w:val="clear" w:color="auto" w:fill="F1F4F8"/>
          </w:tcPr>
          <w:p w14:paraId="69295551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fixed</w:t>
            </w:r>
          </w:p>
        </w:tc>
      </w:tr>
      <w:tr w:rsidR="003B0422" w14:paraId="45F880E7" w14:textId="77777777">
        <w:trPr>
          <w:jc w:val="center"/>
        </w:trPr>
        <w:tc>
          <w:tcPr>
            <w:tcW w:w="397" w:type="dxa"/>
          </w:tcPr>
          <w:p w14:paraId="2B8E4A1D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21</w:t>
            </w:r>
          </w:p>
        </w:tc>
        <w:tc>
          <w:tcPr>
            <w:tcW w:w="1757" w:type="dxa"/>
          </w:tcPr>
          <w:p w14:paraId="0CBE0EAF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GFP CDS</w:t>
            </w:r>
          </w:p>
        </w:tc>
        <w:tc>
          <w:tcPr>
            <w:tcW w:w="2438" w:type="dxa"/>
          </w:tcPr>
          <w:p w14:paraId="7246025F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— free</w:t>
            </w:r>
          </w:p>
        </w:tc>
        <w:tc>
          <w:tcPr>
            <w:tcW w:w="1417" w:type="dxa"/>
          </w:tcPr>
          <w:p w14:paraId="02D5FC90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759</w:t>
            </w:r>
          </w:p>
        </w:tc>
        <w:tc>
          <w:tcPr>
            <w:tcW w:w="3628" w:type="dxa"/>
          </w:tcPr>
          <w:p w14:paraId="6646D223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fixed</w:t>
            </w:r>
          </w:p>
        </w:tc>
      </w:tr>
    </w:tbl>
    <w:p w14:paraId="6975F5E2" w14:textId="77777777" w:rsidR="003B0422" w:rsidRDefault="003B0422">
      <w:pPr>
        <w:spacing w:after="80"/>
      </w:pPr>
    </w:p>
    <w:p w14:paraId="6D66C261" w14:textId="77777777" w:rsidR="003B0422" w:rsidRDefault="00000000">
      <w:r>
        <w:rPr>
          <w:i/>
          <w:color w:val="495057"/>
          <w:sz w:val="16"/>
        </w:rPr>
        <w:t xml:space="preserve">Elements 5, 7, 10, 14 and 16 are zero-length </w:t>
      </w:r>
      <w:r>
        <w:rPr>
          <w:b/>
          <w:i/>
          <w:color w:val="495057"/>
          <w:sz w:val="16"/>
        </w:rPr>
        <w:t>placeholders</w:t>
      </w:r>
      <w:r>
        <w:rPr>
          <w:i/>
          <w:color w:val="495057"/>
          <w:sz w:val="16"/>
        </w:rPr>
        <w:t>, kept in the layout so a future version can add an upper stem to either hairpin, or re-open the inter-hairpin spacer, without renumbering anything.</w:t>
      </w:r>
    </w:p>
    <w:p w14:paraId="1A3BF6EE" w14:textId="77777777" w:rsidR="003B0422" w:rsidRDefault="00000000">
      <w:pPr>
        <w:keepNext/>
        <w:spacing w:before="240" w:after="60"/>
      </w:pPr>
      <w:r>
        <w:rPr>
          <w:b/>
          <w:color w:val="1B3A5E"/>
          <w:sz w:val="22"/>
        </w:rPr>
        <w:t>1.2  The two triggers</w:t>
      </w:r>
    </w:p>
    <w:p w14:paraId="097CCD53" w14:textId="77777777" w:rsidR="003B0422" w:rsidRDefault="00000000">
      <w:pPr>
        <w:spacing w:after="40"/>
        <w:ind w:left="283"/>
      </w:pPr>
      <w:r>
        <w:rPr>
          <w:rFonts w:ascii="Consolas" w:hAnsi="Consolas"/>
          <w:sz w:val="17"/>
        </w:rPr>
        <w:t>Trigger A  (main, gene A)       5'-  k1 - opposing_bulge - Main_pre - a - x  -3'</w:t>
      </w:r>
    </w:p>
    <w:p w14:paraId="13DD99DC" w14:textId="77777777" w:rsidR="003B0422" w:rsidRDefault="00000000">
      <w:pPr>
        <w:ind w:left="283"/>
      </w:pPr>
      <w:r>
        <w:rPr>
          <w:rFonts w:ascii="Consolas" w:hAnsi="Consolas"/>
          <w:sz w:val="17"/>
        </w:rPr>
        <w:t>Trigger B  (secondary, gene B)  5'-  k2 - Secondary_pre - r2               -3'</w:t>
      </w:r>
    </w:p>
    <w:p w14:paraId="376442F2" w14:textId="77777777" w:rsidR="003B0422" w:rsidRDefault="00000000">
      <w:r>
        <w:rPr>
          <w:b/>
          <w:sz w:val="18"/>
        </w:rPr>
        <w:t>Reading rule.</w:t>
      </w:r>
      <w:r>
        <w:rPr>
          <w:sz w:val="18"/>
        </w:rPr>
        <w:t xml:space="preserve"> A trigger binds antiparallel, so its 5' end pairs with the </w:t>
      </w:r>
      <w:r>
        <w:rPr>
          <w:b/>
          <w:sz w:val="18"/>
        </w:rPr>
        <w:t>3'-most</w:t>
      </w:r>
      <w:r>
        <w:rPr>
          <w:sz w:val="18"/>
        </w:rPr>
        <w:t xml:space="preserve"> element of its footprint on the switch. Listing a trigger's domains in switch order gives the reverse of the correct sequence.</w:t>
      </w:r>
    </w:p>
    <w:p w14:paraId="1C691655" w14:textId="77777777" w:rsidR="003B0422" w:rsidRDefault="00000000">
      <w:r>
        <w:rPr>
          <w:b/>
          <w:sz w:val="18"/>
        </w:rPr>
        <w:t>The shared domain.</w:t>
      </w:r>
      <w:r>
        <w:rPr>
          <w:sz w:val="18"/>
        </w:rPr>
        <w:t xml:space="preserve"> Secondary_pre = x*, so trigger A carries x and trigger B carries x*. That overlap is what couples the two halves of the gate — and it is also what lets the two triggers bind each other instead of the switch (R10).</w:t>
      </w:r>
    </w:p>
    <w:p w14:paraId="068A7B3F" w14:textId="77777777" w:rsidR="003B0422" w:rsidRDefault="00000000">
      <w:pPr>
        <w:keepNext/>
        <w:spacing w:before="240" w:after="60"/>
      </w:pPr>
      <w:r>
        <w:rPr>
          <w:b/>
          <w:color w:val="1B3A5E"/>
          <w:sz w:val="22"/>
        </w:rPr>
        <w:t>1.3  The four states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474"/>
        <w:gridCol w:w="6236"/>
        <w:gridCol w:w="1134"/>
      </w:tblGrid>
      <w:tr w:rsidR="003B0422" w14:paraId="561DE728" w14:textId="77777777">
        <w:trPr>
          <w:tblHeader/>
          <w:jc w:val="center"/>
        </w:trPr>
        <w:tc>
          <w:tcPr>
            <w:tcW w:w="794" w:type="dxa"/>
            <w:shd w:val="clear" w:color="auto" w:fill="1B3A5E"/>
          </w:tcPr>
          <w:p w14:paraId="09A6D47D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w="1474" w:type="dxa"/>
            <w:shd w:val="clear" w:color="auto" w:fill="1B3A5E"/>
          </w:tcPr>
          <w:p w14:paraId="60328684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w="6236" w:type="dxa"/>
            <w:shd w:val="clear" w:color="auto" w:fill="1B3A5E"/>
          </w:tcPr>
          <w:p w14:paraId="0D5F5E42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what happens</w:t>
            </w:r>
          </w:p>
        </w:tc>
        <w:tc>
          <w:tcPr>
            <w:tcW w:w="1134" w:type="dxa"/>
            <w:shd w:val="clear" w:color="auto" w:fill="1B3A5E"/>
          </w:tcPr>
          <w:p w14:paraId="1EAFB776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output</w:t>
            </w:r>
          </w:p>
        </w:tc>
      </w:tr>
      <w:tr w:rsidR="003B0422" w14:paraId="5BB2BC37" w14:textId="77777777">
        <w:trPr>
          <w:jc w:val="center"/>
        </w:trPr>
        <w:tc>
          <w:tcPr>
            <w:tcW w:w="794" w:type="dxa"/>
          </w:tcPr>
          <w:p w14:paraId="5439D9B3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00</w:t>
            </w:r>
          </w:p>
        </w:tc>
        <w:tc>
          <w:tcPr>
            <w:tcW w:w="1474" w:type="dxa"/>
          </w:tcPr>
          <w:p w14:paraId="4A617EA5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neither</w:t>
            </w:r>
          </w:p>
        </w:tc>
        <w:tc>
          <w:tcPr>
            <w:tcW w:w="6236" w:type="dxa"/>
          </w:tcPr>
          <w:p w14:paraId="194458E2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both hairpins closed; x* is paired</w:t>
            </w:r>
          </w:p>
        </w:tc>
        <w:tc>
          <w:tcPr>
            <w:tcW w:w="1134" w:type="dxa"/>
          </w:tcPr>
          <w:p w14:paraId="6E12A0E1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OFF</w:t>
            </w:r>
          </w:p>
        </w:tc>
      </w:tr>
      <w:tr w:rsidR="003B0422" w14:paraId="7224FF1A" w14:textId="77777777">
        <w:trPr>
          <w:jc w:val="center"/>
        </w:trPr>
        <w:tc>
          <w:tcPr>
            <w:tcW w:w="794" w:type="dxa"/>
            <w:shd w:val="clear" w:color="auto" w:fill="F1F4F8"/>
          </w:tcPr>
          <w:p w14:paraId="72EB7A25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w="1474" w:type="dxa"/>
            <w:shd w:val="clear" w:color="auto" w:fill="F1F4F8"/>
          </w:tcPr>
          <w:p w14:paraId="4EB9DA6C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trigger A only</w:t>
            </w:r>
          </w:p>
        </w:tc>
        <w:tc>
          <w:tcPr>
            <w:tcW w:w="6236" w:type="dxa"/>
            <w:shd w:val="clear" w:color="auto" w:fill="F1F4F8"/>
          </w:tcPr>
          <w:p w14:paraId="4AFD3A2D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x* still paired — A has nothing to nucleate on</w:t>
            </w:r>
          </w:p>
        </w:tc>
        <w:tc>
          <w:tcPr>
            <w:tcW w:w="1134" w:type="dxa"/>
            <w:shd w:val="clear" w:color="auto" w:fill="F1F4F8"/>
          </w:tcPr>
          <w:p w14:paraId="6FAD9B20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OFF</w:t>
            </w:r>
          </w:p>
        </w:tc>
      </w:tr>
      <w:tr w:rsidR="003B0422" w14:paraId="3FA1EF76" w14:textId="77777777">
        <w:trPr>
          <w:jc w:val="center"/>
        </w:trPr>
        <w:tc>
          <w:tcPr>
            <w:tcW w:w="794" w:type="dxa"/>
          </w:tcPr>
          <w:p w14:paraId="105B789E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01</w:t>
            </w:r>
          </w:p>
        </w:tc>
        <w:tc>
          <w:tcPr>
            <w:tcW w:w="1474" w:type="dxa"/>
          </w:tcPr>
          <w:p w14:paraId="202EF5BB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trigger B only</w:t>
            </w:r>
          </w:p>
        </w:tc>
        <w:tc>
          <w:tcPr>
            <w:tcW w:w="6236" w:type="dxa"/>
          </w:tcPr>
          <w:p w14:paraId="4495C07B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secondary hairpin opens and frees x*; the AUG stays locked</w:t>
            </w:r>
          </w:p>
        </w:tc>
        <w:tc>
          <w:tcPr>
            <w:tcW w:w="1134" w:type="dxa"/>
          </w:tcPr>
          <w:p w14:paraId="4005F557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OFF</w:t>
            </w:r>
          </w:p>
        </w:tc>
      </w:tr>
      <w:tr w:rsidR="003B0422" w14:paraId="743495CA" w14:textId="77777777">
        <w:trPr>
          <w:jc w:val="center"/>
        </w:trPr>
        <w:tc>
          <w:tcPr>
            <w:tcW w:w="794" w:type="dxa"/>
            <w:shd w:val="clear" w:color="auto" w:fill="EAF3EC"/>
          </w:tcPr>
          <w:p w14:paraId="426C4813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w="1474" w:type="dxa"/>
            <w:shd w:val="clear" w:color="auto" w:fill="EAF3EC"/>
          </w:tcPr>
          <w:p w14:paraId="4F15E24F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A + B</w:t>
            </w:r>
          </w:p>
        </w:tc>
        <w:tc>
          <w:tcPr>
            <w:tcW w:w="6236" w:type="dxa"/>
            <w:shd w:val="clear" w:color="auto" w:fill="EAF3EC"/>
          </w:tcPr>
          <w:p w14:paraId="1597CFA3" w14:textId="77777777" w:rsidR="003B0422" w:rsidRDefault="00000000">
            <w:pPr>
              <w:spacing w:before="40" w:after="40"/>
            </w:pPr>
            <w:r>
              <w:rPr>
                <w:sz w:val="17"/>
              </w:rPr>
              <w:t>A nucleates on the freed x*, then branch-migrates through Main_pre* and k1*, displacing MainZ and Main_pre and freeing the start codon</w:t>
            </w:r>
          </w:p>
        </w:tc>
        <w:tc>
          <w:tcPr>
            <w:tcW w:w="1134" w:type="dxa"/>
            <w:shd w:val="clear" w:color="auto" w:fill="EAF3EC"/>
          </w:tcPr>
          <w:p w14:paraId="7C055902" w14:textId="77777777" w:rsidR="003B0422" w:rsidRDefault="00000000">
            <w:pPr>
              <w:spacing w:before="40" w:after="40"/>
            </w:pPr>
            <w:r>
              <w:rPr>
                <w:b/>
                <w:sz w:val="17"/>
              </w:rPr>
              <w:t>ON</w:t>
            </w:r>
          </w:p>
        </w:tc>
      </w:tr>
    </w:tbl>
    <w:p w14:paraId="20634E29" w14:textId="77777777" w:rsidR="003B0422" w:rsidRDefault="003B0422">
      <w:pPr>
        <w:spacing w:after="80"/>
      </w:pPr>
    </w:p>
    <w:p w14:paraId="1CBA4467" w14:textId="77777777" w:rsidR="003B0422" w:rsidRDefault="00000000">
      <w:pPr>
        <w:keepNext/>
        <w:pageBreakBefore/>
        <w:pBdr>
          <w:bottom w:val="single" w:sz="6" w:space="3" w:color="1B3A5E"/>
        </w:pBdr>
        <w:spacing w:before="360"/>
      </w:pPr>
      <w:r>
        <w:rPr>
          <w:b/>
          <w:color w:val="1B3A5E"/>
          <w:sz w:val="28"/>
        </w:rPr>
        <w:lastRenderedPageBreak/>
        <w:t>2.  Design rules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685"/>
        <w:gridCol w:w="5329"/>
      </w:tblGrid>
      <w:tr w:rsidR="003B0422" w14:paraId="7D13B9E3" w14:textId="77777777">
        <w:trPr>
          <w:tblHeader/>
          <w:jc w:val="center"/>
        </w:trPr>
        <w:tc>
          <w:tcPr>
            <w:tcW w:w="624" w:type="dxa"/>
            <w:shd w:val="clear" w:color="auto" w:fill="1B3A5E"/>
          </w:tcPr>
          <w:p w14:paraId="30DEDE2A" w14:textId="77777777" w:rsidR="003B0422" w:rsidRDefault="003B0422">
            <w:pPr>
              <w:spacing w:before="40" w:after="40"/>
            </w:pPr>
          </w:p>
        </w:tc>
        <w:tc>
          <w:tcPr>
            <w:tcW w:w="3685" w:type="dxa"/>
            <w:shd w:val="clear" w:color="auto" w:fill="1B3A5E"/>
          </w:tcPr>
          <w:p w14:paraId="70FDB451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5329" w:type="dxa"/>
            <w:shd w:val="clear" w:color="auto" w:fill="1B3A5E"/>
          </w:tcPr>
          <w:p w14:paraId="4FFB7711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why</w:t>
            </w:r>
          </w:p>
        </w:tc>
      </w:tr>
      <w:tr w:rsidR="003B0422" w14:paraId="1ACA6120" w14:textId="77777777">
        <w:trPr>
          <w:jc w:val="center"/>
        </w:trPr>
        <w:tc>
          <w:tcPr>
            <w:tcW w:w="624" w:type="dxa"/>
          </w:tcPr>
          <w:p w14:paraId="78CF3D30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R1</w:t>
            </w:r>
          </w:p>
        </w:tc>
        <w:tc>
          <w:tcPr>
            <w:tcW w:w="3685" w:type="dxa"/>
          </w:tcPr>
          <w:p w14:paraId="416B40DD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Both hairpin stems are 18 bp.</w:t>
            </w:r>
            <w:r>
              <w:rPr>
                <w:sz w:val="16"/>
              </w:rPr>
              <w:t xml:space="preserve"> len_main_pre + len_k1 = 18 and len_x + len_k2 = 18.</w:t>
            </w:r>
          </w:p>
        </w:tc>
        <w:tc>
          <w:tcPr>
            <w:tcW w:w="5329" w:type="dxa"/>
          </w:tcPr>
          <w:p w14:paraId="4AA443D0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Published stems measure 15 (Green), 17 and 19 (Kim). 18 sits inside that band and closes every other length in the design.</w:t>
            </w:r>
          </w:p>
        </w:tc>
      </w:tr>
      <w:tr w:rsidR="003B0422" w14:paraId="74AC3008" w14:textId="77777777">
        <w:trPr>
          <w:jc w:val="center"/>
        </w:trPr>
        <w:tc>
          <w:tcPr>
            <w:tcW w:w="624" w:type="dxa"/>
            <w:shd w:val="clear" w:color="auto" w:fill="F1F4F8"/>
          </w:tcPr>
          <w:p w14:paraId="60FCC4F1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R2</w:t>
            </w:r>
          </w:p>
        </w:tc>
        <w:tc>
          <w:tcPr>
            <w:tcW w:w="3685" w:type="dxa"/>
            <w:shd w:val="clear" w:color="auto" w:fill="F1F4F8"/>
          </w:tcPr>
          <w:p w14:paraId="5C1C33DB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len_k1 = 6, so len_main_pre = 12.</w:t>
            </w:r>
          </w:p>
        </w:tc>
        <w:tc>
          <w:tcPr>
            <w:tcW w:w="5329" w:type="dxa"/>
            <w:shd w:val="clear" w:color="auto" w:fill="F1F4F8"/>
          </w:tcPr>
          <w:p w14:paraId="40FE3E63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 xml:space="preserve">The RBS sits flush against the 3' end of its loop, so len_k1 </w:t>
            </w:r>
            <w:r>
              <w:rPr>
                <w:b/>
                <w:sz w:val="16"/>
              </w:rPr>
              <w:t>is</w:t>
            </w:r>
            <w:r>
              <w:rPr>
                <w:sz w:val="16"/>
              </w:rPr>
              <w:t xml:space="preserve"> the Shine–Dalgarno-to-start-codon spacing. That spacing is 6 nt in Green, in Kim, and in all five of our own tested switches.</w:t>
            </w:r>
          </w:p>
        </w:tc>
      </w:tr>
      <w:tr w:rsidR="003B0422" w14:paraId="0B37C05C" w14:textId="77777777">
        <w:trPr>
          <w:jc w:val="center"/>
        </w:trPr>
        <w:tc>
          <w:tcPr>
            <w:tcW w:w="624" w:type="dxa"/>
          </w:tcPr>
          <w:p w14:paraId="0CBB9B78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R3</w:t>
            </w:r>
          </w:p>
        </w:tc>
        <w:tc>
          <w:tcPr>
            <w:tcW w:w="3685" w:type="dxa"/>
          </w:tcPr>
          <w:p w14:paraId="1448081D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a = 0.</w:t>
            </w:r>
            <w:r>
              <w:rPr>
                <w:sz w:val="16"/>
              </w:rPr>
              <w:t xml:space="preserve"> The two hairpins are directly adjacent.</w:t>
            </w:r>
          </w:p>
        </w:tc>
        <w:tc>
          <w:tcPr>
            <w:tcW w:w="5329" w:type="dxa"/>
          </w:tcPr>
          <w:p w14:paraId="2A6BF8E2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The defining parameter. Kim's series shows the gate becomes more AND-like as a shrinks; A0 takes it to the limit, so the dependency is structural rather than a matter of degree.</w:t>
            </w:r>
          </w:p>
        </w:tc>
      </w:tr>
      <w:tr w:rsidR="003B0422" w14:paraId="6982EC92" w14:textId="77777777">
        <w:trPr>
          <w:jc w:val="center"/>
        </w:trPr>
        <w:tc>
          <w:tcPr>
            <w:tcW w:w="624" w:type="dxa"/>
            <w:shd w:val="clear" w:color="auto" w:fill="F1F4F8"/>
          </w:tcPr>
          <w:p w14:paraId="74DB3D1F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R4</w:t>
            </w:r>
          </w:p>
        </w:tc>
        <w:tc>
          <w:tcPr>
            <w:tcW w:w="3685" w:type="dxa"/>
            <w:shd w:val="clear" w:color="auto" w:fill="F1F4F8"/>
          </w:tcPr>
          <w:p w14:paraId="19C4B4D7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Everything between the start codon and the GFP CDS must sum to a multiple of 3.</w:t>
            </w:r>
            <w:r>
              <w:rPr>
                <w:sz w:val="16"/>
              </w:rPr>
              <w:t xml:space="preserve"> Today that is Main_pre (12) + LINKER (21).</w:t>
            </w:r>
          </w:p>
        </w:tc>
        <w:tc>
          <w:tcPr>
            <w:tcW w:w="5329" w:type="dxa"/>
            <w:shd w:val="clear" w:color="auto" w:fill="F1F4F8"/>
          </w:tcPr>
          <w:p w14:paraId="2A5A6935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Reading frame. Stated in the general form so it still holds if an element is inserted there later.</w:t>
            </w:r>
          </w:p>
        </w:tc>
      </w:tr>
      <w:tr w:rsidR="003B0422" w14:paraId="0A4C6FF4" w14:textId="77777777">
        <w:trPr>
          <w:jc w:val="center"/>
        </w:trPr>
        <w:tc>
          <w:tcPr>
            <w:tcW w:w="624" w:type="dxa"/>
          </w:tcPr>
          <w:p w14:paraId="5EBA8078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R5</w:t>
            </w:r>
          </w:p>
        </w:tc>
        <w:tc>
          <w:tcPr>
            <w:tcW w:w="3685" w:type="dxa"/>
          </w:tcPr>
          <w:p w14:paraId="33DF56DC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No in-frame stop codon in Main_pre.</w:t>
            </w:r>
            <w:r>
              <w:rPr>
                <w:sz w:val="16"/>
              </w:rPr>
              <w:t xml:space="preserve"> A hard filter inside the search, not a check afterwards.</w:t>
            </w:r>
          </w:p>
        </w:tc>
        <w:tc>
          <w:tcPr>
            <w:tcW w:w="5329" w:type="dxa"/>
          </w:tcPr>
          <w:p w14:paraId="1A13F28B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Main_pre is a literal stretch of gene A translated as an N-terminal extension of GFP. Costs 8–13 % of candidate windows on our real transcripts.</w:t>
            </w:r>
          </w:p>
        </w:tc>
      </w:tr>
      <w:tr w:rsidR="003B0422" w14:paraId="2B41D306" w14:textId="77777777">
        <w:trPr>
          <w:jc w:val="center"/>
        </w:trPr>
        <w:tc>
          <w:tcPr>
            <w:tcW w:w="624" w:type="dxa"/>
            <w:shd w:val="clear" w:color="auto" w:fill="F1F4F8"/>
          </w:tcPr>
          <w:p w14:paraId="316F929F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R6</w:t>
            </w:r>
          </w:p>
        </w:tc>
        <w:tc>
          <w:tcPr>
            <w:tcW w:w="3685" w:type="dxa"/>
            <w:shd w:val="clear" w:color="auto" w:fill="F1F4F8"/>
          </w:tcPr>
          <w:p w14:paraId="2058B355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MainZ and SecondaryZ bind strictly weaker than the trigger</w:t>
            </w:r>
            <w:r>
              <w:rPr>
                <w:sz w:val="16"/>
              </w:rPr>
              <w:t>, by a configurable margin ddG_pref — one wobble, one mismatch or a 1-nt bulge.</w:t>
            </w:r>
          </w:p>
        </w:tc>
        <w:tc>
          <w:tcPr>
            <w:tcW w:w="5329" w:type="dxa"/>
            <w:shd w:val="clear" w:color="auto" w:fill="F1F4F8"/>
          </w:tcPr>
          <w:p w14:paraId="05E487FE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Each Z is a copy of the trigger's own domain. A perfect Watson–Crick copy would bind harder than the real trigger, which carries wobbles — the trigger would be climbing uphill to displace the clamp meant to release it.</w:t>
            </w:r>
          </w:p>
        </w:tc>
      </w:tr>
      <w:tr w:rsidR="003B0422" w14:paraId="1D0D4D8F" w14:textId="77777777">
        <w:trPr>
          <w:jc w:val="center"/>
        </w:trPr>
        <w:tc>
          <w:tcPr>
            <w:tcW w:w="624" w:type="dxa"/>
          </w:tcPr>
          <w:p w14:paraId="1749460E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R7</w:t>
            </w:r>
          </w:p>
        </w:tc>
        <w:tc>
          <w:tcPr>
            <w:tcW w:w="3685" w:type="dxa"/>
          </w:tcPr>
          <w:p w14:paraId="71113564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A 3-nt opposing_bulge faces the AUG across the main stem</w:t>
            </w:r>
            <w:r>
              <w:rPr>
                <w:sz w:val="16"/>
              </w:rPr>
              <w:t>, forming a 3 × 3 internal loop.</w:t>
            </w:r>
          </w:p>
        </w:tc>
        <w:tc>
          <w:tcPr>
            <w:tcW w:w="5329" w:type="dxa"/>
          </w:tcPr>
          <w:p w14:paraId="3C3A20E9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In ON, trigger A pairs straight through it: 21 contiguous base pairs where the hairpin managed 18 plus an internal loop. Worth 9.8 kcal/mol of drive against 1.9 without it. It also breaks the stem into two shorter helices, reducing RNase III exposure.</w:t>
            </w:r>
          </w:p>
        </w:tc>
      </w:tr>
      <w:tr w:rsidR="003B0422" w14:paraId="3CEFCD05" w14:textId="77777777">
        <w:trPr>
          <w:jc w:val="center"/>
        </w:trPr>
        <w:tc>
          <w:tcPr>
            <w:tcW w:w="624" w:type="dxa"/>
            <w:shd w:val="clear" w:color="auto" w:fill="F1F4F8"/>
          </w:tcPr>
          <w:p w14:paraId="2265224B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R8</w:t>
            </w:r>
          </w:p>
        </w:tc>
        <w:tc>
          <w:tcPr>
            <w:tcW w:w="3685" w:type="dxa"/>
            <w:shd w:val="clear" w:color="auto" w:fill="F1F4F8"/>
          </w:tcPr>
          <w:p w14:paraId="1CE16BB1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The RBS loop is 18 nt: a designed 7-nt flank followed by the fixed 11-nt RBS</w:t>
            </w:r>
            <w:r>
              <w:rPr>
                <w:sz w:val="16"/>
              </w:rPr>
              <w:t>, which stays flush at the loop's 3' end.</w:t>
            </w:r>
          </w:p>
        </w:tc>
        <w:tc>
          <w:tcPr>
            <w:tcW w:w="5329" w:type="dxa"/>
            <w:shd w:val="clear" w:color="auto" w:fill="F1F4F8"/>
          </w:tcPr>
          <w:p w14:paraId="0EED33FB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Both reference designs are built the same way and differ only in flank length (Green 0 nt, Kim 4 nt). The 3'-flush RBS is what makes R2 true.</w:t>
            </w:r>
          </w:p>
        </w:tc>
      </w:tr>
      <w:tr w:rsidR="003B0422" w14:paraId="5450E846" w14:textId="77777777">
        <w:trPr>
          <w:jc w:val="center"/>
        </w:trPr>
        <w:tc>
          <w:tcPr>
            <w:tcW w:w="624" w:type="dxa"/>
          </w:tcPr>
          <w:p w14:paraId="5699126E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R9</w:t>
            </w:r>
          </w:p>
        </w:tc>
        <w:tc>
          <w:tcPr>
            <w:tcW w:w="3685" w:type="dxa"/>
          </w:tcPr>
          <w:p w14:paraId="4964E917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The secondary loop carries no SD-like motif and no start codon.</w:t>
            </w:r>
          </w:p>
        </w:tc>
        <w:tc>
          <w:tcPr>
            <w:tcW w:w="5329" w:type="dxa"/>
          </w:tcPr>
          <w:p w14:paraId="3F4EFD1C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It must not create a second ribosome entry point. Kim's 15-nt inhibitory loop satisfies this and is our starting sequence.</w:t>
            </w:r>
          </w:p>
        </w:tc>
      </w:tr>
      <w:tr w:rsidR="003B0422" w14:paraId="0C118692" w14:textId="77777777">
        <w:trPr>
          <w:jc w:val="center"/>
        </w:trPr>
        <w:tc>
          <w:tcPr>
            <w:tcW w:w="624" w:type="dxa"/>
            <w:shd w:val="clear" w:color="auto" w:fill="F1F4F8"/>
          </w:tcPr>
          <w:p w14:paraId="3EEB9BBF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R10</w:t>
            </w:r>
          </w:p>
        </w:tc>
        <w:tc>
          <w:tcPr>
            <w:tcW w:w="3685" w:type="dxa"/>
            <w:shd w:val="clear" w:color="auto" w:fill="F1F4F8"/>
          </w:tcPr>
          <w:p w14:paraId="6FC2D1D0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Overlap: |x| = 4 to 14, and every value is designed and scored</w:t>
            </w:r>
            <w:r>
              <w:rPr>
                <w:sz w:val="16"/>
              </w:rPr>
              <w:t xml:space="preserve"> — not only the longest available. Mismatches are allowed at </w:t>
            </w:r>
            <w:r>
              <w:rPr>
                <w:b/>
                <w:sz w:val="16"/>
              </w:rPr>
              <w:t>every</w:t>
            </w:r>
            <w:r>
              <w:rPr>
                <w:sz w:val="16"/>
              </w:rPr>
              <w:t xml:space="preserve"> length; once |x| ≥ 8 the longest uninterrupted complementary run between the two triggers must be </w:t>
            </w:r>
            <w:r>
              <w:rPr>
                <w:b/>
                <w:sz w:val="16"/>
              </w:rPr>
              <w:t>≤ 4 nt</w:t>
            </w:r>
            <w:r>
              <w:rPr>
                <w:sz w:val="16"/>
              </w:rPr>
              <w:t>.</w:t>
            </w:r>
          </w:p>
        </w:tc>
        <w:tc>
          <w:tcPr>
            <w:tcW w:w="5329" w:type="dxa"/>
            <w:shd w:val="clear" w:color="auto" w:fill="F1F4F8"/>
          </w:tcPr>
          <w:p w14:paraId="1FF81A31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|x| is trigger A's only nucleation site, so longer is better — and it is also where the two triggers are complementary to each other, so longer is worse. The run cap is a screen; the acceptance test is the measured duplex energy (§3.4).</w:t>
            </w:r>
          </w:p>
        </w:tc>
      </w:tr>
      <w:tr w:rsidR="003B0422" w14:paraId="2E4B786B" w14:textId="77777777">
        <w:trPr>
          <w:jc w:val="center"/>
        </w:trPr>
        <w:tc>
          <w:tcPr>
            <w:tcW w:w="624" w:type="dxa"/>
          </w:tcPr>
          <w:p w14:paraId="17644E6E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R11</w:t>
            </w:r>
          </w:p>
        </w:tc>
        <w:tc>
          <w:tcPr>
            <w:tcW w:w="3685" w:type="dxa"/>
          </w:tcPr>
          <w:p w14:paraId="7E219F0F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Trigger lengths follow: A = 21 + len_x, B = 18 + len_r2.</w:t>
            </w:r>
          </w:p>
        </w:tc>
        <w:tc>
          <w:tcPr>
            <w:tcW w:w="5329" w:type="dxa"/>
          </w:tcPr>
          <w:p w14:paraId="6ADFFF21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A is 30 nt at |x| = 9, the length both reference designs used. B is 50 nt at len_r2 = 32.</w:t>
            </w:r>
          </w:p>
        </w:tc>
      </w:tr>
      <w:tr w:rsidR="003B0422" w14:paraId="3DB91536" w14:textId="77777777">
        <w:trPr>
          <w:jc w:val="center"/>
        </w:trPr>
        <w:tc>
          <w:tcPr>
            <w:tcW w:w="624" w:type="dxa"/>
            <w:shd w:val="clear" w:color="auto" w:fill="F1F4F8"/>
          </w:tcPr>
          <w:p w14:paraId="20577C36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R12</w:t>
            </w:r>
          </w:p>
        </w:tc>
        <w:tc>
          <w:tcPr>
            <w:tcW w:w="3685" w:type="dxa"/>
            <w:shd w:val="clear" w:color="auto" w:fill="F1F4F8"/>
          </w:tcPr>
          <w:p w14:paraId="5744E734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Any pattern-prevention list given to a sequence designer is scoped to designed positions only.</w:t>
            </w:r>
          </w:p>
        </w:tc>
        <w:tc>
          <w:tcPr>
            <w:tcW w:w="5329" w:type="dxa"/>
            <w:shd w:val="clear" w:color="auto" w:fill="F1F4F8"/>
          </w:tcPr>
          <w:p w14:paraId="09668997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The standard list forbids rrrrrr — six purines — and the RBS ends in AGGAGA. Applied to the whole strand it would reject the ribosome binding site itself.</w:t>
            </w:r>
          </w:p>
        </w:tc>
      </w:tr>
    </w:tbl>
    <w:p w14:paraId="006F8AAB" w14:textId="77777777" w:rsidR="003B0422" w:rsidRDefault="003B0422">
      <w:pPr>
        <w:spacing w:after="80"/>
      </w:pPr>
    </w:p>
    <w:p w14:paraId="522771A0" w14:textId="77777777" w:rsidR="003B0422" w:rsidRDefault="00000000">
      <w:pPr>
        <w:keepNext/>
        <w:pageBreakBefore/>
        <w:pBdr>
          <w:bottom w:val="single" w:sz="6" w:space="3" w:color="1B3A5E"/>
        </w:pBdr>
        <w:spacing w:before="360"/>
      </w:pPr>
      <w:r>
        <w:rPr>
          <w:b/>
          <w:color w:val="1B3A5E"/>
          <w:sz w:val="28"/>
        </w:rPr>
        <w:lastRenderedPageBreak/>
        <w:t>3.  How designs are measured</w:t>
      </w:r>
    </w:p>
    <w:p w14:paraId="4E3EE71C" w14:textId="77777777" w:rsidR="003B0422" w:rsidRDefault="00000000">
      <w:pPr>
        <w:keepNext/>
        <w:spacing w:before="240" w:after="60"/>
      </w:pPr>
      <w:r>
        <w:rPr>
          <w:b/>
          <w:color w:val="1B3A5E"/>
          <w:sz w:val="22"/>
        </w:rPr>
        <w:t>3.1  The four states</w:t>
      </w:r>
    </w:p>
    <w:p w14:paraId="5E34F643" w14:textId="77777777" w:rsidR="003B0422" w:rsidRDefault="00000000">
      <w:r>
        <w:rPr>
          <w:sz w:val="19"/>
        </w:rPr>
        <w:t xml:space="preserve">Each state is evaluated as a multi-strand equilibrium. Per state we record the ensemble free energy, the MFE structure </w:t>
      </w:r>
      <w:r>
        <w:rPr>
          <w:b/>
          <w:sz w:val="19"/>
        </w:rPr>
        <w:t>and its probability</w:t>
      </w:r>
      <w:r>
        <w:rPr>
          <w:sz w:val="19"/>
        </w:rPr>
        <w:t>, the centroid structure with its distance from the MFE, the base-pairing probability matrix, and the accessibility series of §3.2.</w:t>
      </w:r>
    </w:p>
    <w:p w14:paraId="30D8410E" w14:textId="77777777" w:rsidR="003B0422" w:rsidRDefault="00000000">
      <w:pPr>
        <w:keepNext/>
        <w:spacing w:before="240" w:after="60"/>
      </w:pPr>
      <w:r>
        <w:rPr>
          <w:b/>
          <w:color w:val="1B3A5E"/>
          <w:sz w:val="22"/>
        </w:rPr>
        <w:t>3.2  Accessibility around the start codon</w:t>
      </w:r>
    </w:p>
    <w:p w14:paraId="73449252" w14:textId="77777777" w:rsidR="003B0422" w:rsidRDefault="00000000">
      <w:r>
        <w:rPr>
          <w:sz w:val="19"/>
        </w:rPr>
        <w:t xml:space="preserve">The reported quantity is the probability that a defined window is </w:t>
      </w:r>
      <w:r>
        <w:rPr>
          <w:b/>
          <w:sz w:val="19"/>
        </w:rPr>
        <w:t>entirely unpaired at once</w:t>
      </w:r>
      <w:r>
        <w:rPr>
          <w:sz w:val="19"/>
        </w:rPr>
        <w:t>, not the average over its bases:</w:t>
      </w:r>
    </w:p>
    <w:p w14:paraId="28AE44A2" w14:textId="77777777" w:rsidR="003B0422" w:rsidRDefault="00000000">
      <w:pPr>
        <w:ind w:left="283"/>
      </w:pPr>
      <w:r>
        <w:rPr>
          <w:rFonts w:ascii="Consolas" w:hAnsi="Consolas"/>
          <w:sz w:val="17"/>
        </w:rPr>
        <w:t>P_open(W)   =  Z( all of W unpaired ) / Z          dG_open(W)  =  - RT · ln P_open(W)</w:t>
      </w:r>
    </w:p>
    <w:p w14:paraId="408BC39B" w14:textId="77777777" w:rsidR="003B0422" w:rsidRDefault="00000000">
      <w:r>
        <w:rPr>
          <w:sz w:val="19"/>
        </w:rPr>
        <w:t>A ribosome does not sample bases independently — it needs its whole footprint free at the same moment. For a window whose bases are each 90 % unpaired, the averaged metric always reads 0.90 while the joint probability lies anywhere between 0.90 and far less. Only the joint probability matches the physical requirement. ViennaRNA computes it directly: one hard-constrained partition function per window.</w:t>
      </w:r>
    </w:p>
    <w:p w14:paraId="4CDBF975" w14:textId="77777777" w:rsidR="003B0422" w:rsidRDefault="00000000">
      <w:r>
        <w:rPr>
          <w:sz w:val="19"/>
        </w:rPr>
        <w:t>Windows, all anchored on the start codon and reported as a nested series: the AUG alone; the RBS through the AUG; AUG through AUG + 3n for n = 1…10 codons; and the 30-nt ribosome footprint. Reporting the whole series rather than one window shows how far the opening extends — which is what separates a switch that merely exposes the AUG from one that clears the ribosome's path.</w:t>
      </w:r>
    </w:p>
    <w:p w14:paraId="2DFDE9C7" w14:textId="77777777" w:rsidR="003B0422" w:rsidRDefault="00000000">
      <w:pPr>
        <w:keepNext/>
        <w:spacing w:before="240" w:after="60"/>
      </w:pPr>
      <w:r>
        <w:rPr>
          <w:b/>
          <w:color w:val="1B3A5E"/>
          <w:sz w:val="22"/>
        </w:rPr>
        <w:t>3.3  Discrimination</w:t>
      </w:r>
    </w:p>
    <w:p w14:paraId="00FE3CD5" w14:textId="77777777" w:rsidR="003B0422" w:rsidRDefault="00000000">
      <w:pPr>
        <w:ind w:left="283"/>
      </w:pPr>
      <w:r>
        <w:rPr>
          <w:rFonts w:ascii="Consolas" w:hAnsi="Consolas"/>
          <w:sz w:val="17"/>
        </w:rPr>
        <w:t>ddG_AND  =  [ dG_open(11) - dG_open(01) ]  -  [ dG_open(10) - dG_open(00) ]</w:t>
      </w:r>
    </w:p>
    <w:p w14:paraId="34705A12" w14:textId="77777777" w:rsidR="003B0422" w:rsidRDefault="00000000">
      <w:r>
        <w:rPr>
          <w:sz w:val="19"/>
        </w:rPr>
        <w:t>How much more trigger A opens the switch when trigger B is present than when it is absent. Length cancels in the difference, so this needs no normalisation. Separation is reported threshold-free: state 11 against the worst of 00, 01, 10.</w:t>
      </w:r>
    </w:p>
    <w:p w14:paraId="553C4233" w14:textId="77777777" w:rsidR="003B0422" w:rsidRDefault="00000000">
      <w:pPr>
        <w:keepNext/>
        <w:spacing w:before="240" w:after="60"/>
      </w:pPr>
      <w:r>
        <w:rPr>
          <w:b/>
          <w:color w:val="1B3A5E"/>
          <w:sz w:val="22"/>
        </w:rPr>
        <w:t>3.4  Trigger–trigger sequestration</w:t>
      </w:r>
    </w:p>
    <w:p w14:paraId="03C485D2" w14:textId="77777777" w:rsidR="003B0422" w:rsidRDefault="00000000">
      <w:r>
        <w:rPr>
          <w:sz w:val="19"/>
        </w:rPr>
        <w:t xml:space="preserve">Reported at a stated concentration (10 nM per transcript) as the duplex free energy, the resulting bound fraction, and the longest complementary run. This is a </w:t>
      </w:r>
      <w:r>
        <w:rPr>
          <w:b/>
          <w:sz w:val="19"/>
        </w:rPr>
        <w:t>ranking input, not a veto</w:t>
      </w:r>
      <w:r>
        <w:rPr>
          <w:sz w:val="19"/>
        </w:rPr>
        <w:t>: Kim's own published trigger pair, in the construct they describe as a working two-input AND gate, sits at 73 % sequestration by this calculation.</w:t>
      </w:r>
    </w:p>
    <w:p w14:paraId="254E78A5" w14:textId="77777777" w:rsidR="003B0422" w:rsidRDefault="00000000">
      <w:pPr>
        <w:keepNext/>
        <w:spacing w:before="240" w:after="60"/>
      </w:pPr>
      <w:r>
        <w:rPr>
          <w:b/>
          <w:color w:val="1B3A5E"/>
          <w:sz w:val="22"/>
        </w:rPr>
        <w:t>3.5  Which structure the ranking reads</w:t>
      </w:r>
    </w:p>
    <w:p w14:paraId="4E7723FD" w14:textId="77777777" w:rsidR="003B0422" w:rsidRDefault="00000000">
      <w:r>
        <w:rPr>
          <w:sz w:val="19"/>
        </w:rPr>
        <w:t xml:space="preserve">P(MFE) collapses with length. On our own switches it is 0.02–0.08 for the switch alone and about 3 × 10⁻¹⁵ for the full construct with GFP — and at that length the MFE and the centroid </w:t>
      </w:r>
      <w:r>
        <w:rPr>
          <w:b/>
          <w:sz w:val="19"/>
        </w:rPr>
        <w:t>disagree about whether the start codon is paired in 2 of 5 constructs</w:t>
      </w:r>
      <w:r>
        <w:rPr>
          <w:sz w:val="19"/>
        </w:rPr>
        <w:t>. The ranking therefore reads the centroid and the pairing probability matrix; the MFE is reported but trusted only over the isolated hairpin region. Disagreements are flagged, not silently ranked. (Decision D11.)</w:t>
      </w:r>
    </w:p>
    <w:p w14:paraId="4BAC76C7" w14:textId="77777777" w:rsidR="003B0422" w:rsidRDefault="00000000">
      <w:pPr>
        <w:keepNext/>
        <w:spacing w:before="240" w:after="60"/>
      </w:pPr>
      <w:r>
        <w:rPr>
          <w:b/>
          <w:color w:val="1B3A5E"/>
          <w:sz w:val="22"/>
        </w:rPr>
        <w:t>3.6  Assertions that halt the run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9184"/>
      </w:tblGrid>
      <w:tr w:rsidR="003B0422" w14:paraId="0DE5069B" w14:textId="77777777">
        <w:trPr>
          <w:tblHeader/>
          <w:jc w:val="center"/>
        </w:trPr>
        <w:tc>
          <w:tcPr>
            <w:tcW w:w="454" w:type="dxa"/>
            <w:shd w:val="clear" w:color="auto" w:fill="1B3A5E"/>
          </w:tcPr>
          <w:p w14:paraId="32559047" w14:textId="77777777" w:rsidR="003B0422" w:rsidRDefault="003B0422">
            <w:pPr>
              <w:spacing w:before="40" w:after="40"/>
            </w:pPr>
          </w:p>
        </w:tc>
        <w:tc>
          <w:tcPr>
            <w:tcW w:w="9184" w:type="dxa"/>
            <w:shd w:val="clear" w:color="auto" w:fill="1B3A5E"/>
          </w:tcPr>
          <w:p w14:paraId="178CC16C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5"/>
              </w:rPr>
              <w:t>assertion</w:t>
            </w:r>
          </w:p>
        </w:tc>
      </w:tr>
      <w:tr w:rsidR="003B0422" w14:paraId="7DDB3CCE" w14:textId="77777777">
        <w:trPr>
          <w:jc w:val="center"/>
        </w:trPr>
        <w:tc>
          <w:tcPr>
            <w:tcW w:w="454" w:type="dxa"/>
          </w:tcPr>
          <w:p w14:paraId="263B2EE5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</w:t>
            </w:r>
          </w:p>
        </w:tc>
        <w:tc>
          <w:tcPr>
            <w:tcW w:w="9184" w:type="dxa"/>
          </w:tcPr>
          <w:p w14:paraId="4782BEB7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Every declared helix pairs antiparallel with zero mismatches, wobbles only where declared. This is what catches domain-order errors.</w:t>
            </w:r>
          </w:p>
        </w:tc>
      </w:tr>
      <w:tr w:rsidR="003B0422" w14:paraId="33F9CF1A" w14:textId="77777777">
        <w:trPr>
          <w:jc w:val="center"/>
        </w:trPr>
        <w:tc>
          <w:tcPr>
            <w:tcW w:w="454" w:type="dxa"/>
            <w:shd w:val="clear" w:color="auto" w:fill="F1F4F8"/>
          </w:tcPr>
          <w:p w14:paraId="5EB8B23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2</w:t>
            </w:r>
          </w:p>
        </w:tc>
        <w:tc>
          <w:tcPr>
            <w:tcW w:w="9184" w:type="dxa"/>
            <w:shd w:val="clear" w:color="auto" w:fill="F1F4F8"/>
          </w:tcPr>
          <w:p w14:paraId="6E9A63F6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The intended OFF dot-bracket, written from the element spans of §1.1 and independent of any folding, is diffed against both the MFE and the centroid.</w:t>
            </w:r>
          </w:p>
        </w:tc>
      </w:tr>
      <w:tr w:rsidR="003B0422" w14:paraId="0040676F" w14:textId="77777777">
        <w:trPr>
          <w:jc w:val="center"/>
        </w:trPr>
        <w:tc>
          <w:tcPr>
            <w:tcW w:w="454" w:type="dxa"/>
          </w:tcPr>
          <w:p w14:paraId="118AE04E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3</w:t>
            </w:r>
          </w:p>
        </w:tc>
        <w:tc>
          <w:tcPr>
            <w:tcW w:w="9184" w:type="dxa"/>
          </w:tcPr>
          <w:p w14:paraId="17CBCB3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(len_main_pre + len_LINKER) mod 3 = 0, and no in-frame stop from the AUG through the end of the GFP CDS.</w:t>
            </w:r>
          </w:p>
        </w:tc>
      </w:tr>
      <w:tr w:rsidR="003B0422" w14:paraId="7BAB336C" w14:textId="77777777">
        <w:trPr>
          <w:jc w:val="center"/>
        </w:trPr>
        <w:tc>
          <w:tcPr>
            <w:tcW w:w="454" w:type="dxa"/>
            <w:shd w:val="clear" w:color="auto" w:fill="F1F4F8"/>
          </w:tcPr>
          <w:p w14:paraId="41CCCE5D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4</w:t>
            </w:r>
          </w:p>
        </w:tc>
        <w:tc>
          <w:tcPr>
            <w:tcW w:w="9184" w:type="dxa"/>
            <w:shd w:val="clear" w:color="auto" w:fill="F1F4F8"/>
          </w:tcPr>
          <w:p w14:paraId="691592BC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The RBS appears exactly once, is flush at the loop's 3' end, and the SD→AUG spacing equals len_k1 and is reported.</w:t>
            </w:r>
          </w:p>
        </w:tc>
      </w:tr>
      <w:tr w:rsidR="003B0422" w14:paraId="676353BB" w14:textId="77777777">
        <w:trPr>
          <w:jc w:val="center"/>
        </w:trPr>
        <w:tc>
          <w:tcPr>
            <w:tcW w:w="454" w:type="dxa"/>
          </w:tcPr>
          <w:p w14:paraId="71E0C379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5</w:t>
            </w:r>
          </w:p>
        </w:tc>
        <w:tc>
          <w:tcPr>
            <w:tcW w:w="9184" w:type="dxa"/>
          </w:tcPr>
          <w:p w14:paraId="56B7E1EE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No AUG between the RBS loop and the intended start codon that could initiate out of frame.</w:t>
            </w:r>
          </w:p>
        </w:tc>
      </w:tr>
      <w:tr w:rsidR="003B0422" w14:paraId="7FEDBBFB" w14:textId="77777777">
        <w:trPr>
          <w:jc w:val="center"/>
        </w:trPr>
        <w:tc>
          <w:tcPr>
            <w:tcW w:w="454" w:type="dxa"/>
            <w:shd w:val="clear" w:color="auto" w:fill="F1F4F8"/>
          </w:tcPr>
          <w:p w14:paraId="689018D4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6</w:t>
            </w:r>
          </w:p>
        </w:tc>
        <w:tc>
          <w:tcPr>
            <w:tcW w:w="9184" w:type="dxa"/>
            <w:shd w:val="clear" w:color="auto" w:fill="F1F4F8"/>
          </w:tcPr>
          <w:p w14:paraId="7B156C6E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MainZ binds k1* strictly weaker than trigger A's k1 does, by at least ddG_pref. Same for SecondaryZ against k2.</w:t>
            </w:r>
          </w:p>
        </w:tc>
      </w:tr>
      <w:tr w:rsidR="003B0422" w14:paraId="5514526A" w14:textId="77777777">
        <w:trPr>
          <w:jc w:val="center"/>
        </w:trPr>
        <w:tc>
          <w:tcPr>
            <w:tcW w:w="454" w:type="dxa"/>
          </w:tcPr>
          <w:p w14:paraId="5E518E7B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7</w:t>
            </w:r>
          </w:p>
        </w:tc>
        <w:tc>
          <w:tcPr>
            <w:tcW w:w="9184" w:type="dxa"/>
          </w:tcPr>
          <w:p w14:paraId="79D40016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len_x ≥ 4; len_x + len_k2 = 18; len_main_pre + len_k1 = 18; and for len_x ≥ 8 the longest complementary run between the triggers is ≤ 4 nt.</w:t>
            </w:r>
          </w:p>
        </w:tc>
      </w:tr>
      <w:tr w:rsidR="003B0422" w14:paraId="6E9A9D2F" w14:textId="77777777">
        <w:trPr>
          <w:jc w:val="center"/>
        </w:trPr>
        <w:tc>
          <w:tcPr>
            <w:tcW w:w="454" w:type="dxa"/>
            <w:shd w:val="clear" w:color="auto" w:fill="F1F4F8"/>
          </w:tcPr>
          <w:p w14:paraId="07AA8141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8</w:t>
            </w:r>
          </w:p>
        </w:tc>
        <w:tc>
          <w:tcPr>
            <w:tcW w:w="9184" w:type="dxa"/>
            <w:shd w:val="clear" w:color="auto" w:fill="F1F4F8"/>
          </w:tcPr>
          <w:p w14:paraId="332D5ECD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Trigger A's x and trigger B's Secondary_pre are reverse complements over the matched positions.</w:t>
            </w:r>
          </w:p>
        </w:tc>
      </w:tr>
      <w:tr w:rsidR="003B0422" w14:paraId="5F37EBC2" w14:textId="77777777">
        <w:trPr>
          <w:jc w:val="center"/>
        </w:trPr>
        <w:tc>
          <w:tcPr>
            <w:tcW w:w="454" w:type="dxa"/>
          </w:tcPr>
          <w:p w14:paraId="3C8D158D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9</w:t>
            </w:r>
          </w:p>
        </w:tc>
        <w:tc>
          <w:tcPr>
            <w:tcW w:w="9184" w:type="dxa"/>
          </w:tcPr>
          <w:p w14:paraId="0B809745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The cap sits at the 5' end of the finished construct, not stranded internally.</w:t>
            </w:r>
          </w:p>
        </w:tc>
      </w:tr>
      <w:tr w:rsidR="003B0422" w14:paraId="24E85026" w14:textId="77777777">
        <w:trPr>
          <w:jc w:val="center"/>
        </w:trPr>
        <w:tc>
          <w:tcPr>
            <w:tcW w:w="454" w:type="dxa"/>
            <w:shd w:val="clear" w:color="auto" w:fill="F1F4F8"/>
          </w:tcPr>
          <w:p w14:paraId="7F5C6C6E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10</w:t>
            </w:r>
          </w:p>
        </w:tc>
        <w:tc>
          <w:tcPr>
            <w:tcW w:w="9184" w:type="dxa"/>
            <w:shd w:val="clear" w:color="auto" w:fill="F1F4F8"/>
          </w:tcPr>
          <w:p w14:paraId="17B8BAF0" w14:textId="77777777" w:rsidR="003B0422" w:rsidRDefault="00000000">
            <w:pPr>
              <w:spacing w:before="40" w:after="40"/>
            </w:pPr>
            <w:r>
              <w:rPr>
                <w:sz w:val="15"/>
              </w:rPr>
              <w:t>Any design carried between stages is matched on its full identity — len_x, len_main_pre, len_k1, len_k2, ddG_pref, mismatch pattern — never a partial key.</w:t>
            </w:r>
          </w:p>
        </w:tc>
      </w:tr>
    </w:tbl>
    <w:p w14:paraId="7F5775CD" w14:textId="77777777" w:rsidR="003B0422" w:rsidRDefault="00000000">
      <w:pPr>
        <w:keepNext/>
        <w:pageBreakBefore/>
        <w:pBdr>
          <w:bottom w:val="single" w:sz="6" w:space="3" w:color="1B3A5E"/>
        </w:pBdr>
        <w:spacing w:before="360"/>
      </w:pPr>
      <w:r>
        <w:rPr>
          <w:b/>
          <w:color w:val="1B3A5E"/>
          <w:sz w:val="28"/>
        </w:rPr>
        <w:lastRenderedPageBreak/>
        <w:t>4.  Decisions we need</w:t>
      </w:r>
    </w:p>
    <w:p w14:paraId="594F3BEC" w14:textId="77777777" w:rsidR="003B0422" w:rsidRDefault="00000000">
      <w:r>
        <w:rPr>
          <w:sz w:val="19"/>
        </w:rPr>
        <w:t>Six carry a recommendation we are ready to act on unless you disagree. The six shaded rows are genuine choices where we do not think the evidence settles it.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2268"/>
        <w:gridCol w:w="6860"/>
      </w:tblGrid>
      <w:tr w:rsidR="003B0422" w14:paraId="787C8D35" w14:textId="77777777">
        <w:trPr>
          <w:tblHeader/>
          <w:jc w:val="center"/>
        </w:trPr>
        <w:tc>
          <w:tcPr>
            <w:tcW w:w="510" w:type="dxa"/>
            <w:shd w:val="clear" w:color="auto" w:fill="1B3A5E"/>
          </w:tcPr>
          <w:p w14:paraId="4FBAAFB7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268" w:type="dxa"/>
            <w:shd w:val="clear" w:color="auto" w:fill="1B3A5E"/>
          </w:tcPr>
          <w:p w14:paraId="47F3D74C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6860" w:type="dxa"/>
            <w:shd w:val="clear" w:color="auto" w:fill="1B3A5E"/>
          </w:tcPr>
          <w:p w14:paraId="709753F3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our position</w:t>
            </w:r>
          </w:p>
        </w:tc>
      </w:tr>
      <w:tr w:rsidR="003B0422" w14:paraId="0C7EA762" w14:textId="77777777">
        <w:trPr>
          <w:jc w:val="center"/>
        </w:trPr>
        <w:tc>
          <w:tcPr>
            <w:tcW w:w="510" w:type="dxa"/>
          </w:tcPr>
          <w:p w14:paraId="5D4214E0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D1</w:t>
            </w:r>
          </w:p>
        </w:tc>
        <w:tc>
          <w:tcPr>
            <w:tcW w:w="2268" w:type="dxa"/>
          </w:tcPr>
          <w:p w14:paraId="4B27C17F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Stem length, both hairpins</w:t>
            </w:r>
          </w:p>
        </w:tc>
        <w:tc>
          <w:tcPr>
            <w:tcW w:w="6860" w:type="dxa"/>
          </w:tcPr>
          <w:p w14:paraId="4F370319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18 bp.</w:t>
            </w:r>
            <w:r>
              <w:rPr>
                <w:sz w:val="16"/>
              </w:rPr>
              <w:t xml:space="preserve"> Inside the published band of 15 / 17 / 19, and it closes every other length.</w:t>
            </w:r>
          </w:p>
        </w:tc>
      </w:tr>
      <w:tr w:rsidR="003B0422" w14:paraId="6C6CDA3F" w14:textId="77777777">
        <w:trPr>
          <w:jc w:val="center"/>
        </w:trPr>
        <w:tc>
          <w:tcPr>
            <w:tcW w:w="510" w:type="dxa"/>
            <w:shd w:val="clear" w:color="auto" w:fill="F1F4F8"/>
          </w:tcPr>
          <w:p w14:paraId="71E81126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D2</w:t>
            </w:r>
          </w:p>
        </w:tc>
        <w:tc>
          <w:tcPr>
            <w:tcW w:w="2268" w:type="dxa"/>
            <w:shd w:val="clear" w:color="auto" w:fill="F1F4F8"/>
          </w:tcPr>
          <w:p w14:paraId="6EE6C1A2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Split of the main stem</w:t>
            </w:r>
          </w:p>
        </w:tc>
        <w:tc>
          <w:tcPr>
            <w:tcW w:w="6860" w:type="dxa"/>
            <w:shd w:val="clear" w:color="auto" w:fill="F1F4F8"/>
          </w:tcPr>
          <w:p w14:paraId="259F542C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12 + 6.</w:t>
            </w:r>
            <w:r>
              <w:rPr>
                <w:sz w:val="16"/>
              </w:rPr>
              <w:t xml:space="preserve"> Thermodynamically inert either way, but only 12 + 6 gives the 6-nt SD→AUG spacing every reference design uses. Costs about 3 % of the search space to in-frame stops.</w:t>
            </w:r>
          </w:p>
        </w:tc>
      </w:tr>
      <w:tr w:rsidR="003B0422" w14:paraId="3D68211A" w14:textId="77777777">
        <w:trPr>
          <w:jc w:val="center"/>
        </w:trPr>
        <w:tc>
          <w:tcPr>
            <w:tcW w:w="510" w:type="dxa"/>
            <w:shd w:val="clear" w:color="auto" w:fill="FFF6E5"/>
          </w:tcPr>
          <w:p w14:paraId="26FDA0EB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D3</w:t>
            </w:r>
          </w:p>
        </w:tc>
        <w:tc>
          <w:tcPr>
            <w:tcW w:w="2268" w:type="dxa"/>
            <w:shd w:val="clear" w:color="auto" w:fill="FFF6E5"/>
          </w:tcPr>
          <w:p w14:paraId="6B131EED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Trigger B total length</w:t>
            </w:r>
          </w:p>
        </w:tc>
        <w:tc>
          <w:tcPr>
            <w:tcW w:w="6860" w:type="dxa"/>
            <w:shd w:val="clear" w:color="auto" w:fill="FFF6E5"/>
          </w:tcPr>
          <w:p w14:paraId="579655D8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Open.</w:t>
            </w:r>
            <w:r>
              <w:rPr>
                <w:sz w:val="16"/>
              </w:rPr>
              <w:t xml:space="preserve"> 50 nt as instructed gives a 32-nt toehold where Kim used 13. Longer buys specificity but makes B bind far harder than A, which may unbalance the gate. 30–35 nt is the precedent.</w:t>
            </w:r>
          </w:p>
        </w:tc>
      </w:tr>
      <w:tr w:rsidR="003B0422" w14:paraId="0F373F93" w14:textId="77777777">
        <w:trPr>
          <w:jc w:val="center"/>
        </w:trPr>
        <w:tc>
          <w:tcPr>
            <w:tcW w:w="510" w:type="dxa"/>
            <w:shd w:val="clear" w:color="auto" w:fill="FFF6E5"/>
          </w:tcPr>
          <w:p w14:paraId="5ECAAFEB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D4</w:t>
            </w:r>
          </w:p>
        </w:tc>
        <w:tc>
          <w:tcPr>
            <w:tcW w:w="2268" w:type="dxa"/>
            <w:shd w:val="clear" w:color="auto" w:fill="FFF6E5"/>
          </w:tcPr>
          <w:p w14:paraId="20CBC388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GFP's own leading ATG</w:t>
            </w:r>
          </w:p>
        </w:tc>
        <w:tc>
          <w:tcPr>
            <w:tcW w:w="6860" w:type="dxa"/>
            <w:shd w:val="clear" w:color="auto" w:fill="FFF6E5"/>
          </w:tcPr>
          <w:p w14:paraId="4419073B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Open, we lean to deleting it.</w:t>
            </w:r>
            <w:r>
              <w:rPr>
                <w:sz w:val="16"/>
              </w:rPr>
              <w:t xml:space="preserve"> Green and Kim keep it; our own switch generator deletes it. Measured: no thermodynamic difference and no second start site either way. A preference, not a result.</w:t>
            </w:r>
          </w:p>
        </w:tc>
      </w:tr>
      <w:tr w:rsidR="003B0422" w14:paraId="2511B216" w14:textId="77777777">
        <w:trPr>
          <w:jc w:val="center"/>
        </w:trPr>
        <w:tc>
          <w:tcPr>
            <w:tcW w:w="510" w:type="dxa"/>
          </w:tcPr>
          <w:p w14:paraId="558E9569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D5</w:t>
            </w:r>
          </w:p>
        </w:tc>
        <w:tc>
          <w:tcPr>
            <w:tcW w:w="2268" w:type="dxa"/>
          </w:tcPr>
          <w:p w14:paraId="5A06C106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Overlap range and mismatch rule</w:t>
            </w:r>
          </w:p>
        </w:tc>
        <w:tc>
          <w:tcPr>
            <w:tcW w:w="6860" w:type="dxa"/>
          </w:tcPr>
          <w:p w14:paraId="5027E1E3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|x| = 4–14, mismatches at every length, longest run ≤ 4 nt once |x| ≥ 8.</w:t>
            </w:r>
            <w:r>
              <w:rPr>
                <w:sz w:val="16"/>
              </w:rPr>
              <w:t xml:space="preserve"> Below |x| = 8 mismatches buy nothing thermodynamically, but they are what lets the gene-pair search find anything at all.</w:t>
            </w:r>
          </w:p>
        </w:tc>
      </w:tr>
      <w:tr w:rsidR="003B0422" w14:paraId="38F03B8E" w14:textId="77777777">
        <w:trPr>
          <w:jc w:val="center"/>
        </w:trPr>
        <w:tc>
          <w:tcPr>
            <w:tcW w:w="510" w:type="dxa"/>
            <w:shd w:val="clear" w:color="auto" w:fill="FFF6E5"/>
          </w:tcPr>
          <w:p w14:paraId="32E9A9B2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D6</w:t>
            </w:r>
          </w:p>
        </w:tc>
        <w:tc>
          <w:tcPr>
            <w:tcW w:w="2268" w:type="dxa"/>
            <w:shd w:val="clear" w:color="auto" w:fill="FFF6E5"/>
          </w:tcPr>
          <w:p w14:paraId="491FD1E1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Size and composition of the lab panel</w:t>
            </w:r>
          </w:p>
        </w:tc>
        <w:tc>
          <w:tcPr>
            <w:tcW w:w="6860" w:type="dxa"/>
            <w:shd w:val="clear" w:color="auto" w:fill="FFF6E5"/>
          </w:tcPr>
          <w:p w14:paraId="64C371C3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Open.</w:t>
            </w:r>
            <w:r>
              <w:rPr>
                <w:sz w:val="16"/>
              </w:rPr>
              <w:t xml:space="preserve"> 12 constructs proposed: 8 gate designs (4 levels of |x| × 2 of ddG_pref), 1 benchmark at a = 4, 3 controls.</w:t>
            </w:r>
          </w:p>
        </w:tc>
      </w:tr>
      <w:tr w:rsidR="003B0422" w14:paraId="779902E3" w14:textId="77777777">
        <w:trPr>
          <w:jc w:val="center"/>
        </w:trPr>
        <w:tc>
          <w:tcPr>
            <w:tcW w:w="510" w:type="dxa"/>
            <w:shd w:val="clear" w:color="auto" w:fill="FFF6E5"/>
          </w:tcPr>
          <w:p w14:paraId="732977C5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D7</w:t>
            </w:r>
          </w:p>
        </w:tc>
        <w:tc>
          <w:tcPr>
            <w:tcW w:w="2268" w:type="dxa"/>
            <w:shd w:val="clear" w:color="auto" w:fill="FFF6E5"/>
          </w:tcPr>
          <w:p w14:paraId="18E4C1D2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Inhibitory loop — fixed or designed?</w:t>
            </w:r>
          </w:p>
        </w:tc>
        <w:tc>
          <w:tcPr>
            <w:tcW w:w="6860" w:type="dxa"/>
            <w:shd w:val="clear" w:color="auto" w:fill="FFF6E5"/>
          </w:tcPr>
          <w:p w14:paraId="1AEC5581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Open.</w:t>
            </w:r>
            <w:r>
              <w:rPr>
                <w:sz w:val="16"/>
              </w:rPr>
              <w:t xml:space="preserve"> Start from Kim's fixed 15-nt loop and design de novo where it fails the fold check. Loops are not portable: substituting one into our five tested switches refolded all five.</w:t>
            </w:r>
          </w:p>
        </w:tc>
      </w:tr>
      <w:tr w:rsidR="003B0422" w14:paraId="0AF21A72" w14:textId="77777777">
        <w:trPr>
          <w:jc w:val="center"/>
        </w:trPr>
        <w:tc>
          <w:tcPr>
            <w:tcW w:w="510" w:type="dxa"/>
            <w:shd w:val="clear" w:color="auto" w:fill="F1F4F8"/>
          </w:tcPr>
          <w:p w14:paraId="4410B42D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D8</w:t>
            </w:r>
          </w:p>
        </w:tc>
        <w:tc>
          <w:tcPr>
            <w:tcW w:w="2268" w:type="dxa"/>
            <w:shd w:val="clear" w:color="auto" w:fill="F1F4F8"/>
          </w:tcPr>
          <w:p w14:paraId="4FDD09F9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Include an a = 4 benchmark construct</w:t>
            </w:r>
          </w:p>
        </w:tc>
        <w:tc>
          <w:tcPr>
            <w:tcW w:w="6860" w:type="dxa"/>
            <w:shd w:val="clear" w:color="auto" w:fill="F1F4F8"/>
          </w:tcPr>
          <w:p w14:paraId="6DD47750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Yes.</w:t>
            </w:r>
            <w:r>
              <w:rPr>
                <w:sz w:val="16"/>
              </w:rPr>
              <w:t xml:space="preserve"> a = 0 is one step beyond Kim's shortest tested spacing; one a = 4 construct puts a known-working point in the panel.</w:t>
            </w:r>
          </w:p>
        </w:tc>
      </w:tr>
      <w:tr w:rsidR="003B0422" w14:paraId="4475158E" w14:textId="77777777">
        <w:trPr>
          <w:jc w:val="center"/>
        </w:trPr>
        <w:tc>
          <w:tcPr>
            <w:tcW w:w="510" w:type="dxa"/>
          </w:tcPr>
          <w:p w14:paraId="04ED4DED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D9</w:t>
            </w:r>
          </w:p>
        </w:tc>
        <w:tc>
          <w:tcPr>
            <w:tcW w:w="2268" w:type="dxa"/>
          </w:tcPr>
          <w:p w14:paraId="1ED32DA7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Accessibility metric</w:t>
            </w:r>
          </w:p>
        </w:tc>
        <w:tc>
          <w:tcPr>
            <w:tcW w:w="6860" w:type="dxa"/>
          </w:tcPr>
          <w:p w14:paraId="268B2E1F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Joint whole-window unpaired probability</w:t>
            </w:r>
            <w:r>
              <w:rPr>
                <w:sz w:val="16"/>
              </w:rPr>
              <w:t xml:space="preserve"> (§3.2). The averaged per-base metric does not correspond to what a ribosome requires.</w:t>
            </w:r>
          </w:p>
        </w:tc>
      </w:tr>
      <w:tr w:rsidR="003B0422" w14:paraId="661FF093" w14:textId="77777777">
        <w:trPr>
          <w:jc w:val="center"/>
        </w:trPr>
        <w:tc>
          <w:tcPr>
            <w:tcW w:w="510" w:type="dxa"/>
            <w:shd w:val="clear" w:color="auto" w:fill="FFF6E5"/>
          </w:tcPr>
          <w:p w14:paraId="5AC8CE90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D10</w:t>
            </w:r>
          </w:p>
        </w:tc>
        <w:tc>
          <w:tcPr>
            <w:tcW w:w="2268" w:type="dxa"/>
            <w:shd w:val="clear" w:color="auto" w:fill="FFF6E5"/>
          </w:tcPr>
          <w:p w14:paraId="64A94C51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Input gene pairs for the reference study</w:t>
            </w:r>
          </w:p>
        </w:tc>
        <w:tc>
          <w:tcPr>
            <w:tcW w:w="6860" w:type="dxa"/>
            <w:shd w:val="clear" w:color="auto" w:fill="FFF6E5"/>
          </w:tcPr>
          <w:p w14:paraId="4DE1AFBE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Open — awaiting your list.</w:t>
            </w:r>
            <w:r>
              <w:rPr>
                <w:sz w:val="16"/>
              </w:rPr>
              <w:t xml:space="preserve"> Not every pair admits a design: the two windows must be complementary over ≥ 4 nt. This blocks the search.</w:t>
            </w:r>
          </w:p>
        </w:tc>
      </w:tr>
      <w:tr w:rsidR="003B0422" w14:paraId="6BD330F6" w14:textId="77777777">
        <w:trPr>
          <w:jc w:val="center"/>
        </w:trPr>
        <w:tc>
          <w:tcPr>
            <w:tcW w:w="510" w:type="dxa"/>
            <w:shd w:val="clear" w:color="auto" w:fill="FFF6E5"/>
          </w:tcPr>
          <w:p w14:paraId="725D2E76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D11</w:t>
            </w:r>
          </w:p>
        </w:tc>
        <w:tc>
          <w:tcPr>
            <w:tcW w:w="2268" w:type="dxa"/>
            <w:shd w:val="clear" w:color="auto" w:fill="FFF6E5"/>
          </w:tcPr>
          <w:p w14:paraId="7BCC56C1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MFE or centroid when they disagree?</w:t>
            </w:r>
          </w:p>
        </w:tc>
        <w:tc>
          <w:tcPr>
            <w:tcW w:w="6860" w:type="dxa"/>
            <w:shd w:val="clear" w:color="auto" w:fill="FFF6E5"/>
          </w:tcPr>
          <w:p w14:paraId="69292DE9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Open, we lean to the centroid</w:t>
            </w:r>
            <w:r>
              <w:rPr>
                <w:sz w:val="16"/>
              </w:rPr>
              <w:t xml:space="preserve"> plus the pairing-probability matrix (§3.5). The counter-argument is comparability: published tables report the MFE.</w:t>
            </w:r>
          </w:p>
        </w:tc>
      </w:tr>
      <w:tr w:rsidR="003B0422" w14:paraId="3DF3D4A7" w14:textId="77777777">
        <w:trPr>
          <w:jc w:val="center"/>
        </w:trPr>
        <w:tc>
          <w:tcPr>
            <w:tcW w:w="510" w:type="dxa"/>
            <w:shd w:val="clear" w:color="auto" w:fill="F1F4F8"/>
          </w:tcPr>
          <w:p w14:paraId="200A4E19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D12</w:t>
            </w:r>
          </w:p>
        </w:tc>
        <w:tc>
          <w:tcPr>
            <w:tcW w:w="2268" w:type="dxa"/>
            <w:shd w:val="clear" w:color="auto" w:fill="F1F4F8"/>
          </w:tcPr>
          <w:p w14:paraId="4662CAF5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RBS loop sequence</w:t>
            </w:r>
          </w:p>
        </w:tc>
        <w:tc>
          <w:tcPr>
            <w:tcW w:w="6860" w:type="dxa"/>
            <w:shd w:val="clear" w:color="auto" w:fill="F1F4F8"/>
          </w:tcPr>
          <w:p w14:paraId="5710E37B" w14:textId="77777777" w:rsidR="003B0422" w:rsidRDefault="00000000">
            <w:pPr>
              <w:spacing w:before="40" w:after="40"/>
            </w:pPr>
            <w:r>
              <w:rPr>
                <w:b/>
                <w:sz w:val="16"/>
              </w:rPr>
              <w:t>Keep the 18-nt loop AGACAAGAACAGAGGAGA.</w:t>
            </w:r>
            <w:r>
              <w:rPr>
                <w:sz w:val="16"/>
              </w:rPr>
              <w:t xml:space="preserve"> It holds the intended fold in all five tested switches. Noted for the record: Green's shorter 11-nt loop measures marginally better on RBS accessibility, 0.77 to 0.68.</w:t>
            </w:r>
          </w:p>
        </w:tc>
      </w:tr>
    </w:tbl>
    <w:p w14:paraId="4E31E4E2" w14:textId="77777777" w:rsidR="003B0422" w:rsidRDefault="003B0422">
      <w:pPr>
        <w:spacing w:after="80"/>
      </w:pPr>
    </w:p>
    <w:p w14:paraId="6B268040" w14:textId="77777777" w:rsidR="003B0422" w:rsidRDefault="00000000">
      <w:pPr>
        <w:keepNext/>
        <w:pBdr>
          <w:bottom w:val="single" w:sz="6" w:space="3" w:color="1B3A5E"/>
        </w:pBdr>
        <w:spacing w:before="360"/>
      </w:pPr>
      <w:r>
        <w:rPr>
          <w:b/>
          <w:color w:val="1B3A5E"/>
          <w:sz w:val="28"/>
        </w:rPr>
        <w:t>Appendix.  Fixed sequences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515"/>
        <w:gridCol w:w="4649"/>
      </w:tblGrid>
      <w:tr w:rsidR="003B0422" w14:paraId="7E441BAB" w14:textId="77777777">
        <w:trPr>
          <w:tblHeader/>
          <w:jc w:val="center"/>
        </w:trPr>
        <w:tc>
          <w:tcPr>
            <w:tcW w:w="1474" w:type="dxa"/>
            <w:shd w:val="clear" w:color="auto" w:fill="1B3A5E"/>
          </w:tcPr>
          <w:p w14:paraId="3F130266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3515" w:type="dxa"/>
            <w:shd w:val="clear" w:color="auto" w:fill="1B3A5E"/>
          </w:tcPr>
          <w:p w14:paraId="574FD34D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sequence</w:t>
            </w:r>
          </w:p>
        </w:tc>
        <w:tc>
          <w:tcPr>
            <w:tcW w:w="4649" w:type="dxa"/>
            <w:shd w:val="clear" w:color="auto" w:fill="1B3A5E"/>
          </w:tcPr>
          <w:p w14:paraId="2C6A1F6B" w14:textId="77777777" w:rsidR="003B0422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3B0422" w14:paraId="4AB296D7" w14:textId="77777777">
        <w:trPr>
          <w:jc w:val="center"/>
        </w:trPr>
        <w:tc>
          <w:tcPr>
            <w:tcW w:w="1474" w:type="dxa"/>
          </w:tcPr>
          <w:p w14:paraId="15E65A1F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cap</w:t>
            </w:r>
          </w:p>
        </w:tc>
        <w:tc>
          <w:tcPr>
            <w:tcW w:w="3515" w:type="dxa"/>
          </w:tcPr>
          <w:p w14:paraId="411C196C" w14:textId="77777777" w:rsidR="003B0422" w:rsidRDefault="00000000"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GGG</w:t>
            </w:r>
          </w:p>
        </w:tc>
        <w:tc>
          <w:tcPr>
            <w:tcW w:w="4649" w:type="dxa"/>
          </w:tcPr>
          <w:p w14:paraId="6E082CFB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3 nt; transcription start, 5' end of the construct</w:t>
            </w:r>
          </w:p>
        </w:tc>
      </w:tr>
      <w:tr w:rsidR="003B0422" w14:paraId="3FAA132E" w14:textId="77777777">
        <w:trPr>
          <w:jc w:val="center"/>
        </w:trPr>
        <w:tc>
          <w:tcPr>
            <w:tcW w:w="1474" w:type="dxa"/>
            <w:shd w:val="clear" w:color="auto" w:fill="F1F4F8"/>
          </w:tcPr>
          <w:p w14:paraId="4051811C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RBS</w:t>
            </w:r>
          </w:p>
        </w:tc>
        <w:tc>
          <w:tcPr>
            <w:tcW w:w="3515" w:type="dxa"/>
            <w:shd w:val="clear" w:color="auto" w:fill="F1F4F8"/>
          </w:tcPr>
          <w:p w14:paraId="11D2E232" w14:textId="77777777" w:rsidR="003B0422" w:rsidRDefault="00000000"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AACAGAGGAGA</w:t>
            </w:r>
          </w:p>
        </w:tc>
        <w:tc>
          <w:tcPr>
            <w:tcW w:w="4649" w:type="dxa"/>
            <w:shd w:val="clear" w:color="auto" w:fill="F1F4F8"/>
          </w:tcPr>
          <w:p w14:paraId="623C5587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11 nt, fixed. Identical in Green, in Kim and in our own generator.</w:t>
            </w:r>
          </w:p>
        </w:tc>
      </w:tr>
      <w:tr w:rsidR="003B0422" w14:paraId="78ECEB7B" w14:textId="77777777">
        <w:trPr>
          <w:jc w:val="center"/>
        </w:trPr>
        <w:tc>
          <w:tcPr>
            <w:tcW w:w="1474" w:type="dxa"/>
          </w:tcPr>
          <w:p w14:paraId="7AAE9E34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RBS loop</w:t>
            </w:r>
          </w:p>
        </w:tc>
        <w:tc>
          <w:tcPr>
            <w:tcW w:w="3515" w:type="dxa"/>
          </w:tcPr>
          <w:p w14:paraId="17F83092" w14:textId="77777777" w:rsidR="003B0422" w:rsidRDefault="00000000"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AGACAAGAACAGAGGAGA</w:t>
            </w:r>
          </w:p>
        </w:tc>
        <w:tc>
          <w:tcPr>
            <w:tcW w:w="4649" w:type="dxa"/>
          </w:tcPr>
          <w:p w14:paraId="276C184C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18 nt = designed flank AGACAAG + the fixed RBS, which stays flush at the 3' end. See D12.</w:t>
            </w:r>
          </w:p>
        </w:tc>
      </w:tr>
      <w:tr w:rsidR="003B0422" w14:paraId="5D207C66" w14:textId="77777777">
        <w:trPr>
          <w:jc w:val="center"/>
        </w:trPr>
        <w:tc>
          <w:tcPr>
            <w:tcW w:w="1474" w:type="dxa"/>
            <w:shd w:val="clear" w:color="auto" w:fill="F1F4F8"/>
          </w:tcPr>
          <w:p w14:paraId="3412BFA7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Secondary loop</w:t>
            </w:r>
          </w:p>
        </w:tc>
        <w:tc>
          <w:tcPr>
            <w:tcW w:w="3515" w:type="dxa"/>
            <w:shd w:val="clear" w:color="auto" w:fill="F1F4F8"/>
          </w:tcPr>
          <w:p w14:paraId="4E4F27C8" w14:textId="77777777" w:rsidR="003B0422" w:rsidRDefault="00000000"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CAAGAACUUAGACAA</w:t>
            </w:r>
          </w:p>
        </w:tc>
        <w:tc>
          <w:tcPr>
            <w:tcW w:w="4649" w:type="dxa"/>
            <w:shd w:val="clear" w:color="auto" w:fill="F1F4F8"/>
          </w:tcPr>
          <w:p w14:paraId="4DB613C0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15 nt; the inhibitory-hairpin loop of Kim's Sw-G5-G3n* series. Verified to carry no SD-like motif and no start codon. See D7.</w:t>
            </w:r>
          </w:p>
        </w:tc>
      </w:tr>
      <w:tr w:rsidR="003B0422" w14:paraId="7EF686CA" w14:textId="77777777">
        <w:trPr>
          <w:jc w:val="center"/>
        </w:trPr>
        <w:tc>
          <w:tcPr>
            <w:tcW w:w="1474" w:type="dxa"/>
          </w:tcPr>
          <w:p w14:paraId="4251321E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LINKER</w:t>
            </w:r>
          </w:p>
        </w:tc>
        <w:tc>
          <w:tcPr>
            <w:tcW w:w="3515" w:type="dxa"/>
          </w:tcPr>
          <w:p w14:paraId="3FFC734D" w14:textId="77777777" w:rsidR="003B0422" w:rsidRDefault="00000000"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AACCUGGCGGCAGCGCAAAAG</w:t>
            </w:r>
          </w:p>
        </w:tc>
        <w:tc>
          <w:tcPr>
            <w:tcW w:w="4649" w:type="dxa"/>
          </w:tcPr>
          <w:p w14:paraId="52E038F9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21 nt = N L A A A Q K. No in-frame stop, and no SD-like motif, so it creates no second start site.</w:t>
            </w:r>
          </w:p>
        </w:tc>
      </w:tr>
      <w:tr w:rsidR="003B0422" w14:paraId="6FC090AA" w14:textId="77777777">
        <w:trPr>
          <w:jc w:val="center"/>
        </w:trPr>
        <w:tc>
          <w:tcPr>
            <w:tcW w:w="1474" w:type="dxa"/>
            <w:shd w:val="clear" w:color="auto" w:fill="F1F4F8"/>
          </w:tcPr>
          <w:p w14:paraId="529DE785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GFP CDS</w:t>
            </w:r>
          </w:p>
        </w:tc>
        <w:tc>
          <w:tcPr>
            <w:tcW w:w="3515" w:type="dxa"/>
            <w:shd w:val="clear" w:color="auto" w:fill="F1F4F8"/>
          </w:tcPr>
          <w:p w14:paraId="0EC7C824" w14:textId="77777777" w:rsidR="003B0422" w:rsidRDefault="00000000"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ATGCGTAAAGGAGAAGAACTT… (759 nt)</w:t>
            </w:r>
          </w:p>
        </w:tc>
        <w:tc>
          <w:tcPr>
            <w:tcW w:w="4649" w:type="dxa"/>
            <w:shd w:val="clear" w:color="auto" w:fill="F1F4F8"/>
          </w:tcPr>
          <w:p w14:paraId="2155B2FE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253 codons, divisible by 3; the only in-frame stops are the terminal TAA TAA. Begins with its own ATG — see D4.</w:t>
            </w:r>
          </w:p>
        </w:tc>
      </w:tr>
      <w:tr w:rsidR="003B0422" w14:paraId="715E3266" w14:textId="77777777">
        <w:trPr>
          <w:jc w:val="center"/>
        </w:trPr>
        <w:tc>
          <w:tcPr>
            <w:tcW w:w="1474" w:type="dxa"/>
          </w:tcPr>
          <w:p w14:paraId="497AB428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prevent list</w:t>
            </w:r>
          </w:p>
        </w:tc>
        <w:tc>
          <w:tcPr>
            <w:tcW w:w="3515" w:type="dxa"/>
          </w:tcPr>
          <w:p w14:paraId="035E39AD" w14:textId="77777777" w:rsidR="003B0422" w:rsidRDefault="00000000"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aaaa, cccc, gggg, uuuu, kkkkkk, mmmmmm, rrrrrr, ssssss, wwwwww, yyyyyy</w:t>
            </w:r>
          </w:p>
        </w:tc>
        <w:tc>
          <w:tcPr>
            <w:tcW w:w="4649" w:type="dxa"/>
          </w:tcPr>
          <w:p w14:paraId="50D75ED7" w14:textId="77777777" w:rsidR="003B0422" w:rsidRDefault="00000000">
            <w:pPr>
              <w:spacing w:before="40" w:after="40"/>
            </w:pPr>
            <w:r>
              <w:rPr>
                <w:sz w:val="16"/>
              </w:rPr>
              <w:t>Kim's pattern-prevention list, identical to the one in our own generator. Applies to designed positions only (R12).</w:t>
            </w:r>
          </w:p>
        </w:tc>
      </w:tr>
    </w:tbl>
    <w:p w14:paraId="45C05A28" w14:textId="77777777" w:rsidR="003B0422" w:rsidRDefault="003B0422">
      <w:pPr>
        <w:spacing w:after="80"/>
      </w:pPr>
    </w:p>
    <w:p w14:paraId="7F4F87F8" w14:textId="77777777" w:rsidR="003B0422" w:rsidRDefault="00000000">
      <w:r>
        <w:rPr>
          <w:i/>
          <w:color w:val="495057"/>
          <w:sz w:val="17"/>
        </w:rPr>
        <w:t>Sources: Kim et al. 2019, Modulating responses of toehold switches by an inhibitory hairpin — the two-hairpin architecture and the a trade-off. Robson &amp; Green 2026, Toehold-VISTA (NAR) — the switch scaffold, the 21-nt linker and the in-frame-stop filter. All geometry and every energy quoted here was measured with ViennaRNA 2.7.2 at 37 °C, default model; see the full specification for method detail.</w:t>
      </w:r>
    </w:p>
    <w:sectPr w:rsidR="003B0422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645581">
    <w:abstractNumId w:val="8"/>
  </w:num>
  <w:num w:numId="2" w16cid:durableId="413671944">
    <w:abstractNumId w:val="6"/>
  </w:num>
  <w:num w:numId="3" w16cid:durableId="504323238">
    <w:abstractNumId w:val="5"/>
  </w:num>
  <w:num w:numId="4" w16cid:durableId="1538085746">
    <w:abstractNumId w:val="4"/>
  </w:num>
  <w:num w:numId="5" w16cid:durableId="1580290168">
    <w:abstractNumId w:val="7"/>
  </w:num>
  <w:num w:numId="6" w16cid:durableId="1480877094">
    <w:abstractNumId w:val="3"/>
  </w:num>
  <w:num w:numId="7" w16cid:durableId="231741052">
    <w:abstractNumId w:val="2"/>
  </w:num>
  <w:num w:numId="8" w16cid:durableId="217712474">
    <w:abstractNumId w:val="1"/>
  </w:num>
  <w:num w:numId="9" w16cid:durableId="181170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CB2"/>
    <w:rsid w:val="0029639D"/>
    <w:rsid w:val="00326F90"/>
    <w:rsid w:val="00352734"/>
    <w:rsid w:val="003B0422"/>
    <w:rsid w:val="00821DF9"/>
    <w:rsid w:val="00A22A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CAD0C58-E819-4BE7-BDCC-3C1EB2B9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2099</Words>
  <Characters>11965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Offer Simha</cp:lastModifiedBy>
  <cp:revision>4</cp:revision>
  <dcterms:created xsi:type="dcterms:W3CDTF">2013-12-23T23:15:00Z</dcterms:created>
  <dcterms:modified xsi:type="dcterms:W3CDTF">2026-09-01T12:39:00Z</dcterms:modified>
  <cp:category/>
</cp:coreProperties>
</file>