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 xml:space="preserve">OfficeCLI Skills customer brief</w:t>
      </w:r>
    </w:p>
    <w:p>
      <w:pPr>
        <w:pStyle w:val="DocSubtitle"/>
      </w:pPr>
      <w:r>
        <w:t xml:space="preserve">Local Office generation for agent workflows</w:t>
      </w:r>
    </w:p>
    <w:p>
      <w:pPr>
        <w:pStyle w:val="Heading1"/>
      </w:pPr>
      <w:r>
        <w:t xml:space="preserve">Why this skill exists</w:t>
      </w:r>
    </w:p>
    <w:p>
      <w:pPr>
        <w:pStyle w:val="Normal"/>
      </w:pPr>
      <w:r>
        <w:t xml:space="preserve">officecli-skills gives local agents a repeatable way to decide when OfficeCLI should handle PPTX, DOCX, XLSX, report, or standalone image work.</w:t>
      </w:r>
    </w:p>
    <w:p>
      <w:pPr>
        <w:pStyle w:val="CalloutTitle"/>
      </w:pPr>
      <w:r>
        <w:t xml:space="preserve">Recommended use</w:t>
      </w:r>
    </w:p>
    <w:p>
      <w:pPr>
        <w:pStyle w:val="Callout"/>
      </w:pPr>
      <w:r>
        <w:t xml:space="preserve">Install the skill beside the OfficeCLI binary, then let the agent check capabilities before it writes any final Office artifact.</w:t>
      </w:r>
    </w:p>
    <w:p>
      <w:pPr>
        <w:pStyle w:val="Heading1"/>
      </w:pPr>
      <w:r>
        <w:t xml:space="preserve">Rollout checklist</w:t>
      </w:r>
    </w:p>
    <w:p>
      <w:pPr>
        <w:pStyle w:val="Heading3"/>
      </w:pPr>
      <w:r>
        <w:t xml:space="preserve">Adoption plan</w:t>
      </w:r>
    </w:p>
    <w:tbl>
      <w:tblPr>
        <w:tblStyle w:val="TableGrid"/>
        <w:tblW w:w="5000" w:type="pct"/>
        <w:tblLayout w:type="fixed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CBD5E1"/>
          <w:insideV w:val="single" w:sz="6" w:space="0" w:color="CBD5E1"/>
        </w:tblBorders>
      </w:tblPr>
      <w:tblGrid>
        <w:gridCol w:w="2766"/>
        <w:gridCol w:w="2766"/>
        <w:gridCol w:w="2766"/>
      </w:tblGrid>
      <w:tr>
        <w:tc>
          <w:tcPr>
            <w:tcW w:w="2766" w:type="dxa"/>
            <w:shd w:val="clear" w:color="auto" w:fill="FFEDD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rPr>
                <w:b/>
                <w:color w:val="020617"/>
              </w:rPr>
              <w:t xml:space="preserve">Step</w:t>
            </w:r>
          </w:p>
        </w:tc>
        <w:tc>
          <w:tcPr>
            <w:tcW w:w="2766" w:type="dxa"/>
            <w:shd w:val="clear" w:color="auto" w:fill="FFEDD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rPr>
                <w:b/>
                <w:color w:val="020617"/>
              </w:rPr>
              <w:t xml:space="preserve">Owner</w:t>
            </w:r>
          </w:p>
        </w:tc>
        <w:tc>
          <w:tcPr>
            <w:tcW w:w="2766" w:type="dxa"/>
            <w:shd w:val="clear" w:color="auto" w:fill="FFEDD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rPr>
                <w:b/>
                <w:color w:val="020617"/>
              </w:rPr>
              <w:t xml:space="preserve">Evidence</w:t>
            </w:r>
          </w:p>
        </w:tc>
      </w:tr>
      <w:tr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Install skill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Automation lead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officecli --version</w:t>
            </w:r>
          </w:p>
        </w:tc>
      </w:tr>
      <w:tr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Configure runtime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Platform owner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officecli config status</w:t>
            </w:r>
          </w:p>
        </w:tc>
      </w:tr>
      <w:tr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Generate artifact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Agent user</w:t>
            </w:r>
          </w:p>
        </w:tc>
        <w:tc>
          <w:tcPr>
            <w:tcW w:w="2766" w:type="dxa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80"/>
            </w:pPr>
            <w:r>
              <w:t xml:space="preserve">Local file plus preview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ptos">
    <w:family w:val="swiss"/>
    <w:pitch w:val="variable"/>
  </w:font>
  <w:font w:name="Microsoft YaHei">
    <w:charset w:val="86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ptos" w:eastAsia="Microsoft YaHei" w:hAnsi="Aptos"/>
        <w:color w:val="1E293B"/>
        <w:sz w:val="22"/>
        <w:szCs w:val="22"/>
        <w:lang w:val="en-US" w:eastAsia="zh-CN"/>
      </w:rPr>
    </w:rPrDefault>
    <w:pPrDefault>
      <w:pPr>
        <w:spacing w:before="0" w:after="140" w:line="320" w:lineRule="auto"/>
      </w:pPr>
    </w:pPrDefault>
  </w:docDefaults>
  <w:style w:type="paragraph" w:default="1" w:styleId="Normal">
    <w:name w:val="Normal"/>
  </w:style>
  <w:style w:type="paragraph" w:styleId="DocTitle">
    <w:name w:val="Document Title"/>
    <w:basedOn w:val="Normal"/>
    <w:next w:val="DocSubtitle"/>
    <w:pPr>
      <w:spacing w:before="0" w:after="80"/>
    </w:pPr>
    <w:rPr>
      <w:b/>
      <w:color w:val="020617"/>
      <w:sz w:val="34"/>
      <w:szCs w:val="34"/>
    </w:rPr>
  </w:style>
  <w:style w:type="paragraph" w:styleId="DocSubtitle">
    <w:name w:val="Document Subtitle"/>
    <w:basedOn w:val="Normal"/>
    <w:next w:val="Normal"/>
    <w:pPr>
      <w:spacing w:before="0" w:after="240"/>
    </w:pPr>
    <w:rPr>
      <w:color w:val="64748B"/>
      <w:sz w:val="22"/>
      <w:szCs w:val="22"/>
    </w:rPr>
  </w:style>
  <w:style w:type="paragraph" w:styleId="Heading1">
    <w:name w:val="heading 1"/>
    <w:basedOn w:val="Normal"/>
    <w:next w:val="Normal"/>
    <w:pPr>
      <w:spacing w:before="320" w:after="100"/>
      <w:outlineLvl w:val="0"/>
    </w:pPr>
    <w:rPr>
      <w:b/>
      <w:color w:val="F97316"/>
      <w:sz w:val="28"/>
      <w:szCs w:val="28"/>
    </w:rPr>
  </w:style>
  <w:style w:type="paragraph" w:styleId="Heading2">
    <w:name w:val="heading 2"/>
    <w:basedOn w:val="Normal"/>
    <w:next w:val="Normal"/>
    <w:pPr>
      <w:spacing w:before="260" w:after="80"/>
      <w:outlineLvl w:val="1"/>
    </w:pPr>
    <w:rPr>
      <w:b/>
      <w:color w:val="F97316"/>
      <w:sz w:val="24"/>
      <w:szCs w:val="24"/>
    </w:rPr>
  </w:style>
  <w:style w:type="paragraph" w:styleId="Heading3">
    <w:name w:val="heading 3"/>
    <w:basedOn w:val="Normal"/>
    <w:next w:val="Normal"/>
    <w:pPr>
      <w:spacing w:before="220" w:after="60"/>
      <w:outlineLvl w:val="2"/>
    </w:pPr>
    <w:rPr>
      <w:b/>
      <w:color w:val="F97316"/>
      <w:sz w:val="22"/>
      <w:szCs w:val="22"/>
    </w:rPr>
  </w:style>
  <w:style w:type="paragraph" w:styleId="Heading4">
    <w:name w:val="heading 4"/>
    <w:basedOn w:val="Normal"/>
    <w:next w:val="Normal"/>
    <w:pPr>
      <w:spacing w:before="200" w:after="40"/>
      <w:outlineLvl w:val="3"/>
    </w:pPr>
    <w:rPr>
      <w:b/>
      <w:color w:val="F97316"/>
      <w:sz w:val="20"/>
      <w:szCs w:val="20"/>
    </w:rPr>
  </w:style>
  <w:style w:type="paragraph" w:styleId="Heading5">
    <w:name w:val="heading 5"/>
    <w:basedOn w:val="Normal"/>
    <w:next w:val="Normal"/>
    <w:rPr>
      <w:b/>
      <w:color w:val="F97316"/>
      <w:sz w:val="18"/>
      <w:szCs w:val="18"/>
    </w:rPr>
  </w:style>
  <w:style w:type="paragraph" w:styleId="Heading6">
    <w:name w:val="heading 6"/>
    <w:basedOn w:val="Normal"/>
    <w:next w:val="Normal"/>
    <w:rPr>
      <w:b/>
      <w:color w:val="F97316"/>
      <w:sz w:val="16"/>
      <w:szCs w:val="16"/>
    </w:rPr>
  </w:style>
  <w:style w:type="paragraph" w:styleId="Quote">
    <w:name w:val="Quote"/>
    <w:basedOn w:val="Normal"/>
    <w:pPr>
      <w:ind w:left="520" w:right="200"/>
      <w:spacing w:before="120" w:after="160"/>
      <w:pBdr>
        <w:left w:val="single" w:sz="10" w:space="10" w:color="F97316"/>
      </w:pBdr>
    </w:pPr>
    <w:rPr>
      <w:i/>
      <w:color w:val="64748B"/>
    </w:rPr>
  </w:style>
  <w:style w:type="paragraph" w:styleId="CalloutTitle">
    <w:name w:val="Callout Title"/>
    <w:basedOn w:val="Normal"/>
    <w:next w:val="Callout"/>
    <w:pPr>
      <w:spacing w:before="180" w:after="40"/>
    </w:pPr>
    <w:rPr>
      <w:b/>
      <w:color w:val="F97316"/>
      <w:sz w:val="20"/>
      <w:szCs w:val="20"/>
    </w:rPr>
  </w:style>
  <w:style w:type="paragraph" w:styleId="Callout">
    <w:name w:val="Callout"/>
    <w:basedOn w:val="Normal"/>
    <w:pPr>
      <w:spacing w:before="0" w:after="180"/>
      <w:ind w:left="320" w:right="120"/>
      <w:shd w:val="clear" w:color="auto" w:fill="FFEDD5"/>
      <w:pBdr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</w:pBdr>
    </w:p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fontTable" Target="fontTable.xml"/>
    <Relationship Id="rId4" Type="http://schemas.openxmlformats.org/officeDocument/2006/relationships/numbering" Target="numbering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Graphit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ple-Style">
      <a:majorFont>
        <a:latin typeface="Helvetica Neue" panose="020B0604020202020204"/>
        <a:ea typeface="PingFang SC"/>
        <a:cs typeface=""/>
      </a:majorFont>
      <a:minorFont>
        <a:latin typeface="Helvetica Neue" panose="020B0604020202020204"/>
        <a:ea typeface="PingFang SC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officecli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OfficeCLI Skills customer brief</dc:title>
  <dc:creator>OfficeCLI</dc:creator>
  <dcterms:created xsi:type="dcterms:W3CDTF">2026-05-14T06:11:08Z</dcterms:created>
</cp:coreProperties>
</file>