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table style BoldTable (bold); a paragraph in BoldPara (bold), one in Normal, and one in Normal whose run is in CharBold (bold)</w:t>
      </w:r>
    </w:p>
    <w:tbl>
      <w:tblPr>
        <w:tblStyle w:val="BoldTable"/>
        <w:tblW w:w="9024" w:type="dxa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pStyle w:val="BoldPara"/>
            </w:pPr>
            <w:r>
              <w:t xml:space="preserve">in BoldPara</w:t>
            </w:r>
          </w:p>
        </w:tc>
        <w:tc>
          <w:tcPr>
            <w:tcW w:w="3008" w:type="dxa"/>
          </w:tcPr>
          <w:p>
            <w:r>
              <w:t xml:space="preserve">in Normal</w:t>
            </w:r>
          </w:p>
        </w:tc>
        <w:tc>
          <w:tcPr>
            <w:tcW w:w="3008" w:type="dxa"/>
          </w:tcPr>
          <w:p>
            <w:r>
              <w:rPr>
                <w:rStyle w:val="CharBold"/>
              </w:rPr>
              <w:t xml:space="preserve">in CharBold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oldTable">
    <w:name w:val="BoldTable"/>
    <w:basedOn w:val="TableNormal"/>
    <w:rPr>
      <w:b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ldPara">
    <w:name w:val="BoldPara"/>
    <w:basedOn w:val="Normal"/>
    <w:rPr>
      <w:b/>
      <w:bCs/>
    </w:rPr>
  </w:style>
  <w:style w:type="character" w:customStyle="1" w:styleId="CharBold">
    <w:name w:val="CharBold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E-table-style-toggles</dc:title>
  <dc:description>How a bold table style combines with a bold paragraph style and a bold character style, with document defaults that are not bold: as one more toggle level, which gives not bold in both, or as the base they count from, which gives bold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