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LinkedNoLevel"/>
      </w:pPr>
      <w:r>
        <w:t xml:space="preserve">Case 01: the style LinkedNoLevel gives instance 1 and no level; level 2 names the style</w:t>
      </w:r>
    </w:p>
    <w:p>
      <w:pPr>
        <w:pStyle w:val="LinkedNoLevel"/>
      </w:pPr>
      <w:r>
        <w:t xml:space="preserve">Case 02: a second paragraph in the same style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numbering.xml><?xml version="1.0" encoding="utf-8"?>
<w:numbering xmlns:w="http://schemas.openxmlformats.org/wordprocessingml/2006/main">
  <w:abstractNum w:abstractNumId="0">
    <w:nsid w:val="5C3A003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pStyle w:val="LinkedNoLevel"/>
      <w:lvlText w:val="[%3]"/>
      <w:lvlJc w:val="left"/>
      <w:pPr>
        <w:ind w:left="216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inkedNoLevel">
    <w:name w:val="LinkedNoLevel"/>
    <w:basedOn w:val="Normal"/>
    <w:pPr>
      <w:numPr>
        <w:numId w:val="1"/>
      </w:numPr>
    </w:p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E-list-level-linked-no-level</dc:title>
  <dc:description>Which list level a paragraph takes whose style gives a list but no level, when level 2 of that list names the style (#293): level 2, as ECMA-376 says, or level 0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