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rPr>
          <w:i/>
          <w:iCs/>
          <w:sz w:val="24"/>
          <w:szCs w:val="24"/>
        </w:rPr>
        <w:t xml:space="preserve">Curriculum Vitae</w:t>
      </w:r>
    </w:p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Dr. Thomas Ashworth</w:t>
      </w:r>
    </w:p>
    <w:p>
      <w:pPr>
        <w:spacing w:after="240"/>
        <w:jc w:val="center"/>
      </w:pPr>
      <w:r>
        <w:t xml:space="preserve">Senior Lecturer in Coastal Engineering, Department of Civil Engineering, Eastport University</w:t>
      </w:r>
    </w:p>
    <w:p>
      <w:pPr>
        <w:pStyle w:val="Heading1"/>
      </w:pPr>
      <w:r>
        <w:rPr>
          <w:b/>
          <w:bCs/>
        </w:rPr>
        <w:t xml:space="preserve">Research interests</w:t>
      </w:r>
    </w:p>
    <w:p>
      <w:pPr>
        <w:spacing w:line="276" w:lineRule="auto"/>
        <w:jc w:val="both"/>
      </w:pPr>
      <w:r>
        <w:t xml:space="preserve">Marine renewable energy, sediment transport and the design of coastal structures. My work combines field measurements with numerical models and is used by harbour authorities and energy developers</w:t>
      </w:r>
      <w:r>
        <w:rPr>
          <w:rStyle w:val="FootnoteReference"/>
        </w:rPr>
        <w:footnoteReference w:id="1"/>
      </w:r>
      <w:r>
        <w:t xml:space="preserve">. I lead the coastal laboratory and supervise six doctoral students.</w:t>
      </w:r>
    </w:p>
    <w:p>
      <w:pPr>
        <w:pStyle w:val="Heading1"/>
      </w:pPr>
      <w:r>
        <w:rPr>
          <w:b/>
          <w:bCs/>
        </w:rPr>
        <w:t xml:space="preserve">Appointments</w:t>
      </w:r>
    </w:p>
    <w:p>
      <w:pPr>
        <w:tabs>
          <w:tab w:val="left" w:pos="1800"/>
        </w:tabs>
        <w:ind w:left="1800" w:hanging="1800"/>
      </w:pPr>
      <w:r>
        <w:t xml:space="preserve">2019–present</w:t>
        <w:tab/>
        <w:t xml:space="preserve">Senior Lecturer, Eastport University</w:t>
      </w:r>
    </w:p>
    <w:p>
      <w:pPr>
        <w:tabs>
          <w:tab w:val="left" w:pos="1800"/>
        </w:tabs>
        <w:ind w:left="1800" w:hanging="1800"/>
      </w:pPr>
      <w:r>
        <w:t xml:space="preserve">2014–2019</w:t>
        <w:tab/>
        <w:t xml:space="preserve">Lecturer, Eastport University</w:t>
      </w:r>
    </w:p>
    <w:p>
      <w:pPr>
        <w:tabs>
          <w:tab w:val="left" w:pos="1800"/>
        </w:tabs>
        <w:ind w:left="1800" w:hanging="1800"/>
      </w:pPr>
      <w:r>
        <w:t xml:space="preserve">2011–2014</w:t>
        <w:tab/>
        <w:t xml:space="preserve">Research Fellow, Northern Marine Institute</w:t>
      </w:r>
    </w:p>
    <w:p>
      <w:pPr>
        <w:pStyle w:val="Heading1"/>
      </w:pPr>
      <w:r>
        <w:rPr>
          <w:b/>
          <w:bCs/>
        </w:rPr>
        <w:t xml:space="preserve">Selected publications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 and Lindqvist, M. (2025). Tidal energy siting under uncertainty. Journal of Coastal Systems, 41(3), 211–236.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 (2024). A practical guide to seabed surveys for small research groups. Field Methods in Marine Science, 12, 55–79.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T., Romero, P. and Chen, L. (2023). Sediment transport near offshore foundations: a ten-year record. Ocean Engineering Letters, 8(2), 101–129.</w:t>
      </w:r>
    </w:p>
    <w:p>
      <w:pPr>
        <w:numPr>
          <w:ilvl w:val="0"/>
          <w:numId w:val="4"/>
        </w:numPr>
        <w:spacing w:after="80"/>
        <w:jc w:val="both"/>
      </w:pPr>
      <w:r>
        <w:t xml:space="preserve">Lindqvist, M. and Ashworth, T. (2021). Measuring turbulence with low-cost acoustic sensors. Instruments for the Sea, 19, 300–318.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 (2019). Coastal models and the people who use them. In: Harlan, J. (ed.) Science at the Shoreline. Eastport University Press, 45–68.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 and Okonkwo, B. (2017). Storm surge and harbour design: lessons from three winters. Port Engineering Quarterly, 33(4), 12–30.</w:t>
      </w:r>
    </w:p>
    <w:p>
      <w:pPr>
        <w:pStyle w:val="Heading1"/>
      </w:pPr>
      <w:r>
        <w:rPr>
          <w:b/>
          <w:bCs/>
        </w:rPr>
        <w:t xml:space="preserve">Teaching</w:t>
      </w:r>
    </w:p>
    <w:p>
      <w:pPr>
        <w:spacing w:line="276" w:lineRule="auto"/>
        <w:jc w:val="both"/>
      </w:pPr>
      <w:r>
        <w:t xml:space="preserve">Fluid mechanics (second year, 180 students), coastal engineering design (fourth year), and a graduate course on field methods. Course leader for the coastal engineering master's programme since 2021.</w:t>
      </w:r>
    </w:p>
    <w:p>
      <w:pPr>
        <w:pStyle w:val="Heading1"/>
      </w:pPr>
      <w:r>
        <w:rPr>
          <w:b/>
          <w:bCs/>
        </w:rPr>
        <w:t xml:space="preserve">Grants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500"/>
        <w:gridCol w:w="6160"/>
        <w:gridCol w:w="1700"/>
      </w:tblGrid>
      <w:tr>
        <w:trPr>
          <w:tblHeader/>
        </w:trPr>
        <w:tc>
          <w:tcPr>
            <w:tcW w:w="1500" w:type="dxa"/>
          </w:tcPr>
          <w:p>
            <w:r>
              <w:rPr>
                <w:b/>
                <w:bCs/>
              </w:rPr>
              <w:t xml:space="preserve">Years</w:t>
            </w:r>
          </w:p>
        </w:tc>
        <w:tc>
          <w:tcPr>
            <w:tcW w:w="6160" w:type="dxa"/>
          </w:tcPr>
          <w:p>
            <w:r>
              <w:rPr>
                <w:b/>
                <w:bCs/>
              </w:rPr>
              <w:t xml:space="preserve">Funder and title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rPr>
                <w:b/>
                <w:bCs/>
              </w:rPr>
              <w:t xml:space="preserve">Amount</w:t>
            </w:r>
          </w:p>
        </w:tc>
      </w:tr>
      <w:tr>
        <w:tc>
          <w:tcPr>
            <w:tcW w:w="1500" w:type="dxa"/>
          </w:tcPr>
          <w:p>
            <w:r>
              <w:t xml:space="preserve">2024–2027</w:t>
            </w:r>
          </w:p>
        </w:tc>
        <w:tc>
          <w:tcPr>
            <w:tcW w:w="6160" w:type="dxa"/>
          </w:tcPr>
          <w:p>
            <w:r>
              <w:t xml:space="preserve">National Science Fund: Tidal sites under changing seabeds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$ 840,000</w:t>
            </w:r>
          </w:p>
        </w:tc>
      </w:tr>
      <w:tr>
        <w:tc>
          <w:tcPr>
            <w:tcW w:w="1500" w:type="dxa"/>
          </w:tcPr>
          <w:p>
            <w:r>
              <w:t xml:space="preserve">2021–2023</w:t>
            </w:r>
          </w:p>
        </w:tc>
        <w:tc>
          <w:tcPr>
            <w:tcW w:w="6160" w:type="dxa"/>
          </w:tcPr>
          <w:p>
            <w:r>
              <w:t xml:space="preserve">Coastal Authority: Harbour wave climate study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$ 210,000</w:t>
            </w:r>
          </w:p>
        </w:tc>
      </w:tr>
      <w:tr>
        <w:tc>
          <w:tcPr>
            <w:tcW w:w="1500" w:type="dxa"/>
          </w:tcPr>
          <w:p>
            <w:r>
              <w:t xml:space="preserve">2018–2020</w:t>
            </w:r>
          </w:p>
        </w:tc>
        <w:tc>
          <w:tcPr>
            <w:tcW w:w="6160" w:type="dxa"/>
          </w:tcPr>
          <w:p>
            <w:r>
              <w:t xml:space="preserve">Energy Research Council: Sensor networks for tidal turbines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$ 365,000</w:t>
            </w:r>
          </w:p>
        </w:tc>
      </w:tr>
    </w:tbl>
    <w:p/>
    <w:sectPr>
      <w:footerReference w:type="default" r:id="rId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erif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tabs>
        <w:tab w:val="right" w:pos="9360"/>
      </w:tabs>
    </w:pPr>
    <w:r>
      <w:t xml:space="preserve">T. Ashworth – CV</w:t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Including the harbour authorities of three ports and two offshore wind developers.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erif" w:hAnsi="Liberation Serif" w:cs="Liberation Serif"/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erif" w:hAnsi="Liberation Serif" w:cs="Liberation Serif"/>
      <w:b/>
      <w:bCs/>
      <w:sz w:val="26"/>
      <w:szCs w:val="26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erif" w:hAnsi="Liberation Serif" w:cs="Liberation Serif"/>
      <w:b/>
      <w:bCs/>
      <w:sz w:val="48"/>
      <w:szCs w:val="4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Relationship Id="rId6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cv-en-academic-open</dc:title>
  <dc:description>Academic CV: justified text with line spacing 1.15, Heading 1 style, hanging-indent appointments, bracketed numbered publications, a footnote, a grants table with a header row; Times New Roman 12,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