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rPr>
          <w:b/>
          <w:bCs/>
          <w:color w:val="C55A11"/>
          <w:sz w:val="36"/>
          <w:szCs w:val="36"/>
        </w:rPr>
        <w:t xml:space="preserve">TAX INVOICE</w:t>
      </w:r>
    </w:p>
    <w:p>
      <w:pPr>
        <w:spacing w:after="200"/>
        <w:jc w:val="right"/>
      </w:pPr>
      <w:r>
        <w:t xml:space="preserve">Kestrel IT Services Ltd  ·  VAT no. GB 000 0000 00</w:t>
      </w:r>
    </w:p>
    <w:p>
      <w:pPr>
        <w:spacing w:after="160"/>
      </w:pPr>
      <w:r>
        <w:t xml:space="preserve">Invoice 7781  ·  12 March 2026  ·  Customer: Oakfield Veterinary Clinic, 3 Mill Street, Westbury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1000"/>
        <w:gridCol w:w="2000"/>
      </w:tblGrid>
      <w:tr>
        <w:tc>
          <w:tcPr>
            <w:tcW w:w="1800" w:type="dxa"/>
            <w:shd w:val="clear" w:color="auto" w:fill="FCE4D6"/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w="4560" w:type="dxa"/>
            <w:shd w:val="clear" w:color="auto" w:fill="FCE4D6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1000" w:type="dxa"/>
            <w:shd w:val="clear" w:color="auto" w:fill="FCE4D6"/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w="2000" w:type="dxa"/>
            <w:shd w:val="clear" w:color="auto" w:fill="FCE4D6"/>
          </w:tcPr>
          <w:p>
            <w:r>
              <w:rPr>
                <w:b/>
                <w:bCs/>
              </w:rPr>
              <w:t xml:space="preserve">Net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Hardware</w:t>
            </w:r>
          </w:p>
        </w:tc>
        <w:tc>
          <w:tcPr>
            <w:tcW w:w="4560" w:type="dxa"/>
          </w:tcPr>
          <w:p>
            <w:r>
              <w:t xml:space="preserve">Laptop, 14-inch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£2,697.00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Docking station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£567.00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Monitor, 27-inch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£747.00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W w:w="4560" w:type="dxa"/>
          </w:tcPr>
          <w:p>
            <w:r>
              <w:t xml:space="preserve">Device setup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£315.00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Data migration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£360.00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W w:w="4560" w:type="dxa"/>
          </w:tcPr>
          <w:p>
            <w:r>
              <w:t xml:space="preserve">Office suite, annual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£297.00</w:t>
            </w:r>
          </w:p>
        </w:tc>
      </w:tr>
    </w:tbl>
    <w:p>
      <w:pPr>
        <w:spacing w:after="160"/>
      </w:pPr>
    </w:p>
    <w:tbl>
      <w:tblPr>
        <w:tblW w:w="72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</w:tblGrid>
      <w:tr>
        <w:tc>
          <w:tcPr>
            <w:tcW w:w="5200" w:type="dxa"/>
            <w:gridSpan w:val="2"/>
            <w:shd w:val="clear" w:color="auto" w:fill="FCE4D6"/>
          </w:tcPr>
          <w:p>
            <w:r>
              <w:rPr>
                <w:b/>
                <w:bCs/>
              </w:rPr>
              <w:t xml:space="preserve">VAT summary</w:t>
            </w:r>
          </w:p>
        </w:tc>
        <w:tc>
          <w:tcPr>
            <w:tcW w:w="2000" w:type="dxa"/>
            <w:shd w:val="clear" w:color="auto" w:fill="FCE4D6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w="2400" w:type="dxa"/>
          </w:tcPr>
          <w:p>
            <w:r>
              <w:t xml:space="preserve">Net</w:t>
            </w:r>
          </w:p>
        </w:tc>
        <w:tc>
          <w:tcPr>
            <w:tcW w:w="2800" w:type="dxa"/>
          </w:tcPr>
          <w:p>
            <w:r>
              <w:t xml:space="preserve">standard rate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£4,983.00</w:t>
            </w:r>
          </w:p>
        </w:tc>
      </w:tr>
      <w:tr>
        <w:tc>
          <w:tcPr>
            <w:tcW w:w="2400" w:type="dxa"/>
          </w:tcPr>
          <w:p>
            <w:r>
              <w:t xml:space="preserve">VAT 20 %</w:t>
            </w:r>
          </w:p>
        </w:tc>
        <w:tc>
          <w:tcPr>
            <w:tcW w:w="2800" w:type="dxa"/>
          </w:tcPr>
          <w:p>
            <w:r>
              <w:t xml:space="preserve">on all lines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£996.60</w:t>
            </w:r>
          </w:p>
        </w:tc>
      </w:tr>
      <w:tr>
        <w:tc>
          <w:tcPr>
            <w:tcW w:w="5200" w:type="dxa"/>
            <w:gridSpan w:val="2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b/>
                <w:bCs/>
              </w:rPr>
              <w:t xml:space="preserve">£5,979.60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invoice-en-merged</dc:title>
  <dc:description>Tax invoice with grouped items: vertically merged group cells centred vertically, a right-aligned VAT summary table with column spans, filled header rows; Arial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