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40"/>
      </w:pPr>
      <w:r>
        <w:rPr>
          <w:b/>
          <w:bCs/>
          <w:smallCaps/>
          <w:sz w:val="44"/>
          <w:szCs w:val="44"/>
        </w:rPr>
        <w:t xml:space="preserve">Dr. Elena Varga</w:t>
      </w:r>
    </w:p>
    <w:p>
      <w:pPr>
        <w:pBdr>
          <w:bottom w:val="single" w:sz="6" w:space="1" w:color="808080"/>
        </w:pBdr>
        <w:spacing w:after="160"/>
      </w:pPr>
      <w:r>
        <w:t xml:space="preserve">Translator and Terminologist  •  Lindenweg 4, Riverton  •  (555) 017-3390</w:t>
      </w:r>
    </w:p>
    <w:p>
      <w:pPr>
        <w:keepNext/>
        <w:spacing w:before="240" w:after="60" w:line="320" w:lineRule="exact"/>
      </w:pPr>
      <w:r>
        <w:rPr>
          <w:b/>
          <w:bCs/>
          <w:smallCaps/>
          <w:spacing w:val="20"/>
          <w:sz w:val="26"/>
          <w:szCs w:val="26"/>
        </w:rPr>
        <w:t xml:space="preserve">Professional Experience</w:t>
      </w:r>
    </w:p>
    <w:p>
      <w:pPr>
        <w:keepNext/>
        <w:tabs>
          <w:tab w:val="right" w:leader="dot" w:pos="9072"/>
        </w:tabs>
        <w:spacing w:before="80" w:line="280" w:lineRule="exact"/>
      </w:pPr>
      <w:r>
        <w:rPr>
          <w:b/>
          <w:bCs/>
        </w:rPr>
        <w:t xml:space="preserve">Head of Translation Services, Meridian Language Partners</w:t>
      </w:r>
      <w:r>
        <w:tab/>
        <w:t xml:space="preserve">2019–2026</w:t>
      </w:r>
    </w:p>
    <w:p>
      <w:pPr>
        <w:spacing w:line="280" w:lineRule="exact"/>
        <w:ind w:left="340"/>
        <w:jc w:val="both"/>
      </w:pPr>
      <w:r>
        <w:rPr>
          <w:i/>
          <w:iCs/>
        </w:rPr>
        <w:t xml:space="preserve">Ran a team of eleven translators and two terminologists; set up the review workflow and the style guides for legal and medical clients.</w:t>
      </w:r>
    </w:p>
    <w:p>
      <w:pPr>
        <w:keepNext/>
        <w:tabs>
          <w:tab w:val="right" w:leader="dot" w:pos="9072"/>
        </w:tabs>
        <w:spacing w:before="80" w:line="280" w:lineRule="exact"/>
      </w:pPr>
      <w:r>
        <w:rPr>
          <w:b/>
          <w:bCs/>
        </w:rPr>
        <w:t xml:space="preserve">Senior Translator, Atlas Technical Documentation</w:t>
      </w:r>
      <w:r>
        <w:tab/>
        <w:t xml:space="preserve">2014–2019</w:t>
      </w:r>
    </w:p>
    <w:p>
      <w:pPr>
        <w:spacing w:line="280" w:lineRule="exact"/>
        <w:ind w:left="340"/>
        <w:jc w:val="both"/>
      </w:pPr>
      <w:r>
        <w:rPr>
          <w:i/>
          <w:iCs/>
        </w:rPr>
        <w:t xml:space="preserve">Translated maintenance manuals and safety data sheets from German and French; built the shared termbase.</w:t>
      </w:r>
    </w:p>
    <w:p>
      <w:pPr>
        <w:keepNext/>
        <w:tabs>
          <w:tab w:val="right" w:leader="dot" w:pos="9072"/>
        </w:tabs>
        <w:spacing w:before="80" w:line="280" w:lineRule="exact"/>
      </w:pPr>
      <w:r>
        <w:rPr>
          <w:b/>
          <w:bCs/>
        </w:rPr>
        <w:t xml:space="preserve">Translator, Bellwether Publishing</w:t>
      </w:r>
      <w:r>
        <w:tab/>
        <w:t xml:space="preserve">2010–2014</w:t>
      </w:r>
    </w:p>
    <w:p>
      <w:pPr>
        <w:spacing w:line="280" w:lineRule="exact"/>
        <w:ind w:left="340"/>
        <w:jc w:val="both"/>
      </w:pPr>
      <w:r>
        <w:rPr>
          <w:i/>
          <w:iCs/>
        </w:rPr>
        <w:t xml:space="preserve">Translated non-fiction titles and catalogues; proofread for the in-house magazine.</w:t>
      </w:r>
    </w:p>
    <w:p>
      <w:pPr>
        <w:keepNext/>
        <w:tabs>
          <w:tab w:val="right" w:leader="dot" w:pos="9072"/>
        </w:tabs>
        <w:spacing w:before="80" w:line="280" w:lineRule="exact"/>
      </w:pPr>
      <w:r>
        <w:rPr>
          <w:b/>
          <w:bCs/>
        </w:rPr>
        <w:t xml:space="preserve">In-house Interpreter, Crescent Trade Fairs</w:t>
      </w:r>
      <w:r>
        <w:tab/>
        <w:t xml:space="preserve">2008–2010</w:t>
      </w:r>
    </w:p>
    <w:p>
      <w:pPr>
        <w:spacing w:line="280" w:lineRule="exact"/>
        <w:ind w:left="340"/>
        <w:jc w:val="both"/>
      </w:pPr>
      <w:r>
        <w:rPr>
          <w:i/>
          <w:iCs/>
        </w:rPr>
        <w:t xml:space="preserve">Interpreted at exhibitor meetings and press conferences in three languages.</w:t>
      </w:r>
    </w:p>
    <w:p>
      <w:pPr>
        <w:keepNext/>
        <w:spacing w:before="240" w:after="60" w:line="320" w:lineRule="exact"/>
      </w:pPr>
      <w:r>
        <w:rPr>
          <w:b/>
          <w:bCs/>
          <w:smallCaps/>
          <w:spacing w:val="20"/>
          <w:sz w:val="26"/>
          <w:szCs w:val="26"/>
        </w:rPr>
        <w:t xml:space="preserve">Education</w:t>
      </w:r>
    </w:p>
    <w:p>
      <w:pPr>
        <w:keepNext/>
        <w:tabs>
          <w:tab w:val="right" w:leader="dot" w:pos="9072"/>
        </w:tabs>
        <w:spacing w:before="80" w:line="280" w:lineRule="exact"/>
      </w:pPr>
      <w:r>
        <w:rPr>
          <w:b/>
          <w:bCs/>
        </w:rPr>
        <w:t xml:space="preserve">Ph.D. Translation Studies, Hillcrest University</w:t>
      </w:r>
      <w:r>
        <w:tab/>
        <w:t xml:space="preserve">2008</w:t>
      </w:r>
    </w:p>
    <w:p>
      <w:pPr>
        <w:spacing w:line="280" w:lineRule="exact"/>
        <w:ind w:left="340"/>
        <w:jc w:val="both"/>
      </w:pPr>
      <w:r>
        <w:rPr>
          <w:i/>
          <w:iCs/>
        </w:rPr>
        <w:t xml:space="preserve">Thesis: consistency of terminology in multilingual technical documentation.</w:t>
      </w:r>
    </w:p>
    <w:p>
      <w:pPr>
        <w:keepNext/>
        <w:tabs>
          <w:tab w:val="right" w:leader="dot" w:pos="9072"/>
        </w:tabs>
        <w:spacing w:before="80" w:line="280" w:lineRule="exact"/>
      </w:pPr>
      <w:r>
        <w:rPr>
          <w:b/>
          <w:bCs/>
        </w:rPr>
        <w:t xml:space="preserve">M.A. Applied Linguistics, Hillcrest University</w:t>
      </w:r>
      <w:r>
        <w:tab/>
        <w:t xml:space="preserve">2004</w:t>
      </w:r>
    </w:p>
    <w:p>
      <w:pPr>
        <w:spacing w:line="280" w:lineRule="exact"/>
        <w:ind w:left="340"/>
        <w:jc w:val="both"/>
      </w:pPr>
      <w:r>
        <w:rPr>
          <w:i/>
          <w:iCs/>
        </w:rPr>
        <w:t xml:space="preserve">Specialisation in legal and technical translation.</w:t>
      </w:r>
    </w:p>
    <w:p>
      <w:pPr>
        <w:keepNext/>
        <w:spacing w:before="240" w:after="60" w:line="320" w:lineRule="exact"/>
      </w:pPr>
      <w:r>
        <w:rPr>
          <w:b/>
          <w:bCs/>
          <w:smallCaps/>
          <w:spacing w:val="20"/>
          <w:sz w:val="26"/>
          <w:szCs w:val="26"/>
        </w:rPr>
        <w:t xml:space="preserve">Selected Projects</w:t>
      </w:r>
    </w:p>
    <w:p>
      <w:pPr>
        <w:keepNext/>
        <w:tabs>
          <w:tab w:val="right" w:leader="dot" w:pos="9072"/>
        </w:tabs>
        <w:spacing w:before="80" w:line="280" w:lineRule="exact"/>
      </w:pPr>
      <w:r>
        <w:rPr>
          <w:b/>
          <w:bCs/>
        </w:rPr>
        <w:t xml:space="preserve">Project 1: Rail signalling manuals</w:t>
      </w:r>
      <w:r>
        <w:tab/>
        <w:t xml:space="preserve">2025</w:t>
      </w:r>
    </w:p>
    <w:p>
      <w:pPr>
        <w:spacing w:line="280" w:lineRule="exact"/>
        <w:ind w:left="340"/>
        <w:jc w:val="both"/>
      </w:pPr>
      <w:r>
        <w:rPr>
          <w:i/>
          <w:iCs/>
        </w:rPr>
        <w:t xml:space="preserve">1.2 million words, four languages, delivered in nine months with a team of seven.</w:t>
      </w:r>
    </w:p>
    <w:p>
      <w:pPr>
        <w:keepNext/>
        <w:tabs>
          <w:tab w:val="right" w:leader="dot" w:pos="9072"/>
        </w:tabs>
        <w:spacing w:before="80" w:line="280" w:lineRule="exact"/>
      </w:pPr>
      <w:r>
        <w:rPr>
          <w:b/>
          <w:bCs/>
        </w:rPr>
        <w:t xml:space="preserve">Project 2: Clinical trial documents</w:t>
      </w:r>
      <w:r>
        <w:tab/>
        <w:t xml:space="preserve">2023</w:t>
      </w:r>
    </w:p>
    <w:p>
      <w:pPr>
        <w:spacing w:line="280" w:lineRule="exact"/>
        <w:ind w:left="340"/>
        <w:jc w:val="both"/>
      </w:pPr>
      <w:r>
        <w:rPr>
          <w:i/>
          <w:iCs/>
        </w:rPr>
        <w:t xml:space="preserve">Informed consent forms and protocols for 14 sites; back-translation and reconciliation.</w:t>
      </w:r>
    </w:p>
    <w:p>
      <w:pPr>
        <w:keepNext/>
        <w:tabs>
          <w:tab w:val="right" w:leader="dot" w:pos="9072"/>
        </w:tabs>
        <w:spacing w:before="80" w:line="280" w:lineRule="exact"/>
      </w:pPr>
      <w:r>
        <w:rPr>
          <w:b/>
          <w:bCs/>
        </w:rPr>
        <w:t xml:space="preserve">Project 3: Machine safety data sheets</w:t>
      </w:r>
      <w:r>
        <w:tab/>
        <w:t xml:space="preserve">2021</w:t>
      </w:r>
    </w:p>
    <w:p>
      <w:pPr>
        <w:spacing w:line="280" w:lineRule="exact"/>
        <w:ind w:left="340"/>
        <w:jc w:val="both"/>
      </w:pPr>
      <w:r>
        <w:rPr>
          <w:i/>
          <w:iCs/>
        </w:rPr>
        <w:t xml:space="preserve">Converted 900 sheets to the new regulation format, with a validated termbase.</w:t>
      </w:r>
    </w:p>
    <w:p>
      <w:pPr>
        <w:keepNext/>
        <w:tabs>
          <w:tab w:val="right" w:leader="dot" w:pos="9072"/>
        </w:tabs>
        <w:spacing w:before="80" w:line="280" w:lineRule="exact"/>
      </w:pPr>
      <w:r>
        <w:rPr>
          <w:b/>
          <w:bCs/>
        </w:rPr>
        <w:t xml:space="preserve">Project 4: Annual reports of a utility</w:t>
      </w:r>
      <w:r>
        <w:tab/>
        <w:t xml:space="preserve">2018</w:t>
      </w:r>
    </w:p>
    <w:p>
      <w:pPr>
        <w:spacing w:line="280" w:lineRule="exact"/>
        <w:ind w:left="340"/>
        <w:jc w:val="both"/>
      </w:pPr>
      <w:r>
        <w:rPr>
          <w:i/>
          <w:iCs/>
        </w:rPr>
        <w:t xml:space="preserve">Three consecutive reports, typeset in parallel with the source.</w:t>
      </w:r>
    </w:p>
    <w:p>
      <w:pPr>
        <w:keepNext/>
        <w:tabs>
          <w:tab w:val="right" w:leader="dot" w:pos="9072"/>
        </w:tabs>
        <w:spacing w:before="80" w:line="280" w:lineRule="exact"/>
      </w:pPr>
      <w:r>
        <w:rPr>
          <w:b/>
          <w:bCs/>
        </w:rPr>
        <w:t xml:space="preserve">Project 5: Museum catalogue</w:t>
      </w:r>
      <w:r>
        <w:tab/>
        <w:t xml:space="preserve">2016</w:t>
      </w:r>
    </w:p>
    <w:p>
      <w:pPr>
        <w:spacing w:line="280" w:lineRule="exact"/>
        <w:ind w:left="340"/>
        <w:jc w:val="both"/>
      </w:pPr>
      <w:r>
        <w:rPr>
          <w:i/>
          <w:iCs/>
        </w:rPr>
        <w:t xml:space="preserve">Catalogue texts and wall labels for a travelling exhibition.</w:t>
      </w:r>
    </w:p>
    <w:p>
      <w:pPr>
        <w:keepNext/>
        <w:spacing w:before="240" w:after="60" w:line="320" w:lineRule="exact"/>
      </w:pPr>
      <w:r>
        <w:rPr>
          <w:b/>
          <w:bCs/>
          <w:smallCaps/>
          <w:spacing w:val="20"/>
          <w:sz w:val="26"/>
          <w:szCs w:val="26"/>
        </w:rPr>
        <w:t xml:space="preserve">Languages</w:t>
      </w:r>
    </w:p>
    <w:p>
      <w:pPr>
        <w:keepNext/>
        <w:tabs>
          <w:tab w:val="right" w:leader="dot" w:pos="9072"/>
        </w:tabs>
        <w:spacing w:before="80" w:line="280" w:lineRule="exact"/>
      </w:pPr>
      <w:r>
        <w:rPr>
          <w:b/>
          <w:bCs/>
        </w:rPr>
        <w:t xml:space="preserve">Hungarian, English</w:t>
      </w:r>
      <w:r>
        <w:tab/>
        <w:t xml:space="preserve">native</w:t>
      </w:r>
    </w:p>
    <w:p>
      <w:pPr>
        <w:spacing w:line="280" w:lineRule="exact"/>
        <w:ind w:left="340"/>
        <w:jc w:val="both"/>
      </w:pPr>
      <w:r>
        <w:rPr>
          <w:i/>
          <w:iCs/>
        </w:rPr>
        <w:t xml:space="preserve">Both languages spoken at home and at school.</w:t>
      </w:r>
    </w:p>
    <w:p>
      <w:pPr>
        <w:keepNext/>
        <w:tabs>
          <w:tab w:val="right" w:leader="dot" w:pos="9072"/>
        </w:tabs>
        <w:spacing w:before="80" w:line="280" w:lineRule="exact"/>
      </w:pPr>
      <w:r>
        <w:rPr>
          <w:b/>
          <w:bCs/>
        </w:rPr>
        <w:t xml:space="preserve">German, French</w:t>
      </w:r>
      <w:r>
        <w:tab/>
        <w:t xml:space="preserve">C2</w:t>
      </w:r>
    </w:p>
    <w:p>
      <w:pPr>
        <w:spacing w:line="280" w:lineRule="exact"/>
        <w:ind w:left="340"/>
        <w:jc w:val="both"/>
      </w:pPr>
      <w:r>
        <w:rPr>
          <w:i/>
          <w:iCs/>
        </w:rPr>
        <w:t xml:space="preserve">Certified translator for legal documents.</w:t>
      </w:r>
    </w:p>
    <w:p>
      <w:pPr>
        <w:keepNext/>
        <w:tabs>
          <w:tab w:val="right" w:leader="dot" w:pos="9072"/>
        </w:tabs>
        <w:spacing w:before="80" w:line="280" w:lineRule="exact"/>
      </w:pPr>
      <w:r>
        <w:rPr>
          <w:b/>
          <w:bCs/>
        </w:rPr>
        <w:t xml:space="preserve">Italian</w:t>
      </w:r>
      <w:r>
        <w:tab/>
        <w:t xml:space="preserve">B2</w:t>
      </w:r>
    </w:p>
    <w:p>
      <w:pPr>
        <w:spacing w:line="280" w:lineRule="exact"/>
        <w:ind w:left="340"/>
        <w:jc w:val="both"/>
      </w:pPr>
      <w:r>
        <w:rPr>
          <w:i/>
          <w:iCs/>
        </w:rPr>
        <w:t xml:space="preserve">Reading and correspondence.</w:t>
      </w:r>
    </w:p>
    <w:p>
      <w:pPr>
        <w:keepNext/>
        <w:spacing w:before="240" w:after="60" w:line="320" w:lineRule="exact"/>
      </w:pPr>
      <w:r>
        <w:rPr>
          <w:b/>
          <w:bCs/>
          <w:smallCaps/>
          <w:spacing w:val="20"/>
          <w:sz w:val="26"/>
          <w:szCs w:val="26"/>
        </w:rPr>
        <w:t xml:space="preserve">Memberships</w:t>
      </w:r>
    </w:p>
    <w:p>
      <w:pPr>
        <w:keepNext/>
        <w:tabs>
          <w:tab w:val="right" w:leader="dot" w:pos="9072"/>
        </w:tabs>
        <w:spacing w:before="80" w:line="280" w:lineRule="exact"/>
      </w:pPr>
      <w:r>
        <w:rPr>
          <w:b/>
          <w:bCs/>
        </w:rPr>
        <w:t xml:space="preserve">Association of Technical Translators</w:t>
      </w:r>
      <w:r>
        <w:tab/>
        <w:t xml:space="preserve">since 2011</w:t>
      </w:r>
    </w:p>
    <w:p>
      <w:pPr>
        <w:spacing w:line="280" w:lineRule="exact"/>
        <w:ind w:left="340"/>
        <w:jc w:val="both"/>
      </w:pPr>
      <w:r>
        <w:rPr>
          <w:i/>
          <w:iCs/>
        </w:rPr>
        <w:t xml:space="preserve">Member of the terminology working group.</w:t>
      </w:r>
    </w:p>
    <w:p>
      <w:pPr>
        <w:keepNext/>
        <w:tabs>
          <w:tab w:val="right" w:leader="dot" w:pos="9072"/>
        </w:tabs>
        <w:spacing w:before="80" w:line="280" w:lineRule="exact"/>
      </w:pPr>
      <w:r>
        <w:rPr>
          <w:b/>
          <w:bCs/>
        </w:rPr>
        <w:t xml:space="preserve">Riverton Interpreters' Guild</w:t>
      </w:r>
      <w:r>
        <w:tab/>
        <w:t xml:space="preserve">since 2009</w:t>
      </w:r>
    </w:p>
    <w:p>
      <w:pPr>
        <w:spacing w:line="280" w:lineRule="exact"/>
        <w:ind w:left="340"/>
        <w:jc w:val="both"/>
      </w:pPr>
      <w:r>
        <w:rPr>
          <w:i/>
          <w:iCs/>
        </w:rPr>
        <w:t xml:space="preserve">Mentor for new members.</w:t>
      </w:r>
    </w:p>
    <w:sectPr>
      <w:footerReference w:type="default" r:id="rId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Liberation Serif"/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jc w:val="right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PAGE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of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NUMPAGES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 w:eastAsia="Liberation Serif" w:cs="Liberation Serif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Liberation Serif" w:hAnsi="Liberation Serif" w:cs="Liberation Serif"/>
      <w:b/>
      <w:bCs/>
      <w:sz w:val="28"/>
      <w:szCs w:val="28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Liberation Serif" w:hAnsi="Liberation Serif" w:cs="Liberation Serif"/>
      <w:b/>
      <w:bCs/>
      <w:sz w:val="24"/>
      <w:szCs w:val="24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Liberation Serif" w:hAnsi="Liberation Serif" w:cs="Liberation Serif"/>
      <w:b/>
      <w:bCs/>
      <w:sz w:val="46"/>
      <w:szCs w:val="46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cv-en-leaders-open</dc:title>
  <dc:description>Two-page CV: dotted tab leaders to right-aligned dates, small capitals, exact 14 pt line spacing, keep-with-next entries, Page X of Y footer; Times New Roman 11, A4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