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and 2 are header rows (w:tblHeader); the style formats its first row and bands rows by one</w:t>
      </w:r>
    </w:p>
    <w:tbl>
      <w:tblPr>
        <w:tblStyle w:val="HeaderRow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Rows">
    <w:name w:val="HeaderRow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E-table-style-header-rows-on</dc:title>
  <dc:description>Which header rows of a table take its style's first-row format, with the setting differentiateMultirowTableHeaders on: two header rows, then four banded rows;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