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the table style BoldTable (bold); paragraphs in BoldPara (bold) and in Normal</w:t>
      </w:r>
    </w:p>
    <w:tbl>
      <w:tblPr>
        <w:tblStyle w:val="BoldTable"/>
        <w:tblW w:w="9026" w:type="dxa"/>
      </w:tblPr>
      <w:tblGrid>
        <w:gridCol w:w="4513"/>
        <w:gridCol w:w="4513"/>
      </w:tblGrid>
      <w:tr>
        <w:tc>
          <w:tcPr>
            <w:tcW w:w="4513" w:type="dxa"/>
          </w:tcPr>
          <w:p>
            <w:pPr>
              <w:pStyle w:val="BoldPara"/>
            </w:pPr>
            <w:r>
              <w:t xml:space="preserve">in BoldPara</w:t>
            </w:r>
          </w:p>
        </w:tc>
        <w:tc>
          <w:tcPr>
            <w:tcW w:w="4513" w:type="dxa"/>
          </w:tcPr>
          <w:p>
            <w:r>
              <w:t xml:space="preserve">in Normal</w:t>
            </w:r>
          </w:p>
        </w:tc>
      </w:tr>
    </w:tbl>
    <w:p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BoldTable">
    <w:name w:val="BoldTable"/>
    <w:basedOn w:val="TableNormal"/>
    <w:rPr>
      <w:b/>
      <w:bCs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oldPara">
    <w:name w:val="BoldPara"/>
    <w:basedOn w:val="Normal"/>
    <w:rPr>
      <w:b/>
      <w:bCs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E-table-style-toggles</dc:title>
  <dc:description>Whether a bold table style under a bold paragraph style leaves the text bold (the table style sets the value) or upright (it toggles)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